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9.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charts/chart9.xml" ContentType="application/vnd.openxmlformats-officedocument.drawingml.chart+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1.xml" ContentType="application/vnd.openxmlformats-officedocument.themeOverride+xml"/>
  <Override PartName="/word/charts/chart1.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4.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88" w:rsidRPr="003B5EA4" w:rsidRDefault="00BA31FC" w:rsidP="00AF6E88">
      <w:pPr>
        <w:spacing w:after="2040"/>
        <w:jc w:val="right"/>
        <w:rPr>
          <w:b/>
          <w:bCs/>
        </w:rPr>
      </w:pPr>
      <w:r w:rsidRPr="003B5EA4">
        <w:rPr>
          <w:b/>
          <w:bCs/>
        </w:rPr>
        <w:t>JIU/REP/2017/3</w:t>
      </w:r>
      <w:r w:rsidR="00D120EC" w:rsidRPr="00D120EC">
        <w:rPr>
          <w:rStyle w:val="Appelnotedebasdep"/>
          <w:b/>
          <w:bCs/>
          <w:sz w:val="20"/>
          <w:vertAlign w:val="baseline"/>
        </w:rPr>
        <w:footnoteReference w:customMarkFollows="1" w:id="2"/>
        <w:t>*</w:t>
      </w:r>
    </w:p>
    <w:tbl>
      <w:tblPr>
        <w:tblStyle w:val="Grilledutableau"/>
        <w:tblW w:w="0" w:type="auto"/>
        <w:jc w:val="center"/>
        <w:tblLook w:val="01E0" w:firstRow="1" w:lastRow="1" w:firstColumn="1" w:lastColumn="1" w:noHBand="0" w:noVBand="0"/>
      </w:tblPr>
      <w:tblGrid>
        <w:gridCol w:w="9491"/>
      </w:tblGrid>
      <w:tr w:rsidR="00AF6E88" w:rsidRPr="003B5EA4" w:rsidTr="00E447E1">
        <w:trPr>
          <w:jc w:val="center"/>
        </w:trPr>
        <w:tc>
          <w:tcPr>
            <w:tcW w:w="9491" w:type="dxa"/>
            <w:tcBorders>
              <w:top w:val="double" w:sz="4" w:space="0" w:color="auto"/>
              <w:left w:val="double" w:sz="4" w:space="0" w:color="auto"/>
              <w:bottom w:val="double" w:sz="4" w:space="0" w:color="auto"/>
              <w:right w:val="double" w:sz="4" w:space="0" w:color="auto"/>
            </w:tcBorders>
          </w:tcPr>
          <w:p w:rsidR="00AF6E88" w:rsidRPr="003B5EA4" w:rsidRDefault="00C50E9F" w:rsidP="00E447E1">
            <w:pPr>
              <w:spacing w:before="360" w:after="360"/>
              <w:jc w:val="center"/>
              <w:rPr>
                <w:b/>
                <w:bCs/>
                <w:sz w:val="32"/>
                <w:szCs w:val="32"/>
              </w:rPr>
            </w:pPr>
            <w:r w:rsidRPr="003B5EA4">
              <w:rPr>
                <w:b/>
                <w:bCs/>
                <w:sz w:val="32"/>
                <w:szCs w:val="32"/>
              </w:rPr>
              <w:t xml:space="preserve">EXAMEN DES POLITIQUES EN MATIÈRE </w:t>
            </w:r>
            <w:r w:rsidRPr="003B5EA4">
              <w:rPr>
                <w:b/>
                <w:bCs/>
                <w:sz w:val="32"/>
                <w:szCs w:val="32"/>
              </w:rPr>
              <w:br/>
              <w:t>DE VOYAGES EN AVION À L</w:t>
            </w:r>
            <w:r w:rsidR="00762E0A">
              <w:rPr>
                <w:b/>
                <w:bCs/>
                <w:sz w:val="32"/>
                <w:szCs w:val="32"/>
              </w:rPr>
              <w:t>’</w:t>
            </w:r>
            <w:r w:rsidRPr="003B5EA4">
              <w:rPr>
                <w:b/>
                <w:bCs/>
                <w:sz w:val="32"/>
                <w:szCs w:val="32"/>
              </w:rPr>
              <w:t xml:space="preserve">ÉCHELLE </w:t>
            </w:r>
            <w:r w:rsidR="0010511A" w:rsidRPr="003B5EA4">
              <w:rPr>
                <w:b/>
                <w:bCs/>
                <w:sz w:val="32"/>
                <w:szCs w:val="32"/>
              </w:rPr>
              <w:br/>
            </w:r>
            <w:r w:rsidRPr="003B5EA4">
              <w:rPr>
                <w:b/>
                <w:bCs/>
                <w:sz w:val="32"/>
                <w:szCs w:val="32"/>
              </w:rPr>
              <w:t>DU SYSTÈME DES NATIONS UNIES</w:t>
            </w:r>
          </w:p>
          <w:p w:rsidR="0010511A" w:rsidRPr="003B5EA4" w:rsidRDefault="0010511A" w:rsidP="00E447E1">
            <w:pPr>
              <w:spacing w:before="360" w:after="360"/>
              <w:jc w:val="center"/>
              <w:rPr>
                <w:sz w:val="32"/>
                <w:szCs w:val="32"/>
              </w:rPr>
            </w:pPr>
            <w:r w:rsidRPr="003B5EA4">
              <w:rPr>
                <w:b/>
                <w:bCs/>
                <w:sz w:val="32"/>
                <w:szCs w:val="32"/>
              </w:rPr>
              <w:t>Réaliser des gains d</w:t>
            </w:r>
            <w:r w:rsidR="00762E0A">
              <w:rPr>
                <w:b/>
                <w:bCs/>
                <w:sz w:val="32"/>
                <w:szCs w:val="32"/>
              </w:rPr>
              <w:t>’</w:t>
            </w:r>
            <w:r w:rsidRPr="003B5EA4">
              <w:rPr>
                <w:b/>
                <w:bCs/>
                <w:sz w:val="32"/>
                <w:szCs w:val="32"/>
              </w:rPr>
              <w:t xml:space="preserve">efficience et des économies </w:t>
            </w:r>
            <w:r w:rsidRPr="003B5EA4">
              <w:rPr>
                <w:b/>
                <w:bCs/>
                <w:sz w:val="32"/>
                <w:szCs w:val="32"/>
              </w:rPr>
              <w:br/>
              <w:t>et renforcer l</w:t>
            </w:r>
            <w:r w:rsidR="00762E0A">
              <w:rPr>
                <w:b/>
                <w:bCs/>
                <w:sz w:val="32"/>
                <w:szCs w:val="32"/>
              </w:rPr>
              <w:t>’</w:t>
            </w:r>
            <w:r w:rsidRPr="003B5EA4">
              <w:rPr>
                <w:b/>
                <w:bCs/>
                <w:sz w:val="32"/>
                <w:szCs w:val="32"/>
              </w:rPr>
              <w:t>harmonisation</w:t>
            </w:r>
          </w:p>
        </w:tc>
      </w:tr>
    </w:tbl>
    <w:p w:rsidR="00AF6E88" w:rsidRPr="003B5EA4" w:rsidRDefault="00AF6E88" w:rsidP="00AF6E88">
      <w:pPr>
        <w:spacing w:before="1080" w:after="360"/>
        <w:jc w:val="center"/>
        <w:rPr>
          <w:i/>
          <w:sz w:val="28"/>
          <w:szCs w:val="28"/>
        </w:rPr>
      </w:pPr>
      <w:r w:rsidRPr="003B5EA4">
        <w:rPr>
          <w:i/>
          <w:sz w:val="28"/>
          <w:szCs w:val="28"/>
        </w:rPr>
        <w:t>Rapport établi par</w:t>
      </w:r>
    </w:p>
    <w:p w:rsidR="00AF6E88" w:rsidRPr="003B5EA4" w:rsidRDefault="00E25054" w:rsidP="00AF6E88">
      <w:pPr>
        <w:spacing w:after="1080"/>
        <w:jc w:val="center"/>
        <w:rPr>
          <w:b/>
          <w:i/>
          <w:sz w:val="28"/>
          <w:szCs w:val="28"/>
        </w:rPr>
      </w:pPr>
      <w:r w:rsidRPr="003B5EA4">
        <w:rPr>
          <w:b/>
          <w:i/>
          <w:sz w:val="28"/>
          <w:szCs w:val="28"/>
        </w:rPr>
        <w:t>Aicha Afifi</w:t>
      </w:r>
    </w:p>
    <w:p w:rsidR="00AF6E88" w:rsidRDefault="00AF6E88" w:rsidP="00520DFE">
      <w:pPr>
        <w:spacing w:after="360"/>
        <w:jc w:val="center"/>
        <w:rPr>
          <w:b/>
          <w:sz w:val="32"/>
          <w:szCs w:val="32"/>
        </w:rPr>
      </w:pPr>
      <w:r w:rsidRPr="003B5EA4">
        <w:rPr>
          <w:b/>
          <w:sz w:val="32"/>
          <w:szCs w:val="32"/>
        </w:rPr>
        <w:t>Corps commun d</w:t>
      </w:r>
      <w:r w:rsidR="00762E0A">
        <w:rPr>
          <w:b/>
          <w:sz w:val="32"/>
          <w:szCs w:val="32"/>
        </w:rPr>
        <w:t>’</w:t>
      </w:r>
      <w:r w:rsidRPr="003B5EA4">
        <w:rPr>
          <w:b/>
          <w:sz w:val="32"/>
          <w:szCs w:val="32"/>
        </w:rPr>
        <w:t>inspection</w:t>
      </w:r>
    </w:p>
    <w:p w:rsidR="00520DFE" w:rsidRPr="00520DFE" w:rsidRDefault="00520DFE" w:rsidP="00D120EC">
      <w:pPr>
        <w:spacing w:after="2280"/>
        <w:jc w:val="center"/>
        <w:rPr>
          <w:b/>
          <w:sz w:val="28"/>
          <w:szCs w:val="28"/>
        </w:rPr>
      </w:pPr>
      <w:r w:rsidRPr="00520DFE">
        <w:rPr>
          <w:b/>
          <w:sz w:val="28"/>
          <w:szCs w:val="28"/>
        </w:rPr>
        <w:t>Genève 2017</w:t>
      </w:r>
    </w:p>
    <w:p w:rsidR="00AF6E88" w:rsidRPr="003B5EA4" w:rsidRDefault="00AF6E88" w:rsidP="00AF6E88">
      <w:pPr>
        <w:spacing w:after="240"/>
        <w:jc w:val="center"/>
      </w:pPr>
      <w:r w:rsidRPr="003B5EA4">
        <w:object w:dxaOrig="141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3pt;height:60.9pt" o:ole="" o:allowoverlap="f" fillcolor="window">
            <v:imagedata r:id="rId8" o:title="" blacklevel="1966f"/>
          </v:shape>
          <o:OLEObject Type="Embed" ProgID="Word.Picture.8" ShapeID="_x0000_i1025" DrawAspect="Content" ObjectID="_1572238421" r:id="rId9"/>
        </w:object>
      </w:r>
    </w:p>
    <w:p w:rsidR="00AF6E88" w:rsidRPr="003B5EA4" w:rsidRDefault="00AF6E88" w:rsidP="00AF6E88">
      <w:pPr>
        <w:jc w:val="center"/>
        <w:rPr>
          <w:b/>
          <w:sz w:val="24"/>
          <w:szCs w:val="24"/>
        </w:rPr>
      </w:pPr>
      <w:r w:rsidRPr="003B5EA4">
        <w:rPr>
          <w:b/>
          <w:sz w:val="24"/>
          <w:szCs w:val="24"/>
        </w:rPr>
        <w:t>Nations Unies</w:t>
      </w:r>
    </w:p>
    <w:p w:rsidR="007B5CD9" w:rsidRPr="003B5EA4" w:rsidRDefault="007B5CD9" w:rsidP="00AF6E88">
      <w:pPr>
        <w:jc w:val="center"/>
        <w:rPr>
          <w:b/>
          <w:sz w:val="24"/>
          <w:szCs w:val="24"/>
        </w:rPr>
        <w:sectPr w:rsidR="007B5CD9" w:rsidRPr="003B5EA4" w:rsidSect="00BA31FC">
          <w:endnotePr>
            <w:numFmt w:val="decimal"/>
          </w:endnotePr>
          <w:type w:val="oddPage"/>
          <w:pgSz w:w="11906" w:h="16838" w:code="9"/>
          <w:pgMar w:top="1417" w:right="1134" w:bottom="1134" w:left="1134" w:header="850" w:footer="567" w:gutter="0"/>
          <w:cols w:space="708"/>
          <w:docGrid w:linePitch="360"/>
        </w:sectPr>
      </w:pPr>
    </w:p>
    <w:p w:rsidR="00AF6E88" w:rsidRPr="003B5EA4" w:rsidRDefault="00BA31FC" w:rsidP="00AF6E88">
      <w:pPr>
        <w:spacing w:after="2268"/>
        <w:ind w:left="7938"/>
      </w:pPr>
      <w:r w:rsidRPr="003B5EA4">
        <w:rPr>
          <w:bCs/>
        </w:rPr>
        <w:lastRenderedPageBreak/>
        <w:t>JIU/REP/2017/3</w:t>
      </w:r>
      <w:r w:rsidR="00AF6E88" w:rsidRPr="003B5EA4">
        <w:rPr>
          <w:bCs/>
        </w:rPr>
        <w:br/>
        <w:t>Français</w:t>
      </w:r>
      <w:r w:rsidR="00AF6E88" w:rsidRPr="003B5EA4">
        <w:rPr>
          <w:bCs/>
        </w:rPr>
        <w:br/>
        <w:t>Original: anglais</w:t>
      </w:r>
    </w:p>
    <w:tbl>
      <w:tblPr>
        <w:tblStyle w:val="Grilledutableau"/>
        <w:tblW w:w="0" w:type="auto"/>
        <w:jc w:val="center"/>
        <w:tblLook w:val="01E0" w:firstRow="1" w:lastRow="1" w:firstColumn="1" w:lastColumn="1" w:noHBand="0" w:noVBand="0"/>
      </w:tblPr>
      <w:tblGrid>
        <w:gridCol w:w="9491"/>
      </w:tblGrid>
      <w:tr w:rsidR="00AF6E88" w:rsidRPr="003B5EA4" w:rsidTr="00E447E1">
        <w:trPr>
          <w:jc w:val="center"/>
        </w:trPr>
        <w:tc>
          <w:tcPr>
            <w:tcW w:w="9491" w:type="dxa"/>
            <w:tcBorders>
              <w:top w:val="double" w:sz="4" w:space="0" w:color="auto"/>
              <w:left w:val="double" w:sz="4" w:space="0" w:color="auto"/>
              <w:bottom w:val="double" w:sz="4" w:space="0" w:color="auto"/>
              <w:right w:val="double" w:sz="4" w:space="0" w:color="auto"/>
            </w:tcBorders>
          </w:tcPr>
          <w:p w:rsidR="00153F95" w:rsidRPr="003B5EA4" w:rsidRDefault="00153F95" w:rsidP="00153F95">
            <w:pPr>
              <w:spacing w:before="360" w:after="360"/>
              <w:jc w:val="center"/>
              <w:rPr>
                <w:b/>
                <w:bCs/>
                <w:sz w:val="32"/>
                <w:szCs w:val="32"/>
              </w:rPr>
            </w:pPr>
            <w:r w:rsidRPr="003B5EA4">
              <w:rPr>
                <w:b/>
                <w:bCs/>
                <w:sz w:val="32"/>
                <w:szCs w:val="32"/>
              </w:rPr>
              <w:t xml:space="preserve">EXAMEN DES POLITIQUES EN MATIÈRE </w:t>
            </w:r>
            <w:r w:rsidRPr="003B5EA4">
              <w:rPr>
                <w:b/>
                <w:bCs/>
                <w:sz w:val="32"/>
                <w:szCs w:val="32"/>
              </w:rPr>
              <w:br/>
              <w:t>DE VOYAGES EN AVION À L</w:t>
            </w:r>
            <w:r w:rsidR="00762E0A">
              <w:rPr>
                <w:b/>
                <w:bCs/>
                <w:sz w:val="32"/>
                <w:szCs w:val="32"/>
              </w:rPr>
              <w:t>’</w:t>
            </w:r>
            <w:r w:rsidRPr="003B5EA4">
              <w:rPr>
                <w:b/>
                <w:bCs/>
                <w:sz w:val="32"/>
                <w:szCs w:val="32"/>
              </w:rPr>
              <w:t xml:space="preserve">ÉCHELLE </w:t>
            </w:r>
            <w:r w:rsidRPr="003B5EA4">
              <w:rPr>
                <w:b/>
                <w:bCs/>
                <w:sz w:val="32"/>
                <w:szCs w:val="32"/>
              </w:rPr>
              <w:br/>
              <w:t>DU SYSTÈME DES NATIONS UNIES</w:t>
            </w:r>
          </w:p>
          <w:p w:rsidR="00AF6E88" w:rsidRPr="003B5EA4" w:rsidRDefault="00153F95" w:rsidP="00153F95">
            <w:pPr>
              <w:spacing w:before="360" w:after="360"/>
              <w:jc w:val="center"/>
              <w:rPr>
                <w:sz w:val="40"/>
                <w:szCs w:val="40"/>
              </w:rPr>
            </w:pPr>
            <w:r w:rsidRPr="003B5EA4">
              <w:rPr>
                <w:b/>
                <w:bCs/>
                <w:sz w:val="32"/>
                <w:szCs w:val="32"/>
              </w:rPr>
              <w:t>Réaliser des gains d</w:t>
            </w:r>
            <w:r w:rsidR="00762E0A">
              <w:rPr>
                <w:b/>
                <w:bCs/>
                <w:sz w:val="32"/>
                <w:szCs w:val="32"/>
              </w:rPr>
              <w:t>’</w:t>
            </w:r>
            <w:r w:rsidRPr="003B5EA4">
              <w:rPr>
                <w:b/>
                <w:bCs/>
                <w:sz w:val="32"/>
                <w:szCs w:val="32"/>
              </w:rPr>
              <w:t xml:space="preserve">efficience et des économies </w:t>
            </w:r>
            <w:r w:rsidRPr="003B5EA4">
              <w:rPr>
                <w:b/>
                <w:bCs/>
                <w:sz w:val="32"/>
                <w:szCs w:val="32"/>
              </w:rPr>
              <w:br/>
              <w:t>et renforcer l</w:t>
            </w:r>
            <w:r w:rsidR="00762E0A">
              <w:rPr>
                <w:b/>
                <w:bCs/>
                <w:sz w:val="32"/>
                <w:szCs w:val="32"/>
              </w:rPr>
              <w:t>’</w:t>
            </w:r>
            <w:r w:rsidRPr="003B5EA4">
              <w:rPr>
                <w:b/>
                <w:bCs/>
                <w:sz w:val="32"/>
                <w:szCs w:val="32"/>
              </w:rPr>
              <w:t>harmonisation</w:t>
            </w:r>
          </w:p>
        </w:tc>
      </w:tr>
    </w:tbl>
    <w:p w:rsidR="00AF6E88" w:rsidRPr="003B5EA4" w:rsidRDefault="00AF6E88" w:rsidP="00AF6E88">
      <w:pPr>
        <w:spacing w:before="1080" w:after="360"/>
        <w:jc w:val="center"/>
        <w:rPr>
          <w:i/>
          <w:sz w:val="28"/>
          <w:szCs w:val="28"/>
        </w:rPr>
      </w:pPr>
      <w:r w:rsidRPr="003B5EA4">
        <w:rPr>
          <w:i/>
          <w:sz w:val="28"/>
          <w:szCs w:val="28"/>
        </w:rPr>
        <w:t>Rapport établi par</w:t>
      </w:r>
    </w:p>
    <w:p w:rsidR="00AF6E88" w:rsidRPr="003B5EA4" w:rsidRDefault="00E25054" w:rsidP="00AF6E88">
      <w:pPr>
        <w:spacing w:after="1080"/>
        <w:jc w:val="center"/>
        <w:rPr>
          <w:b/>
          <w:i/>
          <w:sz w:val="28"/>
          <w:szCs w:val="28"/>
        </w:rPr>
      </w:pPr>
      <w:r w:rsidRPr="003B5EA4">
        <w:rPr>
          <w:b/>
          <w:i/>
          <w:sz w:val="28"/>
          <w:szCs w:val="28"/>
        </w:rPr>
        <w:t>Aicha Afifi</w:t>
      </w:r>
    </w:p>
    <w:p w:rsidR="00AF6E88" w:rsidRPr="003B5EA4" w:rsidRDefault="00AF6E88" w:rsidP="00AF6E88">
      <w:pPr>
        <w:spacing w:after="2835"/>
        <w:jc w:val="center"/>
        <w:rPr>
          <w:b/>
          <w:sz w:val="32"/>
          <w:szCs w:val="32"/>
        </w:rPr>
      </w:pPr>
      <w:r w:rsidRPr="003B5EA4">
        <w:rPr>
          <w:b/>
          <w:sz w:val="32"/>
          <w:szCs w:val="32"/>
        </w:rPr>
        <w:t>Corps commun d</w:t>
      </w:r>
      <w:r w:rsidR="00762E0A">
        <w:rPr>
          <w:b/>
          <w:sz w:val="32"/>
          <w:szCs w:val="32"/>
        </w:rPr>
        <w:t>’</w:t>
      </w:r>
      <w:r w:rsidRPr="003B5EA4">
        <w:rPr>
          <w:b/>
          <w:sz w:val="32"/>
          <w:szCs w:val="32"/>
        </w:rPr>
        <w:t>inspection</w:t>
      </w:r>
    </w:p>
    <w:p w:rsidR="00AF6E88" w:rsidRPr="003B5EA4" w:rsidRDefault="00AF6E88" w:rsidP="00AF6E88">
      <w:pPr>
        <w:spacing w:after="240"/>
        <w:jc w:val="center"/>
      </w:pPr>
      <w:r w:rsidRPr="003B5EA4">
        <w:object w:dxaOrig="1410" w:dyaOrig="1215">
          <v:shape id="_x0000_i1026" type="#_x0000_t75" style="width:68.3pt;height:60.9pt" o:ole="" o:allowoverlap="f" fillcolor="window">
            <v:imagedata r:id="rId8" o:title="" blacklevel="1966f"/>
          </v:shape>
          <o:OLEObject Type="Embed" ProgID="Word.Picture.8" ShapeID="_x0000_i1026" DrawAspect="Content" ObjectID="_1572238422" r:id="rId10"/>
        </w:object>
      </w:r>
    </w:p>
    <w:p w:rsidR="00446FE5" w:rsidRPr="003B5EA4" w:rsidRDefault="00AF6E88" w:rsidP="00AF6E88">
      <w:pPr>
        <w:jc w:val="center"/>
        <w:rPr>
          <w:b/>
          <w:sz w:val="24"/>
          <w:szCs w:val="24"/>
        </w:rPr>
      </w:pPr>
      <w:r w:rsidRPr="003B5EA4">
        <w:rPr>
          <w:b/>
          <w:sz w:val="24"/>
          <w:szCs w:val="24"/>
        </w:rPr>
        <w:t xml:space="preserve">Nations Unies, Genève </w:t>
      </w:r>
      <w:r w:rsidR="00153F95" w:rsidRPr="003B5EA4">
        <w:rPr>
          <w:b/>
          <w:sz w:val="24"/>
          <w:szCs w:val="24"/>
        </w:rPr>
        <w:t>2017</w:t>
      </w:r>
    </w:p>
    <w:p w:rsidR="00AF6E88" w:rsidRPr="003B5EA4" w:rsidRDefault="00AF6E88" w:rsidP="00AF6E88">
      <w:pPr>
        <w:jc w:val="center"/>
        <w:sectPr w:rsidR="00AF6E88" w:rsidRPr="003B5EA4" w:rsidSect="00BA31FC">
          <w:headerReference w:type="default" r:id="rId11"/>
          <w:footerReference w:type="default" r:id="rId12"/>
          <w:endnotePr>
            <w:numFmt w:val="decimal"/>
          </w:endnotePr>
          <w:type w:val="oddPage"/>
          <w:pgSz w:w="11906" w:h="16838" w:code="9"/>
          <w:pgMar w:top="1417" w:right="1134" w:bottom="1134" w:left="1134" w:header="850" w:footer="567" w:gutter="0"/>
          <w:cols w:space="708"/>
          <w:docGrid w:linePitch="360"/>
        </w:sectPr>
      </w:pP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153F95" w:rsidRPr="003B5EA4" w:rsidTr="00E447E1">
        <w:trPr>
          <w:jc w:val="center"/>
        </w:trPr>
        <w:tc>
          <w:tcPr>
            <w:tcW w:w="9637" w:type="dxa"/>
            <w:shd w:val="clear" w:color="auto" w:fill="auto"/>
          </w:tcPr>
          <w:p w:rsidR="00153F95" w:rsidRPr="003B5EA4" w:rsidRDefault="00153F95" w:rsidP="000D5D0D">
            <w:pPr>
              <w:spacing w:before="220" w:after="100"/>
              <w:ind w:left="255"/>
              <w:rPr>
                <w:i/>
                <w:sz w:val="24"/>
              </w:rPr>
            </w:pPr>
            <w:r w:rsidRPr="003B5EA4">
              <w:rPr>
                <w:i/>
                <w:sz w:val="24"/>
              </w:rPr>
              <w:lastRenderedPageBreak/>
              <w:t>Résumé</w:t>
            </w:r>
          </w:p>
        </w:tc>
      </w:tr>
      <w:tr w:rsidR="00153F95" w:rsidRPr="003B5EA4" w:rsidTr="00E447E1">
        <w:trPr>
          <w:jc w:val="center"/>
        </w:trPr>
        <w:tc>
          <w:tcPr>
            <w:tcW w:w="9637" w:type="dxa"/>
            <w:shd w:val="clear" w:color="auto" w:fill="auto"/>
          </w:tcPr>
          <w:p w:rsidR="00153F95" w:rsidRPr="003B5EA4" w:rsidRDefault="0075461D" w:rsidP="007F7C09">
            <w:pPr>
              <w:pStyle w:val="SingleTxtG"/>
              <w:jc w:val="left"/>
              <w:rPr>
                <w:b/>
              </w:rPr>
            </w:pPr>
            <w:r w:rsidRPr="003B5EA4">
              <w:rPr>
                <w:rFonts w:eastAsia="Calibri"/>
                <w:b/>
              </w:rPr>
              <w:t>Examen des politiques en matière de voyages en avion à l</w:t>
            </w:r>
            <w:r w:rsidR="00762E0A">
              <w:rPr>
                <w:rFonts w:eastAsia="Calibri"/>
                <w:b/>
              </w:rPr>
              <w:t>’</w:t>
            </w:r>
            <w:r w:rsidRPr="003B5EA4">
              <w:rPr>
                <w:rFonts w:eastAsia="Calibri"/>
                <w:b/>
              </w:rPr>
              <w:t xml:space="preserve">échelle du système </w:t>
            </w:r>
            <w:r w:rsidR="00F02796" w:rsidRPr="003B5EA4">
              <w:rPr>
                <w:rFonts w:eastAsia="Calibri"/>
                <w:b/>
              </w:rPr>
              <w:br/>
            </w:r>
            <w:r w:rsidRPr="003B5EA4">
              <w:rPr>
                <w:rFonts w:eastAsia="Calibri"/>
                <w:b/>
              </w:rPr>
              <w:t>des Nations Unies : réaliser des gains d</w:t>
            </w:r>
            <w:r w:rsidR="00762E0A">
              <w:rPr>
                <w:rFonts w:eastAsia="Calibri"/>
                <w:b/>
              </w:rPr>
              <w:t>’</w:t>
            </w:r>
            <w:r w:rsidRPr="003B5EA4">
              <w:rPr>
                <w:rFonts w:eastAsia="Calibri"/>
                <w:b/>
              </w:rPr>
              <w:t xml:space="preserve">efficience et des économies </w:t>
            </w:r>
            <w:r w:rsidR="007F7C09" w:rsidRPr="003B5EA4">
              <w:rPr>
                <w:rFonts w:eastAsia="Calibri"/>
                <w:b/>
              </w:rPr>
              <w:br/>
            </w:r>
            <w:r w:rsidRPr="003B5EA4">
              <w:rPr>
                <w:rFonts w:eastAsia="Calibri"/>
                <w:b/>
              </w:rPr>
              <w:t>et renforcer l</w:t>
            </w:r>
            <w:r w:rsidR="00762E0A">
              <w:rPr>
                <w:rFonts w:eastAsia="Calibri"/>
                <w:b/>
              </w:rPr>
              <w:t>’</w:t>
            </w:r>
            <w:r w:rsidRPr="003B5EA4">
              <w:rPr>
                <w:rFonts w:eastAsia="Calibri"/>
                <w:b/>
              </w:rPr>
              <w:t>harmonisation</w:t>
            </w:r>
            <w:r w:rsidRPr="003B5EA4">
              <w:rPr>
                <w:rFonts w:eastAsia="Calibri"/>
                <w:b/>
              </w:rPr>
              <w:br/>
              <w:t>JIU/REP/2017/3</w:t>
            </w:r>
          </w:p>
        </w:tc>
      </w:tr>
      <w:tr w:rsidR="0075461D" w:rsidRPr="003B5EA4" w:rsidTr="00E447E1">
        <w:trPr>
          <w:jc w:val="center"/>
        </w:trPr>
        <w:tc>
          <w:tcPr>
            <w:tcW w:w="9637" w:type="dxa"/>
            <w:shd w:val="clear" w:color="auto" w:fill="auto"/>
          </w:tcPr>
          <w:p w:rsidR="0075461D" w:rsidRPr="003B5EA4" w:rsidRDefault="0075461D" w:rsidP="00F02796">
            <w:pPr>
              <w:pStyle w:val="SingleTxtG"/>
              <w:ind w:firstLine="567"/>
            </w:pPr>
            <w:r w:rsidRPr="003B5EA4">
              <w:t>L</w:t>
            </w:r>
            <w:r w:rsidR="00762E0A">
              <w:t>’</w:t>
            </w:r>
            <w:r w:rsidRPr="003B5EA4">
              <w:t>examen des politiques en matière de voyages en avion a été réalisé comme suite aux appels de l</w:t>
            </w:r>
            <w:r w:rsidR="00762E0A">
              <w:t>’</w:t>
            </w:r>
            <w:r w:rsidRPr="003B5EA4">
              <w:t>Assemblée générale qui souhaite voir prendre d</w:t>
            </w:r>
            <w:r w:rsidR="00762E0A">
              <w:t>’</w:t>
            </w:r>
            <w:r w:rsidRPr="003B5EA4">
              <w:t>urgence des dispositions en vue d</w:t>
            </w:r>
            <w:r w:rsidR="00762E0A">
              <w:t>’</w:t>
            </w:r>
            <w:r w:rsidRPr="003B5EA4">
              <w:t>une gestion améliorée dans ce domaine et d</w:t>
            </w:r>
            <w:r w:rsidR="00762E0A">
              <w:t>’</w:t>
            </w:r>
            <w:r w:rsidRPr="003B5EA4">
              <w:t>une utilisation efficace et efficiente des ressources engagées à ce titre. Promouvoir l</w:t>
            </w:r>
            <w:r w:rsidR="00762E0A">
              <w:t>’</w:t>
            </w:r>
            <w:r w:rsidRPr="003B5EA4">
              <w:t>harmonisation des conditions de voyage en avion et la mise en commun des bonnes pratiques en la matière à l</w:t>
            </w:r>
            <w:r w:rsidR="00762E0A">
              <w:t>’</w:t>
            </w:r>
            <w:r w:rsidRPr="003B5EA4">
              <w:t>échelle du système des Nations Unies contribuerait à la réalisation de cet objectif. Le présent rapport s</w:t>
            </w:r>
            <w:r w:rsidR="00762E0A">
              <w:t>’</w:t>
            </w:r>
            <w:r w:rsidRPr="003B5EA4">
              <w:t>appuie sur des rapports antérieurs du Corps commun d</w:t>
            </w:r>
            <w:r w:rsidR="00762E0A">
              <w:t>’</w:t>
            </w:r>
            <w:r w:rsidRPr="003B5EA4">
              <w:t>inspection (CCI) touchant aux voyages en avion, publiés en 1995, 2004, 2010 et 2012, ainsi que sur une note datant de 2005.</w:t>
            </w:r>
          </w:p>
        </w:tc>
      </w:tr>
      <w:tr w:rsidR="0075461D" w:rsidRPr="003B5EA4" w:rsidTr="00E447E1">
        <w:trPr>
          <w:jc w:val="center"/>
        </w:trPr>
        <w:tc>
          <w:tcPr>
            <w:tcW w:w="9637" w:type="dxa"/>
            <w:shd w:val="clear" w:color="auto" w:fill="auto"/>
          </w:tcPr>
          <w:p w:rsidR="0075461D" w:rsidRPr="003B5EA4" w:rsidRDefault="0075461D" w:rsidP="00F02796">
            <w:pPr>
              <w:pStyle w:val="SingleTxtG"/>
              <w:ind w:firstLine="567"/>
            </w:pPr>
            <w:r w:rsidRPr="003B5EA4">
              <w:t>Après les dépenses de personnel, les voyages représentent l</w:t>
            </w:r>
            <w:r w:rsidR="00762E0A">
              <w:t>’</w:t>
            </w:r>
            <w:r w:rsidRPr="003B5EA4">
              <w:t>un des plus gros postes budgétaires des organismes des Nations Unies. Le présent examen avait pour objectif principal d</w:t>
            </w:r>
            <w:r w:rsidR="00762E0A">
              <w:t>’</w:t>
            </w:r>
            <w:r w:rsidRPr="003B5EA4">
              <w:t>évaluer les politiques, règles et pratiques en matière de voyages en avion et de considérer leur application au sein des organismes des Nations Unies, dans l</w:t>
            </w:r>
            <w:r w:rsidR="00762E0A">
              <w:t>’</w:t>
            </w:r>
            <w:r w:rsidRPr="003B5EA4">
              <w:t>optique d</w:t>
            </w:r>
            <w:r w:rsidR="00762E0A">
              <w:t>’</w:t>
            </w:r>
            <w:r w:rsidRPr="003B5EA4">
              <w:t>améliorer l</w:t>
            </w:r>
            <w:r w:rsidR="00762E0A">
              <w:t>’</w:t>
            </w:r>
            <w:r w:rsidRPr="003B5EA4">
              <w:t>efficience et l</w:t>
            </w:r>
            <w:r w:rsidR="00762E0A">
              <w:t>’</w:t>
            </w:r>
            <w:r w:rsidRPr="003B5EA4">
              <w:t>efficacité de la gestion des voyages, d</w:t>
            </w:r>
            <w:r w:rsidR="00762E0A">
              <w:t>’</w:t>
            </w:r>
            <w:r w:rsidRPr="003B5EA4">
              <w:t>accroître la responsabilisation et la transparence au niveau du personnel d</w:t>
            </w:r>
            <w:r w:rsidR="00762E0A">
              <w:t>’</w:t>
            </w:r>
            <w:r w:rsidRPr="003B5EA4">
              <w:t>encadrement qui autorise les voyages, compte dûment tenu des impératifs de productivité, de sûreté et de sécurité des voyageurs, de promouvoir et d</w:t>
            </w:r>
            <w:r w:rsidR="00762E0A">
              <w:t>’</w:t>
            </w:r>
            <w:r w:rsidRPr="003B5EA4">
              <w:t>accroître la coordination et la coopération parmi les organismes, et de relever les bonnes pratiques et les enseignements à tirer afin d</w:t>
            </w:r>
            <w:r w:rsidR="00762E0A">
              <w:t>’</w:t>
            </w:r>
            <w:r w:rsidRPr="003B5EA4">
              <w:t>encourager, là où c</w:t>
            </w:r>
            <w:r w:rsidR="00762E0A">
              <w:t>’</w:t>
            </w:r>
            <w:r w:rsidRPr="003B5EA4">
              <w:t>est possible, une harmonisation des pratiques dans l</w:t>
            </w:r>
            <w:r w:rsidR="00762E0A">
              <w:t>’</w:t>
            </w:r>
            <w:r w:rsidRPr="003B5EA4">
              <w:t>ensemble du système des Nations Unies.</w:t>
            </w:r>
          </w:p>
        </w:tc>
      </w:tr>
      <w:tr w:rsidR="0075461D" w:rsidRPr="003B5EA4" w:rsidTr="00E447E1">
        <w:trPr>
          <w:jc w:val="center"/>
        </w:trPr>
        <w:tc>
          <w:tcPr>
            <w:tcW w:w="9637" w:type="dxa"/>
            <w:shd w:val="clear" w:color="auto" w:fill="auto"/>
          </w:tcPr>
          <w:p w:rsidR="0075461D" w:rsidRPr="003B5EA4" w:rsidRDefault="0075461D" w:rsidP="00F02796">
            <w:pPr>
              <w:pStyle w:val="SingleTxtG"/>
              <w:ind w:firstLine="567"/>
            </w:pPr>
            <w:r w:rsidRPr="003B5EA4">
              <w:t>Le rapport porte sur divers aspects du régime des voyages en avion au sein du Secrétariat de l</w:t>
            </w:r>
            <w:r w:rsidR="00762E0A">
              <w:t>’</w:t>
            </w:r>
            <w:r w:rsidRPr="003B5EA4">
              <w:t>Organisation des Nations Unies (ONU), des fonds, programmes et institutions spécialisées des Nations Unies, et de l</w:t>
            </w:r>
            <w:r w:rsidR="00762E0A">
              <w:t>’</w:t>
            </w:r>
            <w:r w:rsidRPr="003B5EA4">
              <w:t>Agence internationale de l</w:t>
            </w:r>
            <w:r w:rsidR="00762E0A">
              <w:t>’</w:t>
            </w:r>
            <w:r w:rsidRPr="003B5EA4">
              <w:t>énergie atomique (AIEA), à savoir : le coût des voyages en avion et des prestations connexes</w:t>
            </w:r>
            <w:r w:rsidR="00BF0B8F">
              <w:t> ;</w:t>
            </w:r>
            <w:r w:rsidRPr="003B5EA4">
              <w:t xml:space="preserve"> les conditions de voyage en avion</w:t>
            </w:r>
            <w:r w:rsidR="007959C4">
              <w:t> ;</w:t>
            </w:r>
            <w:r w:rsidRPr="003B5EA4">
              <w:t xml:space="preserve"> les politiques, pratiques et responsabilités relatives à la gestion des voyages en avion</w:t>
            </w:r>
            <w:r w:rsidR="007959C4">
              <w:t> ;</w:t>
            </w:r>
            <w:r w:rsidRPr="003B5EA4">
              <w:t xml:space="preserve"> les outils de cette gestion</w:t>
            </w:r>
            <w:r w:rsidR="007959C4">
              <w:t> ;</w:t>
            </w:r>
            <w:r w:rsidRPr="003B5EA4">
              <w:t xml:space="preserve"> la collaboration avec les prestataires de services</w:t>
            </w:r>
            <w:r w:rsidR="007959C4">
              <w:t> ;</w:t>
            </w:r>
            <w:r w:rsidRPr="003B5EA4">
              <w:t xml:space="preserve"> la planification, la surveillance et le contrôle budgétaire relatifs à la gestion des voyages en avion</w:t>
            </w:r>
            <w:r w:rsidR="007959C4">
              <w:t> ;</w:t>
            </w:r>
            <w:r w:rsidRPr="003B5EA4">
              <w:t xml:space="preserve"> les mesures d</w:t>
            </w:r>
            <w:r w:rsidR="00762E0A">
              <w:t>’</w:t>
            </w:r>
            <w:r w:rsidRPr="003B5EA4">
              <w:t>efficience et d</w:t>
            </w:r>
            <w:r w:rsidR="00762E0A">
              <w:t>’</w:t>
            </w:r>
            <w:r w:rsidRPr="003B5EA4">
              <w:t>économie</w:t>
            </w:r>
            <w:r w:rsidR="007959C4">
              <w:t> ;</w:t>
            </w:r>
            <w:r w:rsidRPr="003B5EA4">
              <w:t xml:space="preserve"> l</w:t>
            </w:r>
            <w:r w:rsidR="00762E0A">
              <w:t>’</w:t>
            </w:r>
            <w:r w:rsidRPr="003B5EA4">
              <w:t>harmonisation parmi les organismes des Nations Unies.</w:t>
            </w:r>
          </w:p>
        </w:tc>
      </w:tr>
      <w:tr w:rsidR="0075461D" w:rsidRPr="003B5EA4" w:rsidTr="00775274">
        <w:trPr>
          <w:jc w:val="center"/>
        </w:trPr>
        <w:tc>
          <w:tcPr>
            <w:tcW w:w="9637" w:type="dxa"/>
            <w:tcBorders>
              <w:bottom w:val="nil"/>
            </w:tcBorders>
            <w:shd w:val="clear" w:color="auto" w:fill="auto"/>
          </w:tcPr>
          <w:p w:rsidR="0075461D" w:rsidRPr="003B5EA4" w:rsidRDefault="0075461D" w:rsidP="00321D8E">
            <w:pPr>
              <w:pStyle w:val="SingleTxtG"/>
              <w:ind w:firstLine="567"/>
            </w:pPr>
            <w:r w:rsidRPr="003B5EA4">
              <w:t>L</w:t>
            </w:r>
            <w:r w:rsidR="00762E0A">
              <w:t>’</w:t>
            </w:r>
            <w:r w:rsidRPr="003B5EA4">
              <w:t>examen a consisté à analyser la documentation, les réponses au questionnaire et les notes d</w:t>
            </w:r>
            <w:r w:rsidR="00762E0A">
              <w:t>’</w:t>
            </w:r>
            <w:r w:rsidRPr="003B5EA4">
              <w:t>entretien recueillies auprès des 26 organismes participants qui ont répondu au questionnaire du CCI (dont 24 ont fourni des données financières) ainsi qu</w:t>
            </w:r>
            <w:r w:rsidR="00762E0A">
              <w:t>’</w:t>
            </w:r>
            <w:r w:rsidRPr="003B5EA4">
              <w:t>auprès d</w:t>
            </w:r>
            <w:r w:rsidR="00762E0A">
              <w:t>’</w:t>
            </w:r>
            <w:r w:rsidRPr="003B5EA4">
              <w:t>organes de contrôle et de coordination de l</w:t>
            </w:r>
            <w:r w:rsidR="00762E0A">
              <w:t>’</w:t>
            </w:r>
            <w:r w:rsidRPr="003B5EA4">
              <w:t>ONU, de conseils du personnel de l</w:t>
            </w:r>
            <w:r w:rsidR="00762E0A">
              <w:t>’</w:t>
            </w:r>
            <w:r w:rsidRPr="003B5EA4">
              <w:t xml:space="preserve">ONU, </w:t>
            </w:r>
            <w:r w:rsidRPr="00F32D15">
              <w:rPr>
                <w:spacing w:val="-4"/>
              </w:rPr>
              <w:t>d</w:t>
            </w:r>
            <w:r w:rsidR="00762E0A">
              <w:rPr>
                <w:spacing w:val="-4"/>
              </w:rPr>
              <w:t>’</w:t>
            </w:r>
            <w:r w:rsidRPr="00F32D15">
              <w:rPr>
                <w:spacing w:val="-4"/>
              </w:rPr>
              <w:t>autres organisations internationales, dont les institutions de Bretton Woods et une banque multilatérale de développement, de certains représentants d</w:t>
            </w:r>
            <w:r w:rsidR="00762E0A">
              <w:rPr>
                <w:spacing w:val="-4"/>
              </w:rPr>
              <w:t>’</w:t>
            </w:r>
            <w:r w:rsidRPr="00F32D15">
              <w:rPr>
                <w:spacing w:val="-4"/>
              </w:rPr>
              <w:t xml:space="preserve">États </w:t>
            </w:r>
            <w:r w:rsidR="00321D8E" w:rsidRPr="00F32D15">
              <w:rPr>
                <w:spacing w:val="-4"/>
              </w:rPr>
              <w:t>M</w:t>
            </w:r>
            <w:r w:rsidRPr="00F32D15">
              <w:rPr>
                <w:spacing w:val="-4"/>
              </w:rPr>
              <w:t>embres, d</w:t>
            </w:r>
            <w:r w:rsidR="00762E0A">
              <w:rPr>
                <w:spacing w:val="-4"/>
              </w:rPr>
              <w:t>’</w:t>
            </w:r>
            <w:r w:rsidRPr="00F32D15">
              <w:rPr>
                <w:spacing w:val="-4"/>
              </w:rPr>
              <w:t>une sélection de</w:t>
            </w:r>
            <w:r w:rsidRPr="003B5EA4">
              <w:rPr>
                <w:spacing w:val="-2"/>
              </w:rPr>
              <w:t xml:space="preserve"> </w:t>
            </w:r>
            <w:r w:rsidRPr="00F32D15">
              <w:rPr>
                <w:spacing w:val="-2"/>
              </w:rPr>
              <w:t>sociétés multinationales du secteur privé, de sociétés de gestion de voyages, et de compagnies aériennes, ainsi qu</w:t>
            </w:r>
            <w:r w:rsidR="00762E0A">
              <w:rPr>
                <w:spacing w:val="-2"/>
              </w:rPr>
              <w:t>’</w:t>
            </w:r>
            <w:r w:rsidRPr="00F32D15">
              <w:rPr>
                <w:spacing w:val="-2"/>
              </w:rPr>
              <w:t>auprès de l</w:t>
            </w:r>
            <w:r w:rsidR="00762E0A">
              <w:rPr>
                <w:spacing w:val="-2"/>
              </w:rPr>
              <w:t>’</w:t>
            </w:r>
            <w:r w:rsidRPr="00F32D15">
              <w:rPr>
                <w:spacing w:val="-2"/>
                <w:szCs w:val="22"/>
              </w:rPr>
              <w:t>Association du transport aérien international (IATA)</w:t>
            </w:r>
            <w:r w:rsidRPr="00F32D15">
              <w:rPr>
                <w:spacing w:val="-2"/>
              </w:rPr>
              <w:t>.</w:t>
            </w:r>
          </w:p>
        </w:tc>
      </w:tr>
      <w:tr w:rsidR="0075461D" w:rsidRPr="003B5EA4" w:rsidTr="00775274">
        <w:trPr>
          <w:jc w:val="center"/>
        </w:trPr>
        <w:tc>
          <w:tcPr>
            <w:tcW w:w="9637" w:type="dxa"/>
            <w:tcBorders>
              <w:top w:val="nil"/>
              <w:bottom w:val="nil"/>
            </w:tcBorders>
            <w:shd w:val="clear" w:color="auto" w:fill="auto"/>
          </w:tcPr>
          <w:p w:rsidR="0075461D" w:rsidRPr="003B5EA4" w:rsidRDefault="0075461D" w:rsidP="00F02796">
            <w:pPr>
              <w:pStyle w:val="SingleTxtG"/>
              <w:ind w:firstLine="567"/>
              <w:rPr>
                <w:sz w:val="22"/>
              </w:rPr>
            </w:pPr>
            <w:r w:rsidRPr="003B5EA4">
              <w:t>Le coût total des voyages en avion n</w:t>
            </w:r>
            <w:r w:rsidR="00762E0A">
              <w:t>’</w:t>
            </w:r>
            <w:r w:rsidRPr="003B5EA4">
              <w:t>a pas pu être calculé parce que certains organismes ont fourni des données incomplètes ou n</w:t>
            </w:r>
            <w:r w:rsidR="00762E0A">
              <w:t>’</w:t>
            </w:r>
            <w:r w:rsidRPr="003B5EA4">
              <w:t>ont fourni aucune des données demandées concernant leurs dépenses afférentes aux voyages en avion et à d</w:t>
            </w:r>
            <w:r w:rsidR="00762E0A">
              <w:t>’</w:t>
            </w:r>
            <w:r w:rsidRPr="003B5EA4">
              <w:t>autres éléments connexes. Certaines organisations qui ont fourni des données sur leurs dépenses n</w:t>
            </w:r>
            <w:r w:rsidR="00762E0A">
              <w:t>’</w:t>
            </w:r>
            <w:r w:rsidRPr="003B5EA4">
              <w:t>ont pas été en mesure de les ventiler selon qu</w:t>
            </w:r>
            <w:r w:rsidR="00762E0A">
              <w:t>’</w:t>
            </w:r>
            <w:r w:rsidRPr="003B5EA4">
              <w:t>elles concernaient les fonctionnaires ou les non-fonctionnaires, ou de préciser les conditions de voyage en avion (première classe, classe affaires ou classe économique) qu</w:t>
            </w:r>
            <w:r w:rsidR="00762E0A">
              <w:t>’</w:t>
            </w:r>
            <w:r w:rsidRPr="003B5EA4">
              <w:t>elles ont appliquées. En outre, l</w:t>
            </w:r>
            <w:r w:rsidR="00762E0A">
              <w:t>’</w:t>
            </w:r>
            <w:r w:rsidRPr="003B5EA4">
              <w:t>analyse des dépenses qui a été effectuée aux fins du présent examen ne porte que sur la période allant de 2012 à 2015, certaines organisations ayant indiqué qu</w:t>
            </w:r>
            <w:r w:rsidR="00762E0A">
              <w:t>’</w:t>
            </w:r>
            <w:r w:rsidRPr="003B5EA4">
              <w:t>elles ne disposaient pas avant 2012 de systèmes adéquats de gestion des voyages, tels que les progiciels de gestion intégrés. Plusieurs organisations n</w:t>
            </w:r>
            <w:r w:rsidR="00762E0A">
              <w:t>’</w:t>
            </w:r>
            <w:r w:rsidRPr="003B5EA4">
              <w:t>ont pas fourni de réponses complètes aux demandes d</w:t>
            </w:r>
            <w:r w:rsidR="00762E0A">
              <w:t>’</w:t>
            </w:r>
            <w:r w:rsidRPr="003B5EA4">
              <w:t>informations qualitatives figurant dans le questionnaire qui leur a été adressé par le CCI. Celui-ci a tenté à plusieurs reprises d</w:t>
            </w:r>
            <w:r w:rsidR="00762E0A">
              <w:t>’</w:t>
            </w:r>
            <w:r w:rsidRPr="003B5EA4">
              <w:t>obtenir les données manquantes, mais en vain. Ces lacunes ont limité l</w:t>
            </w:r>
            <w:r w:rsidR="00762E0A">
              <w:t>’</w:t>
            </w:r>
            <w:r w:rsidRPr="003B5EA4">
              <w:t>analyse à laquelle il a pu se livrer.</w:t>
            </w:r>
          </w:p>
        </w:tc>
      </w:tr>
      <w:tr w:rsidR="00F02796" w:rsidRPr="003B5EA4" w:rsidTr="00775274">
        <w:trPr>
          <w:jc w:val="center"/>
        </w:trPr>
        <w:tc>
          <w:tcPr>
            <w:tcW w:w="9637" w:type="dxa"/>
            <w:tcBorders>
              <w:top w:val="nil"/>
            </w:tcBorders>
            <w:shd w:val="clear" w:color="auto" w:fill="auto"/>
          </w:tcPr>
          <w:p w:rsidR="00F02796" w:rsidRPr="003B5EA4" w:rsidRDefault="00775274" w:rsidP="009515F6">
            <w:pPr>
              <w:pStyle w:val="SingleTxtG"/>
              <w:jc w:val="left"/>
              <w:rPr>
                <w:b/>
              </w:rPr>
            </w:pPr>
            <w:r w:rsidRPr="003B5EA4">
              <w:rPr>
                <w:b/>
              </w:rPr>
              <w:lastRenderedPageBreak/>
              <w:t>Principales constatations, conclusions et recommandations</w:t>
            </w:r>
          </w:p>
        </w:tc>
      </w:tr>
      <w:tr w:rsidR="00775274" w:rsidRPr="003B5EA4" w:rsidTr="00775274">
        <w:trPr>
          <w:jc w:val="center"/>
        </w:trPr>
        <w:tc>
          <w:tcPr>
            <w:tcW w:w="9637" w:type="dxa"/>
            <w:tcBorders>
              <w:top w:val="nil"/>
            </w:tcBorders>
            <w:shd w:val="clear" w:color="auto" w:fill="auto"/>
          </w:tcPr>
          <w:p w:rsidR="00775274" w:rsidRPr="003B5EA4" w:rsidRDefault="00775274" w:rsidP="009515F6">
            <w:pPr>
              <w:pStyle w:val="SingleTxtG"/>
              <w:jc w:val="left"/>
              <w:rPr>
                <w:b/>
              </w:rPr>
            </w:pPr>
            <w:r w:rsidRPr="003B5EA4">
              <w:rPr>
                <w:b/>
              </w:rPr>
              <w:t>Coût des voyages en avion et des prestations connexes</w:t>
            </w:r>
          </w:p>
        </w:tc>
      </w:tr>
      <w:tr w:rsidR="00775274" w:rsidRPr="003B5EA4" w:rsidTr="00775274">
        <w:trPr>
          <w:jc w:val="center"/>
        </w:trPr>
        <w:tc>
          <w:tcPr>
            <w:tcW w:w="9637" w:type="dxa"/>
            <w:tcBorders>
              <w:top w:val="nil"/>
            </w:tcBorders>
            <w:shd w:val="clear" w:color="auto" w:fill="auto"/>
          </w:tcPr>
          <w:p w:rsidR="00775274" w:rsidRPr="003B5EA4" w:rsidRDefault="006365D4" w:rsidP="000D5D0D">
            <w:pPr>
              <w:pStyle w:val="SingleTxtG"/>
              <w:ind w:firstLine="567"/>
              <w:rPr>
                <w:b/>
              </w:rPr>
            </w:pPr>
            <w:r w:rsidRPr="003B5EA4">
              <w:t>Sur la base des données fournies par 24 organismes des Nations Unies, l</w:t>
            </w:r>
            <w:r w:rsidR="00762E0A">
              <w:t>’</w:t>
            </w:r>
            <w:r w:rsidRPr="003B5EA4">
              <w:t xml:space="preserve">examen a établi que le montant total dépensé au titre des voyages en avion et des prestations connexes </w:t>
            </w:r>
            <w:r w:rsidR="000D5D0D" w:rsidRPr="003B5EA4">
              <w:t>−</w:t>
            </w:r>
            <w:r w:rsidRPr="003B5EA4">
              <w:t> </w:t>
            </w:r>
            <w:r w:rsidRPr="003B5EA4">
              <w:rPr>
                <w:rFonts w:ascii="Times" w:hAnsi="Times" w:cstheme="minorBidi"/>
              </w:rPr>
              <w:t>billets d</w:t>
            </w:r>
            <w:r w:rsidR="00762E0A">
              <w:rPr>
                <w:rFonts w:ascii="Times" w:hAnsi="Times" w:cstheme="minorBidi"/>
              </w:rPr>
              <w:t>’</w:t>
            </w:r>
            <w:r w:rsidRPr="003B5EA4">
              <w:rPr>
                <w:rFonts w:ascii="Times" w:hAnsi="Times" w:cstheme="minorBidi"/>
              </w:rPr>
              <w:t>avion, indemnité journalière de subsistance, somme forfaitaire</w:t>
            </w:r>
            <w:r w:rsidRPr="003B5EA4">
              <w:t>, faux frais au départ et à l</w:t>
            </w:r>
            <w:r w:rsidR="00762E0A">
              <w:t>’</w:t>
            </w:r>
            <w:r w:rsidRPr="003B5EA4">
              <w:t>arrivée, et expéditions </w:t>
            </w:r>
            <w:r w:rsidR="000D5D0D" w:rsidRPr="003B5EA4">
              <w:t>−</w:t>
            </w:r>
            <w:r w:rsidRPr="003B5EA4">
              <w:t xml:space="preserve"> s</w:t>
            </w:r>
            <w:r w:rsidR="00762E0A">
              <w:t>’</w:t>
            </w:r>
            <w:r w:rsidRPr="003B5EA4">
              <w:t>est élevé à 4 milliards de dollars des États</w:t>
            </w:r>
            <w:r w:rsidRPr="003B5EA4">
              <w:noBreakHyphen/>
              <w:t>Unis pour la période de quatre ans allant de 2012 à 2015. Cette somme totale s</w:t>
            </w:r>
            <w:r w:rsidR="00762E0A">
              <w:t>’</w:t>
            </w:r>
            <w:r w:rsidRPr="003B5EA4">
              <w:t>entend à la fois des ressources inscrites au budget ordinaire et des ressources extrabudgétaires qui ont été consacrées aux voyages en avion et aux prestations connexes destinées aux fonctionnaires et aux non-fonctionnaires, à l</w:t>
            </w:r>
            <w:r w:rsidR="00762E0A">
              <w:t>’</w:t>
            </w:r>
            <w:r w:rsidRPr="003B5EA4">
              <w:t>exclusion toutefois des voyages relatifs aux opérations de maintien de la paix des Nations Unies. Ces dépenses, considérées dans leur totalité et en proportion des dépenses totales de chaque organisme, représentent une charge financière significative pour presque tous les organismes des Nations Unies</w:t>
            </w:r>
            <w:r w:rsidRPr="003B5EA4">
              <w:rPr>
                <w:rFonts w:ascii="Times" w:hAnsi="Times" w:cstheme="minorBidi"/>
              </w:rPr>
              <w:t>.</w:t>
            </w:r>
          </w:p>
        </w:tc>
      </w:tr>
      <w:tr w:rsidR="006365D4" w:rsidRPr="003B5EA4" w:rsidTr="00775274">
        <w:trPr>
          <w:jc w:val="center"/>
        </w:trPr>
        <w:tc>
          <w:tcPr>
            <w:tcW w:w="9637" w:type="dxa"/>
            <w:tcBorders>
              <w:top w:val="nil"/>
            </w:tcBorders>
            <w:shd w:val="clear" w:color="auto" w:fill="auto"/>
          </w:tcPr>
          <w:p w:rsidR="006365D4" w:rsidRPr="003B5EA4" w:rsidRDefault="006365D4" w:rsidP="006365D4">
            <w:pPr>
              <w:pStyle w:val="SingleTxtG"/>
              <w:ind w:firstLine="567"/>
            </w:pPr>
            <w:r w:rsidRPr="003B5EA4">
              <w:t>La valeur totale des voyages en avion et des prestations connexes aurait été plus élevée si tous les organismes des Nations Unies avaient fourni au CCI les informations que celui-ci leur demandait (voir annexe I). À cet égard, l</w:t>
            </w:r>
            <w:r w:rsidR="00762E0A">
              <w:t>’</w:t>
            </w:r>
            <w:r w:rsidRPr="003B5EA4">
              <w:t>Inspectrice rappelle la résolution 69/274 de l</w:t>
            </w:r>
            <w:r w:rsidR="00762E0A">
              <w:t>’</w:t>
            </w:r>
            <w:r w:rsidRPr="003B5EA4">
              <w:t>Assemblée générale dans laquelle le Secrétaire général est prié de fournir les données complètes et compréhensibles nécessaires à une gestion rationnelle et un contrôle efficace de toutes les dépenses afférentes aux voyages en avion.</w:t>
            </w:r>
          </w:p>
        </w:tc>
      </w:tr>
      <w:tr w:rsidR="006365D4" w:rsidRPr="003B5EA4" w:rsidTr="00775274">
        <w:trPr>
          <w:jc w:val="center"/>
        </w:trPr>
        <w:tc>
          <w:tcPr>
            <w:tcW w:w="9637" w:type="dxa"/>
            <w:tcBorders>
              <w:top w:val="nil"/>
            </w:tcBorders>
            <w:shd w:val="clear" w:color="auto" w:fill="auto"/>
          </w:tcPr>
          <w:p w:rsidR="006365D4" w:rsidRPr="003B5EA4" w:rsidRDefault="006C2ACD" w:rsidP="009515F6">
            <w:pPr>
              <w:pStyle w:val="SingleTxtG"/>
              <w:jc w:val="left"/>
              <w:rPr>
                <w:b/>
              </w:rPr>
            </w:pPr>
            <w:r w:rsidRPr="003B5EA4">
              <w:rPr>
                <w:b/>
              </w:rPr>
              <w:t>Conditions de voyage en avion des fonctionnaires et non-fonctionnaires</w:t>
            </w:r>
          </w:p>
        </w:tc>
      </w:tr>
      <w:tr w:rsidR="006C2ACD" w:rsidRPr="003B5EA4" w:rsidTr="00775274">
        <w:trPr>
          <w:jc w:val="center"/>
        </w:trPr>
        <w:tc>
          <w:tcPr>
            <w:tcW w:w="9637" w:type="dxa"/>
            <w:tcBorders>
              <w:top w:val="nil"/>
            </w:tcBorders>
            <w:shd w:val="clear" w:color="auto" w:fill="auto"/>
          </w:tcPr>
          <w:p w:rsidR="006C2ACD" w:rsidRPr="003B5EA4" w:rsidRDefault="006C2ACD" w:rsidP="00E90748">
            <w:pPr>
              <w:pStyle w:val="SingleTxtG"/>
              <w:ind w:firstLine="567"/>
              <w:rPr>
                <w:b/>
              </w:rPr>
            </w:pPr>
            <w:r w:rsidRPr="003B5EA4">
              <w:t>Les conditions de voyage en avion sont régies par les politiques, règlements et règles établis par les organes délibérants des organismes des Nations Unies. Les deux principaux types de voyages sont les voyages officiels (missions) et statutaires (droits). Les conditions de voyage en avion reconnues sont la première classe, la classe affaires et la classe économique. Les critères (rang du fonctionnaire et durée du voyage) et les seuils de détermination des conditions applicables varient selon les organismes interrogés. Les variations dans les conditions de voyage en avion accordées aux fonctionnaires de haut rang (voir annexe III), aux fonctionnaires de rang D-2 ou inférieur (voir annexe IV) et aux non-fonctionnaires (voir annexe V) sont relevées dans les annexes en référence. Bien que peu d</w:t>
            </w:r>
            <w:r w:rsidR="00762E0A">
              <w:t>’</w:t>
            </w:r>
            <w:r w:rsidRPr="003B5EA4">
              <w:t>organismes aient été en mesure de fournir une ventilation détaillée des coûts de voyage selon qu</w:t>
            </w:r>
            <w:r w:rsidR="00762E0A">
              <w:t>’</w:t>
            </w:r>
            <w:r w:rsidRPr="003B5EA4">
              <w:t>ils concernaient des fonctionnaires ou des non-fonctionnaires, la plupart de leurs représentants interrogés ont indiqué que les voyages des premiers représentaient la part la plus grande de ces dépenses.</w:t>
            </w:r>
          </w:p>
        </w:tc>
      </w:tr>
      <w:tr w:rsidR="006C2ACD" w:rsidRPr="003B5EA4" w:rsidTr="00B413B9">
        <w:trPr>
          <w:jc w:val="center"/>
        </w:trPr>
        <w:tc>
          <w:tcPr>
            <w:tcW w:w="9637" w:type="dxa"/>
            <w:tcBorders>
              <w:top w:val="nil"/>
              <w:bottom w:val="nil"/>
            </w:tcBorders>
            <w:shd w:val="clear" w:color="auto" w:fill="auto"/>
          </w:tcPr>
          <w:p w:rsidR="006C2ACD" w:rsidRPr="003B5EA4" w:rsidRDefault="006C2ACD" w:rsidP="006C2ACD">
            <w:pPr>
              <w:pStyle w:val="SingleTxtG"/>
              <w:ind w:firstLine="567"/>
            </w:pPr>
            <w:r w:rsidRPr="003B5EA4">
              <w:t>Selon les politiques analysées, le voyage en première classe n</w:t>
            </w:r>
            <w:r w:rsidR="00762E0A">
              <w:t>’</w:t>
            </w:r>
            <w:r w:rsidRPr="003B5EA4">
              <w:t>est prévu que dans le cas des fonctionnaires de haut rang, et seulement dans certaines organisations, comme le montre l</w:t>
            </w:r>
            <w:r w:rsidR="00762E0A">
              <w:t>’</w:t>
            </w:r>
            <w:r w:rsidRPr="003B5EA4">
              <w:t>annexe III, ainsi que dans le cas de certains non-fonctionnaires, comme le montre l</w:t>
            </w:r>
            <w:r w:rsidR="00762E0A">
              <w:t>’</w:t>
            </w:r>
            <w:r w:rsidRPr="003B5EA4">
              <w:t>annexe V. Sept organismes continuent d</w:t>
            </w:r>
            <w:r w:rsidR="00762E0A">
              <w:t>’</w:t>
            </w:r>
            <w:r w:rsidRPr="003B5EA4">
              <w:t>utiliser la première classe pour certains voyages officiels, et si le recours à cette classe s</w:t>
            </w:r>
            <w:r w:rsidR="00762E0A">
              <w:t>’</w:t>
            </w:r>
            <w:r w:rsidRPr="003B5EA4">
              <w:t>est considérablement réduit pour les voyages statutaires depuis 2004, il reste de mise à ce titre dans quatre organismes. La première classe coûte en moyenne 33 % de plus par voyage que la classe affaires. Compte tenu des améliorations substantielles apportées au confort de cette dernière, l</w:t>
            </w:r>
            <w:r w:rsidR="00762E0A">
              <w:t>’</w:t>
            </w:r>
            <w:r w:rsidRPr="003B5EA4">
              <w:t>Inspectrice recommande aux organes délibérants concernés de supprimer la première classe des conditions de voyage en avion autorisées par leurs organismes respectifs (recommandation 2).</w:t>
            </w:r>
          </w:p>
        </w:tc>
      </w:tr>
      <w:tr w:rsidR="006C2ACD" w:rsidRPr="003B5EA4" w:rsidTr="00B413B9">
        <w:trPr>
          <w:jc w:val="center"/>
        </w:trPr>
        <w:tc>
          <w:tcPr>
            <w:tcW w:w="9637" w:type="dxa"/>
            <w:tcBorders>
              <w:top w:val="nil"/>
              <w:bottom w:val="nil"/>
            </w:tcBorders>
            <w:shd w:val="clear" w:color="auto" w:fill="auto"/>
          </w:tcPr>
          <w:p w:rsidR="006C2ACD" w:rsidRPr="003B5EA4" w:rsidRDefault="006C2ACD" w:rsidP="00B413B9">
            <w:pPr>
              <w:pStyle w:val="SingleTxtG"/>
              <w:ind w:firstLine="567"/>
            </w:pPr>
            <w:r w:rsidRPr="003B5EA4">
              <w:t>Les organismes présentent également entre eux des différences considérables en ce qui concerne les critères et seuils ouvrant droit au voyage en classe affaires. Ces différences portent sur le rang que les fonctionnaires doivent avoir atteint et la catégorie à laquelle les non-fonctionnaires doivent appartenir pour bénéficier de ces conditions, ainsi que sur la durée de voyage à partir de laquelle celles-ci s</w:t>
            </w:r>
            <w:r w:rsidR="00762E0A">
              <w:t>’</w:t>
            </w:r>
            <w:r w:rsidRPr="003B5EA4">
              <w:t>appliquent aux voyages officiels. Globalement, dans le cas des organismes ayant fourni des données quant à la classe des billets, la classe affaires représentait 22 % du nombre total des voyages, mais 54 % des dépenses totales engagées au titre des billets d</w:t>
            </w:r>
            <w:r w:rsidR="00762E0A">
              <w:t>’</w:t>
            </w:r>
            <w:r w:rsidRPr="003B5EA4">
              <w:t>avion. Le billet de la classe affaires peut coûter trois fois plus cher en moyenne que celui de la classe économique. L</w:t>
            </w:r>
            <w:r w:rsidR="00762E0A">
              <w:t>’</w:t>
            </w:r>
            <w:r w:rsidRPr="003B5EA4">
              <w:t>Inspectrice est d</w:t>
            </w:r>
            <w:r w:rsidR="00762E0A">
              <w:t>’</w:t>
            </w:r>
            <w:r w:rsidRPr="003B5EA4">
              <w:t>avis que des formules de remplacement du voyage en classe affaires, telles que la classe économique supérieure, dite « premium »,</w:t>
            </w:r>
            <w:r w:rsidRPr="003B5EA4">
              <w:rPr>
                <w:bCs/>
                <w:lang w:eastAsia="zh-CN"/>
              </w:rPr>
              <w:t xml:space="preserve"> et d</w:t>
            </w:r>
            <w:r w:rsidR="00762E0A">
              <w:rPr>
                <w:bCs/>
                <w:lang w:eastAsia="zh-CN"/>
              </w:rPr>
              <w:t>’</w:t>
            </w:r>
            <w:r w:rsidRPr="003B5EA4">
              <w:rPr>
                <w:bCs/>
                <w:lang w:eastAsia="zh-CN"/>
              </w:rPr>
              <w:t>autres offres intermédiaires entre la classe économique standard et la classe affaires, peuvent être envisagées, étant donné qu</w:t>
            </w:r>
            <w:r w:rsidR="00762E0A">
              <w:rPr>
                <w:bCs/>
                <w:lang w:eastAsia="zh-CN"/>
              </w:rPr>
              <w:t>’</w:t>
            </w:r>
            <w:r w:rsidRPr="003B5EA4">
              <w:rPr>
                <w:bCs/>
                <w:lang w:eastAsia="zh-CN"/>
              </w:rPr>
              <w:t xml:space="preserve">elles </w:t>
            </w:r>
            <w:r w:rsidRPr="003B5EA4">
              <w:rPr>
                <w:bCs/>
                <w:lang w:eastAsia="zh-CN"/>
              </w:rPr>
              <w:lastRenderedPageBreak/>
              <w:t>présentent un niveau de confort et des avantages de loin supérieurs au</w:t>
            </w:r>
            <w:r w:rsidR="00E90748">
              <w:rPr>
                <w:bCs/>
                <w:lang w:eastAsia="zh-CN"/>
              </w:rPr>
              <w:t>x</w:t>
            </w:r>
            <w:r w:rsidRPr="003B5EA4">
              <w:rPr>
                <w:bCs/>
                <w:lang w:eastAsia="zh-CN"/>
              </w:rPr>
              <w:t xml:space="preserve"> conditions de la classe économique standard, mais à un coût sensiblement inférieur à celui de la classe affaires</w:t>
            </w:r>
            <w:r w:rsidRPr="003B5EA4">
              <w:t>.</w:t>
            </w:r>
          </w:p>
        </w:tc>
      </w:tr>
      <w:tr w:rsidR="006C2ACD" w:rsidRPr="003B5EA4" w:rsidTr="00B413B9">
        <w:trPr>
          <w:jc w:val="center"/>
        </w:trPr>
        <w:tc>
          <w:tcPr>
            <w:tcW w:w="9637" w:type="dxa"/>
            <w:tcBorders>
              <w:top w:val="nil"/>
            </w:tcBorders>
            <w:shd w:val="clear" w:color="auto" w:fill="auto"/>
          </w:tcPr>
          <w:p w:rsidR="006C2ACD" w:rsidRPr="003B5EA4" w:rsidRDefault="00B413B9" w:rsidP="006C2ACD">
            <w:pPr>
              <w:pStyle w:val="SingleTxtG"/>
              <w:ind w:firstLine="567"/>
            </w:pPr>
            <w:r w:rsidRPr="003B5EA4">
              <w:lastRenderedPageBreak/>
              <w:t>En ce qui concerne la classe économique, l</w:t>
            </w:r>
            <w:r w:rsidR="00762E0A">
              <w:t>’</w:t>
            </w:r>
            <w:r w:rsidRPr="003B5EA4">
              <w:t>examen a conclu que la politique actuellement suivie par plusieurs organismes, selon laquelle l</w:t>
            </w:r>
            <w:r w:rsidR="00762E0A">
              <w:t>’</w:t>
            </w:r>
            <w:r w:rsidRPr="003B5EA4">
              <w:t>itinéraire autorisé doit être le plus économique disponible pour autant que sa durée n</w:t>
            </w:r>
            <w:r w:rsidR="00762E0A">
              <w:t>’</w:t>
            </w:r>
            <w:r w:rsidRPr="003B5EA4">
              <w:t>excède pas de plus de quatre heures celle de l</w:t>
            </w:r>
            <w:r w:rsidR="00762E0A">
              <w:t>’</w:t>
            </w:r>
            <w:r w:rsidRPr="003B5EA4">
              <w:t>itinéraire le plus direct, peut contraindre le fonctionnaire à des escales inutiles pour ne réaliser en définitive que des économies marginales. Ce fait peut par ailleurs exposer le voyageur à certains risques quant à sa sûreté et à sa sécurité notamment</w:t>
            </w:r>
            <w:r w:rsidRPr="003B5EA4">
              <w:rPr>
                <w:rFonts w:eastAsiaTheme="minorEastAsia"/>
              </w:rPr>
              <w:t>. Face à cette situation, l</w:t>
            </w:r>
            <w:r w:rsidR="00762E0A">
              <w:rPr>
                <w:rFonts w:eastAsiaTheme="minorEastAsia"/>
              </w:rPr>
              <w:t>’</w:t>
            </w:r>
            <w:r w:rsidRPr="003B5EA4">
              <w:rPr>
                <w:rFonts w:eastAsiaTheme="minorEastAsia"/>
              </w:rPr>
              <w:t>Inspectrice recommande aux organes délibérants des organismes des Nations Unies qui ne se sont pas encore dotés d</w:t>
            </w:r>
            <w:r w:rsidR="00762E0A">
              <w:rPr>
                <w:rFonts w:eastAsiaTheme="minorEastAsia"/>
              </w:rPr>
              <w:t>’</w:t>
            </w:r>
            <w:r w:rsidRPr="003B5EA4">
              <w:rPr>
                <w:rFonts w:eastAsiaTheme="minorEastAsia"/>
              </w:rPr>
              <w:t>un tel seuil, de prier leurs chefs de secrétariat de fixer un pourcentage de coût supplémentaire au-dessous duquel l</w:t>
            </w:r>
            <w:r w:rsidR="00762E0A">
              <w:rPr>
                <w:rFonts w:eastAsiaTheme="minorEastAsia"/>
              </w:rPr>
              <w:t>’</w:t>
            </w:r>
            <w:r w:rsidRPr="003B5EA4">
              <w:rPr>
                <w:rFonts w:eastAsiaTheme="minorEastAsia"/>
              </w:rPr>
              <w:t>itinéraire le plus direct peut être choisi au lieu du plus économique (recommandation 1).</w:t>
            </w:r>
          </w:p>
        </w:tc>
      </w:tr>
      <w:tr w:rsidR="00B413B9" w:rsidRPr="003B5EA4" w:rsidTr="00B413B9">
        <w:trPr>
          <w:jc w:val="center"/>
        </w:trPr>
        <w:tc>
          <w:tcPr>
            <w:tcW w:w="9637" w:type="dxa"/>
            <w:tcBorders>
              <w:top w:val="nil"/>
            </w:tcBorders>
            <w:shd w:val="clear" w:color="auto" w:fill="auto"/>
          </w:tcPr>
          <w:p w:rsidR="00B413B9" w:rsidRPr="003B5EA4" w:rsidRDefault="00B413B9" w:rsidP="00E90748">
            <w:pPr>
              <w:pStyle w:val="SingleTxtG"/>
              <w:ind w:firstLine="567"/>
            </w:pPr>
            <w:r w:rsidRPr="003B5EA4">
              <w:t xml:space="preserve">En ce qui concerne les catégories de non-fonctionnaires </w:t>
            </w:r>
            <w:r w:rsidR="00E90748">
              <w:t>−</w:t>
            </w:r>
            <w:r w:rsidRPr="003B5EA4">
              <w:t> </w:t>
            </w:r>
            <w:r w:rsidRPr="003B5EA4">
              <w:rPr>
                <w:rFonts w:eastAsiaTheme="minorEastAsia"/>
              </w:rPr>
              <w:t>membres d</w:t>
            </w:r>
            <w:r w:rsidR="00762E0A">
              <w:rPr>
                <w:rFonts w:eastAsiaTheme="minorEastAsia"/>
              </w:rPr>
              <w:t>’</w:t>
            </w:r>
            <w:r w:rsidRPr="003B5EA4">
              <w:rPr>
                <w:rFonts w:eastAsiaTheme="minorEastAsia"/>
              </w:rPr>
              <w:t>organes et organes subsidiaires, représentants d</w:t>
            </w:r>
            <w:r w:rsidR="00762E0A">
              <w:rPr>
                <w:rFonts w:eastAsiaTheme="minorEastAsia"/>
              </w:rPr>
              <w:t>’</w:t>
            </w:r>
            <w:r w:rsidRPr="003B5EA4">
              <w:rPr>
                <w:rFonts w:eastAsiaTheme="minorEastAsia"/>
              </w:rPr>
              <w:t>États Membres, consultants et vacataires </w:t>
            </w:r>
            <w:r w:rsidR="00E90748">
              <w:rPr>
                <w:rFonts w:eastAsiaTheme="minorEastAsia"/>
              </w:rPr>
              <w:t>−</w:t>
            </w:r>
            <w:r w:rsidRPr="003B5EA4">
              <w:rPr>
                <w:rFonts w:eastAsiaTheme="minorEastAsia"/>
              </w:rPr>
              <w:t>,</w:t>
            </w:r>
            <w:r w:rsidRPr="003B5EA4">
              <w:t xml:space="preserve"> l</w:t>
            </w:r>
            <w:r w:rsidR="00762E0A">
              <w:t>’</w:t>
            </w:r>
            <w:r w:rsidRPr="003B5EA4">
              <w:t>examen a permis de constater que les conditions de voyage en avion applicables variaient grandement d</w:t>
            </w:r>
            <w:r w:rsidR="00762E0A">
              <w:t>’</w:t>
            </w:r>
            <w:r w:rsidRPr="003B5EA4">
              <w:t>un organisme à l</w:t>
            </w:r>
            <w:r w:rsidR="00762E0A">
              <w:t>’</w:t>
            </w:r>
            <w:r w:rsidRPr="003B5EA4">
              <w:t>autre</w:t>
            </w:r>
            <w:r w:rsidRPr="003B5EA4">
              <w:rPr>
                <w:rFonts w:eastAsiaTheme="minorEastAsia"/>
              </w:rPr>
              <w:t>. Il a également mis en évidence, sur la base des données fournies par 16 organismes, que le nombre de catégories de non-fonctionnaires dont les voyages sont payés par ces organismes a augmenté pendant la période 2012-2015, les dépenses correspondantes atteignant un montant total de 1,35 milliard de dollars des États-Unis pour ces quatre années. L</w:t>
            </w:r>
            <w:r w:rsidR="00762E0A">
              <w:rPr>
                <w:rFonts w:eastAsiaTheme="minorEastAsia"/>
              </w:rPr>
              <w:t>’</w:t>
            </w:r>
            <w:r w:rsidRPr="003B5EA4">
              <w:rPr>
                <w:rFonts w:eastAsiaTheme="minorEastAsia"/>
              </w:rPr>
              <w:t>Inspectrice est d</w:t>
            </w:r>
            <w:r w:rsidR="00762E0A">
              <w:rPr>
                <w:rFonts w:eastAsiaTheme="minorEastAsia"/>
              </w:rPr>
              <w:t>’</w:t>
            </w:r>
            <w:r w:rsidRPr="003B5EA4">
              <w:rPr>
                <w:rFonts w:eastAsiaTheme="minorEastAsia"/>
              </w:rPr>
              <w:t>avis que les politiques applicables aux voyages des non-fonctionnaires devraient être revues afin d</w:t>
            </w:r>
            <w:r w:rsidR="00762E0A">
              <w:rPr>
                <w:rFonts w:eastAsiaTheme="minorEastAsia"/>
              </w:rPr>
              <w:t>’</w:t>
            </w:r>
            <w:r w:rsidRPr="003B5EA4">
              <w:rPr>
                <w:rFonts w:eastAsiaTheme="minorEastAsia"/>
              </w:rPr>
              <w:t>assurer une application cohérente et harmonisée des conditions de voyage en avion dans l</w:t>
            </w:r>
            <w:r w:rsidR="00762E0A">
              <w:rPr>
                <w:rFonts w:eastAsiaTheme="minorEastAsia"/>
              </w:rPr>
              <w:t>’</w:t>
            </w:r>
            <w:r w:rsidRPr="003B5EA4">
              <w:rPr>
                <w:rFonts w:eastAsiaTheme="minorEastAsia"/>
              </w:rPr>
              <w:t>ensemble du système des Nations Unies. Le Secrétaire général de l</w:t>
            </w:r>
            <w:r w:rsidR="00762E0A">
              <w:rPr>
                <w:rFonts w:eastAsiaTheme="minorEastAsia"/>
              </w:rPr>
              <w:t>’</w:t>
            </w:r>
            <w:r w:rsidRPr="003B5EA4">
              <w:rPr>
                <w:rFonts w:eastAsiaTheme="minorEastAsia"/>
              </w:rPr>
              <w:t xml:space="preserve">ONU devrait en outre modifier et actualiser la circulaire de 1991 relative aux conditions de voyage des non-fonctionnaires </w:t>
            </w:r>
            <w:r w:rsidRPr="003B5EA4">
              <w:t>(ST/SGB/107/Rev.6, en anglais) à l</w:t>
            </w:r>
            <w:r w:rsidR="00762E0A">
              <w:t>’</w:t>
            </w:r>
            <w:r w:rsidRPr="003B5EA4">
              <w:t>effet d</w:t>
            </w:r>
            <w:r w:rsidR="00762E0A">
              <w:t>’</w:t>
            </w:r>
            <w:r w:rsidRPr="003B5EA4">
              <w:t>y inclure les nouveaux organes et organes subsidiaires établis depuis.</w:t>
            </w:r>
          </w:p>
        </w:tc>
      </w:tr>
      <w:tr w:rsidR="00B413B9" w:rsidRPr="003B5EA4" w:rsidTr="00B413B9">
        <w:trPr>
          <w:jc w:val="center"/>
        </w:trPr>
        <w:tc>
          <w:tcPr>
            <w:tcW w:w="9637" w:type="dxa"/>
            <w:tcBorders>
              <w:top w:val="nil"/>
            </w:tcBorders>
            <w:shd w:val="clear" w:color="auto" w:fill="auto"/>
          </w:tcPr>
          <w:p w:rsidR="00B413B9" w:rsidRPr="003B5EA4" w:rsidRDefault="00B413B9" w:rsidP="009515F6">
            <w:pPr>
              <w:pStyle w:val="SingleTxtG"/>
              <w:jc w:val="left"/>
              <w:rPr>
                <w:b/>
              </w:rPr>
            </w:pPr>
            <w:r w:rsidRPr="003B5EA4">
              <w:rPr>
                <w:b/>
              </w:rPr>
              <w:t>Dérogations aux conditions de voyage en avion prévues</w:t>
            </w:r>
          </w:p>
        </w:tc>
      </w:tr>
      <w:tr w:rsidR="006C63CA" w:rsidRPr="003B5EA4" w:rsidTr="00B413B9">
        <w:trPr>
          <w:jc w:val="center"/>
        </w:trPr>
        <w:tc>
          <w:tcPr>
            <w:tcW w:w="9637" w:type="dxa"/>
            <w:tcBorders>
              <w:top w:val="nil"/>
            </w:tcBorders>
            <w:shd w:val="clear" w:color="auto" w:fill="auto"/>
          </w:tcPr>
          <w:p w:rsidR="006C63CA" w:rsidRPr="003B5EA4" w:rsidRDefault="006C63CA" w:rsidP="0019144D">
            <w:pPr>
              <w:pStyle w:val="SingleTxtG"/>
              <w:ind w:firstLine="567"/>
            </w:pPr>
            <w:r w:rsidRPr="003B5EA4">
              <w:t>Il ressort de l</w:t>
            </w:r>
            <w:r w:rsidR="00762E0A">
              <w:t>’</w:t>
            </w:r>
            <w:r w:rsidRPr="003B5EA4">
              <w:t>analyse des informations fournies par les organismes que le recours aux dérogations en matière de conditions de voyage en avion n</w:t>
            </w:r>
            <w:r w:rsidR="00762E0A">
              <w:t>’</w:t>
            </w:r>
            <w:r w:rsidRPr="003B5EA4">
              <w:t xml:space="preserve">est pas une pratique courante au sein du système des Nations Unies. Il reste que pendant la période de </w:t>
            </w:r>
            <w:r w:rsidR="0019144D">
              <w:t>dix</w:t>
            </w:r>
            <w:r w:rsidRPr="003B5EA4">
              <w:t> ans s</w:t>
            </w:r>
            <w:r w:rsidR="00762E0A">
              <w:t>’</w:t>
            </w:r>
            <w:r w:rsidRPr="003B5EA4">
              <w:t>étendant du 1</w:t>
            </w:r>
            <w:r w:rsidRPr="003B5EA4">
              <w:rPr>
                <w:vertAlign w:val="superscript"/>
              </w:rPr>
              <w:t>er</w:t>
            </w:r>
            <w:r w:rsidRPr="003B5EA4">
              <w:t> juillet</w:t>
            </w:r>
            <w:r w:rsidRPr="003B5EA4">
              <w:rPr>
                <w:bCs/>
              </w:rPr>
              <w:t xml:space="preserve"> 2006 au 30 juin 2016, le Secrétariat de l</w:t>
            </w:r>
            <w:r w:rsidR="00762E0A">
              <w:rPr>
                <w:bCs/>
              </w:rPr>
              <w:t>’</w:t>
            </w:r>
            <w:r w:rsidRPr="003B5EA4">
              <w:rPr>
                <w:bCs/>
              </w:rPr>
              <w:t>ONU et les entités qui lui sont apparentées ont octroyé 3 147 dérogations, moyennant un coût supplémentaire total de 8,6 millions de dollars des États-Unis, chaque période biennale marquant une augmentation sensible à cet égard par rapport à la précédente.</w:t>
            </w:r>
            <w:r w:rsidRPr="003B5EA4">
              <w:t xml:space="preserve"> Les dérogations octroyées au titre de la catégorie dite des « personnalités éminentes » représentaient 50 % de l</w:t>
            </w:r>
            <w:r w:rsidR="00762E0A">
              <w:t>’</w:t>
            </w:r>
            <w:r w:rsidRPr="003B5EA4">
              <w:t>ensemble de ces dépenses supplémentaires, les coûts correspondants passant de 70 000 dollars des États</w:t>
            </w:r>
            <w:r w:rsidRPr="003B5EA4">
              <w:noBreakHyphen/>
              <w:t>Unis pour la période biennale 2006-2008 à 2,62 millions de dollars des États-Unis pour la période biennale 2014-2016. Au vu de cet état de choses, l</w:t>
            </w:r>
            <w:r w:rsidR="00762E0A">
              <w:t>’</w:t>
            </w:r>
            <w:r w:rsidRPr="003B5EA4">
              <w:t>Assemblée générale pourrait arrêter de façon claire les conditions de voyage en avion applicables aux hautes personnalités et aux personnalités éminentes afin de soustraire ces catégories de voyageurs au domaine des dérogations.</w:t>
            </w:r>
          </w:p>
        </w:tc>
      </w:tr>
      <w:tr w:rsidR="006C63CA" w:rsidRPr="003B5EA4" w:rsidTr="00E07876">
        <w:trPr>
          <w:jc w:val="center"/>
        </w:trPr>
        <w:tc>
          <w:tcPr>
            <w:tcW w:w="9637" w:type="dxa"/>
            <w:tcBorders>
              <w:top w:val="nil"/>
              <w:bottom w:val="nil"/>
            </w:tcBorders>
            <w:shd w:val="clear" w:color="auto" w:fill="auto"/>
          </w:tcPr>
          <w:p w:rsidR="006C63CA" w:rsidRPr="003B5EA4" w:rsidRDefault="006C63CA" w:rsidP="009515F6">
            <w:pPr>
              <w:pStyle w:val="SingleTxtG"/>
              <w:jc w:val="left"/>
              <w:rPr>
                <w:b/>
              </w:rPr>
            </w:pPr>
            <w:r w:rsidRPr="003B5EA4">
              <w:rPr>
                <w:b/>
              </w:rPr>
              <w:t xml:space="preserve">Amélioration des politiques et pratiques et renforcement de la responsabilisation </w:t>
            </w:r>
            <w:r w:rsidR="00962A56" w:rsidRPr="003B5EA4">
              <w:rPr>
                <w:b/>
              </w:rPr>
              <w:br/>
            </w:r>
            <w:r w:rsidRPr="003B5EA4">
              <w:rPr>
                <w:b/>
              </w:rPr>
              <w:t>en matière de gestion des voyages en avion</w:t>
            </w:r>
          </w:p>
        </w:tc>
      </w:tr>
      <w:tr w:rsidR="00962A56" w:rsidRPr="003B5EA4" w:rsidTr="00E07876">
        <w:trPr>
          <w:jc w:val="center"/>
        </w:trPr>
        <w:tc>
          <w:tcPr>
            <w:tcW w:w="9637" w:type="dxa"/>
            <w:tcBorders>
              <w:top w:val="nil"/>
              <w:bottom w:val="nil"/>
            </w:tcBorders>
            <w:shd w:val="clear" w:color="auto" w:fill="auto"/>
          </w:tcPr>
          <w:p w:rsidR="00962A56" w:rsidRPr="003B5EA4" w:rsidRDefault="00962A56" w:rsidP="00962A56">
            <w:pPr>
              <w:pStyle w:val="SingleTxtG"/>
              <w:ind w:firstLine="567"/>
            </w:pPr>
            <w:r w:rsidRPr="003B5EA4">
              <w:t>Les réformes et révisions auxquelles 26 organismes ont entrepris ces dernières années de soumettre les politiques régissant leurs voyages (voir annexe VI) ne tiennent pas nécessairement compte des possibilités et difficultés nouvelles que présente le secteur des voyages aériens. Au Secrétariat de l</w:t>
            </w:r>
            <w:r w:rsidR="00762E0A">
              <w:t>’</w:t>
            </w:r>
            <w:r w:rsidRPr="003B5EA4">
              <w:t>ONU, les politiques en matière de voyages sont aujourd</w:t>
            </w:r>
            <w:r w:rsidR="00762E0A">
              <w:t>’</w:t>
            </w:r>
            <w:r w:rsidRPr="003B5EA4">
              <w:t>hui réparties entre une variété de documents (circulaires, instructions administratives et mémorandums), ce qui en entrave l</w:t>
            </w:r>
            <w:r w:rsidR="00762E0A">
              <w:t>’</w:t>
            </w:r>
            <w:r w:rsidRPr="003B5EA4">
              <w:t>assimilation complète et la bonne application. Pour régler cette question, l</w:t>
            </w:r>
            <w:r w:rsidR="00762E0A">
              <w:t>’</w:t>
            </w:r>
            <w:r w:rsidRPr="003B5EA4">
              <w:t>Inspectrice recommande à l</w:t>
            </w:r>
            <w:r w:rsidR="00762E0A">
              <w:t>’</w:t>
            </w:r>
            <w:r w:rsidRPr="003B5EA4">
              <w:t>Assemblée générale de prier le Secrétaire général</w:t>
            </w:r>
            <w:r w:rsidRPr="003B5EA4">
              <w:rPr>
                <w:bCs/>
                <w:lang w:eastAsia="zh-CN"/>
              </w:rPr>
              <w:t xml:space="preserve"> d</w:t>
            </w:r>
            <w:r w:rsidR="00762E0A">
              <w:rPr>
                <w:bCs/>
                <w:lang w:eastAsia="zh-CN"/>
              </w:rPr>
              <w:t>’</w:t>
            </w:r>
            <w:r w:rsidRPr="003B5EA4">
              <w:rPr>
                <w:bCs/>
                <w:lang w:eastAsia="zh-CN"/>
              </w:rPr>
              <w:t>examiner les résolutions et décisions régissant les conditions de voyage en avion et de formuler des propositions de mise à jour et de consolidation des textes, compte tenu des évolutions qu</w:t>
            </w:r>
            <w:r w:rsidR="00762E0A">
              <w:rPr>
                <w:bCs/>
                <w:lang w:eastAsia="zh-CN"/>
              </w:rPr>
              <w:t>’</w:t>
            </w:r>
            <w:r w:rsidRPr="003B5EA4">
              <w:rPr>
                <w:bCs/>
                <w:lang w:eastAsia="zh-CN"/>
              </w:rPr>
              <w:t>ont connues les systèmes et technologies de l</w:t>
            </w:r>
            <w:r w:rsidR="00762E0A">
              <w:rPr>
                <w:bCs/>
                <w:lang w:eastAsia="zh-CN"/>
              </w:rPr>
              <w:t>’</w:t>
            </w:r>
            <w:r w:rsidRPr="003B5EA4">
              <w:rPr>
                <w:bCs/>
                <w:lang w:eastAsia="zh-CN"/>
              </w:rPr>
              <w:t>information concernés et le secteur des voyages en avion lui-même (recommandation 3).</w:t>
            </w:r>
          </w:p>
        </w:tc>
      </w:tr>
      <w:tr w:rsidR="00E07876" w:rsidRPr="003B5EA4" w:rsidTr="00E07876">
        <w:trPr>
          <w:jc w:val="center"/>
        </w:trPr>
        <w:tc>
          <w:tcPr>
            <w:tcW w:w="9637" w:type="dxa"/>
            <w:tcBorders>
              <w:top w:val="nil"/>
              <w:bottom w:val="nil"/>
            </w:tcBorders>
            <w:shd w:val="clear" w:color="auto" w:fill="auto"/>
          </w:tcPr>
          <w:p w:rsidR="00E07876" w:rsidRPr="003B5EA4" w:rsidRDefault="00E447E1" w:rsidP="00962A56">
            <w:pPr>
              <w:pStyle w:val="SingleTxtG"/>
              <w:ind w:firstLine="567"/>
            </w:pPr>
            <w:r w:rsidRPr="003B5EA4">
              <w:lastRenderedPageBreak/>
              <w:t>Il est crucial pour la compréhension et le respect généraux des politiques de voyages que celles-ci soient accessibles à tous les utilisateurs. L</w:t>
            </w:r>
            <w:r w:rsidR="00762E0A">
              <w:t>’</w:t>
            </w:r>
            <w:r w:rsidRPr="003B5EA4">
              <w:t>Inspectrice encourage par conséquent les chefs de secrétariat à évaluer leurs stratégies de formation et de communication en la matière et de veiller à ce que leurs politiques soient bien communiquées, disponibles et accessibles à tous les fonctionnaires et non-fonctionnaires concernés, sous des formes conviviales et aisément compréhensibles.</w:t>
            </w:r>
          </w:p>
        </w:tc>
      </w:tr>
      <w:tr w:rsidR="00E07876" w:rsidRPr="003B5EA4" w:rsidTr="00E07876">
        <w:trPr>
          <w:jc w:val="center"/>
        </w:trPr>
        <w:tc>
          <w:tcPr>
            <w:tcW w:w="9637" w:type="dxa"/>
            <w:tcBorders>
              <w:top w:val="nil"/>
              <w:bottom w:val="nil"/>
            </w:tcBorders>
            <w:shd w:val="clear" w:color="auto" w:fill="auto"/>
          </w:tcPr>
          <w:p w:rsidR="00E07876" w:rsidRPr="003B5EA4" w:rsidRDefault="00E07876" w:rsidP="006F3397">
            <w:pPr>
              <w:pStyle w:val="SingleTxtG"/>
              <w:ind w:firstLine="567"/>
              <w:rPr>
                <w:spacing w:val="-2"/>
              </w:rPr>
            </w:pPr>
            <w:r w:rsidRPr="003B5EA4">
              <w:rPr>
                <w:spacing w:val="-2"/>
                <w:lang w:eastAsia="zh-CN"/>
              </w:rPr>
              <w:t>Si le fait de réduire au minimum la quantité des voyages effectués présente l</w:t>
            </w:r>
            <w:r w:rsidR="00762E0A">
              <w:rPr>
                <w:spacing w:val="-2"/>
                <w:lang w:eastAsia="zh-CN"/>
              </w:rPr>
              <w:t>’</w:t>
            </w:r>
            <w:r w:rsidRPr="003B5EA4">
              <w:rPr>
                <w:spacing w:val="-2"/>
                <w:lang w:eastAsia="zh-CN"/>
              </w:rPr>
              <w:t>avantage de réduire les coûts, la limitation des voyages aux situations où ils sont nécessaires est aussi dans l</w:t>
            </w:r>
            <w:r w:rsidR="00762E0A">
              <w:rPr>
                <w:spacing w:val="-2"/>
                <w:lang w:eastAsia="zh-CN"/>
              </w:rPr>
              <w:t>’</w:t>
            </w:r>
            <w:r w:rsidRPr="003B5EA4">
              <w:rPr>
                <w:spacing w:val="-2"/>
                <w:lang w:eastAsia="zh-CN"/>
              </w:rPr>
              <w:t>intérêt de la sûreté et de la sécurité des voyageurs</w:t>
            </w:r>
            <w:r w:rsidRPr="003B5EA4">
              <w:rPr>
                <w:spacing w:val="-2"/>
              </w:rPr>
              <w:t>. À cet égard, l</w:t>
            </w:r>
            <w:r w:rsidR="00762E0A">
              <w:rPr>
                <w:spacing w:val="-2"/>
              </w:rPr>
              <w:t>’</w:t>
            </w:r>
            <w:r w:rsidRPr="003B5EA4">
              <w:rPr>
                <w:spacing w:val="-2"/>
              </w:rPr>
              <w:t>examen retient au rang des bonnes pratiques l</w:t>
            </w:r>
            <w:r w:rsidR="00762E0A">
              <w:rPr>
                <w:spacing w:val="-2"/>
              </w:rPr>
              <w:t>’</w:t>
            </w:r>
            <w:r w:rsidRPr="003B5EA4">
              <w:rPr>
                <w:spacing w:val="-2"/>
              </w:rPr>
              <w:t xml:space="preserve">introduction de plafonds aux nombres de jours par période de </w:t>
            </w:r>
            <w:r w:rsidR="006F3397" w:rsidRPr="003B5EA4">
              <w:rPr>
                <w:spacing w:val="-2"/>
              </w:rPr>
              <w:t>douze</w:t>
            </w:r>
            <w:r w:rsidRPr="003B5EA4">
              <w:rPr>
                <w:spacing w:val="-2"/>
              </w:rPr>
              <w:t> mois que les fonctionnaires peuvent consacrer à leurs voyages officiels. Les risques de sécurité accrus à l</w:t>
            </w:r>
            <w:r w:rsidR="00762E0A">
              <w:rPr>
                <w:spacing w:val="-2"/>
              </w:rPr>
              <w:t>’</w:t>
            </w:r>
            <w:r w:rsidRPr="003B5EA4">
              <w:rPr>
                <w:spacing w:val="-2"/>
              </w:rPr>
              <w:t>échelle du monde devant être dûment pris en compte, l</w:t>
            </w:r>
            <w:r w:rsidR="00762E0A">
              <w:rPr>
                <w:spacing w:val="-2"/>
              </w:rPr>
              <w:t>’</w:t>
            </w:r>
            <w:r w:rsidRPr="003B5EA4">
              <w:rPr>
                <w:spacing w:val="-2"/>
              </w:rPr>
              <w:t>Inspectrice est d</w:t>
            </w:r>
            <w:r w:rsidR="00762E0A">
              <w:rPr>
                <w:spacing w:val="-2"/>
              </w:rPr>
              <w:t>’</w:t>
            </w:r>
            <w:r w:rsidRPr="003B5EA4">
              <w:rPr>
                <w:spacing w:val="-2"/>
              </w:rPr>
              <w:t>avis que la sécurité des itinéraires devrait être surveillée et évaluée de façon continue, et que les informations mises à jour à ce sujet devraient être communiquées immédiatement aux services concernés chargés d</w:t>
            </w:r>
            <w:r w:rsidR="00762E0A">
              <w:rPr>
                <w:spacing w:val="-2"/>
              </w:rPr>
              <w:t>’</w:t>
            </w:r>
            <w:r w:rsidRPr="003B5EA4">
              <w:rPr>
                <w:spacing w:val="-2"/>
              </w:rPr>
              <w:t>autoriser et d</w:t>
            </w:r>
            <w:r w:rsidR="00762E0A">
              <w:rPr>
                <w:spacing w:val="-2"/>
              </w:rPr>
              <w:t>’</w:t>
            </w:r>
            <w:r w:rsidRPr="003B5EA4">
              <w:rPr>
                <w:spacing w:val="-2"/>
              </w:rPr>
              <w:t>administrer les voyages.</w:t>
            </w:r>
          </w:p>
        </w:tc>
      </w:tr>
      <w:tr w:rsidR="00E07876" w:rsidRPr="003B5EA4" w:rsidTr="00E07876">
        <w:trPr>
          <w:jc w:val="center"/>
        </w:trPr>
        <w:tc>
          <w:tcPr>
            <w:tcW w:w="9637" w:type="dxa"/>
            <w:tcBorders>
              <w:top w:val="nil"/>
              <w:bottom w:val="nil"/>
            </w:tcBorders>
            <w:shd w:val="clear" w:color="auto" w:fill="auto"/>
          </w:tcPr>
          <w:p w:rsidR="00E07876" w:rsidRPr="003B5EA4" w:rsidRDefault="00E07876" w:rsidP="009515F6">
            <w:pPr>
              <w:pStyle w:val="SingleTxtG"/>
              <w:jc w:val="left"/>
              <w:rPr>
                <w:lang w:eastAsia="zh-CN"/>
              </w:rPr>
            </w:pPr>
            <w:r w:rsidRPr="003B5EA4">
              <w:rPr>
                <w:b/>
                <w:lang w:eastAsia="zh-CN"/>
              </w:rPr>
              <w:t xml:space="preserve">Modernisation des outils de gestion des voyages en avion et renforcement </w:t>
            </w:r>
            <w:r w:rsidRPr="003B5EA4">
              <w:rPr>
                <w:b/>
                <w:lang w:eastAsia="zh-CN"/>
              </w:rPr>
              <w:br/>
              <w:t>de la collaboration avec les prestataires de services</w:t>
            </w:r>
          </w:p>
        </w:tc>
      </w:tr>
      <w:tr w:rsidR="00270996" w:rsidRPr="003B5EA4" w:rsidTr="00E07876">
        <w:trPr>
          <w:jc w:val="center"/>
        </w:trPr>
        <w:tc>
          <w:tcPr>
            <w:tcW w:w="9637" w:type="dxa"/>
            <w:tcBorders>
              <w:top w:val="nil"/>
              <w:bottom w:val="nil"/>
            </w:tcBorders>
            <w:shd w:val="clear" w:color="auto" w:fill="auto"/>
          </w:tcPr>
          <w:p w:rsidR="00270996" w:rsidRPr="003B5EA4" w:rsidRDefault="00E447E1" w:rsidP="00172FD1">
            <w:pPr>
              <w:pStyle w:val="SingleTxtG"/>
              <w:ind w:firstLine="567"/>
              <w:rPr>
                <w:lang w:eastAsia="zh-CN"/>
              </w:rPr>
            </w:pPr>
            <w:r w:rsidRPr="003B5EA4">
              <w:rPr>
                <w:lang w:eastAsia="zh-CN"/>
              </w:rPr>
              <w:t>L</w:t>
            </w:r>
            <w:r w:rsidR="00762E0A">
              <w:rPr>
                <w:lang w:eastAsia="zh-CN"/>
              </w:rPr>
              <w:t>’</w:t>
            </w:r>
            <w:r w:rsidRPr="003B5EA4">
              <w:rPr>
                <w:lang w:eastAsia="zh-CN"/>
              </w:rPr>
              <w:t>examen a permis de constater que si la disponibilité des données relatives aux voyages s</w:t>
            </w:r>
            <w:r w:rsidR="00762E0A">
              <w:rPr>
                <w:lang w:eastAsia="zh-CN"/>
              </w:rPr>
              <w:t>’</w:t>
            </w:r>
            <w:r w:rsidRPr="003B5EA4">
              <w:rPr>
                <w:lang w:eastAsia="zh-CN"/>
              </w:rPr>
              <w:t>accroît avec la mise en œuvre du module voyages des progiciels de gestion intégré</w:t>
            </w:r>
            <w:r w:rsidR="00172FD1">
              <w:rPr>
                <w:lang w:eastAsia="zh-CN"/>
              </w:rPr>
              <w:t>s</w:t>
            </w:r>
            <w:r w:rsidRPr="003B5EA4">
              <w:rPr>
                <w:lang w:eastAsia="zh-CN"/>
              </w:rPr>
              <w:t>, certains organismes ne disposent pas de services opérationnels de cette nature pour la gestion de leurs voyages et utilisent d</w:t>
            </w:r>
            <w:r w:rsidR="00762E0A">
              <w:rPr>
                <w:lang w:eastAsia="zh-CN"/>
              </w:rPr>
              <w:t>’</w:t>
            </w:r>
            <w:r w:rsidRPr="003B5EA4">
              <w:rPr>
                <w:lang w:eastAsia="zh-CN"/>
              </w:rPr>
              <w:t>autres systèmes de technologie de l</w:t>
            </w:r>
            <w:r w:rsidR="00762E0A">
              <w:rPr>
                <w:lang w:eastAsia="zh-CN"/>
              </w:rPr>
              <w:t>’</w:t>
            </w:r>
            <w:r w:rsidRPr="003B5EA4">
              <w:rPr>
                <w:lang w:eastAsia="zh-CN"/>
              </w:rPr>
              <w:t>information à cette fin. L</w:t>
            </w:r>
            <w:r w:rsidR="00762E0A">
              <w:rPr>
                <w:lang w:eastAsia="zh-CN"/>
              </w:rPr>
              <w:t>’</w:t>
            </w:r>
            <w:r w:rsidRPr="003B5EA4">
              <w:rPr>
                <w:lang w:eastAsia="zh-CN"/>
              </w:rPr>
              <w:t>Inspectrice est d</w:t>
            </w:r>
            <w:r w:rsidR="00762E0A">
              <w:rPr>
                <w:lang w:eastAsia="zh-CN"/>
              </w:rPr>
              <w:t>’</w:t>
            </w:r>
            <w:r w:rsidRPr="003B5EA4">
              <w:rPr>
                <w:lang w:eastAsia="zh-CN"/>
              </w:rPr>
              <w:t>avis que les chefs de secrétariat devraient continuer de rationaliser leurs progiciels de gestion intégrés dans le but de limiter les adaptations inutiles, et de tirer parti d</w:t>
            </w:r>
            <w:r w:rsidR="00762E0A">
              <w:rPr>
                <w:lang w:eastAsia="zh-CN"/>
              </w:rPr>
              <w:t>’</w:t>
            </w:r>
            <w:r w:rsidRPr="003B5EA4">
              <w:rPr>
                <w:lang w:eastAsia="zh-CN"/>
              </w:rPr>
              <w:t>un module voyages intégré.</w:t>
            </w:r>
          </w:p>
        </w:tc>
      </w:tr>
      <w:tr w:rsidR="00270996" w:rsidRPr="003B5EA4" w:rsidTr="00E07876">
        <w:trPr>
          <w:jc w:val="center"/>
        </w:trPr>
        <w:tc>
          <w:tcPr>
            <w:tcW w:w="9637" w:type="dxa"/>
            <w:tcBorders>
              <w:top w:val="nil"/>
              <w:bottom w:val="nil"/>
            </w:tcBorders>
            <w:shd w:val="clear" w:color="auto" w:fill="auto"/>
          </w:tcPr>
          <w:p w:rsidR="00270996" w:rsidRPr="003B5EA4" w:rsidRDefault="00270996" w:rsidP="00270996">
            <w:pPr>
              <w:pStyle w:val="SingleTxtG"/>
              <w:ind w:firstLine="567"/>
              <w:rPr>
                <w:lang w:eastAsia="zh-CN"/>
              </w:rPr>
            </w:pPr>
            <w:r w:rsidRPr="003B5EA4">
              <w:t>Les sociétés de gestion de voyages et les compagnies aériennes sont des partenaires clefs pour la gestion des voyages d</w:t>
            </w:r>
            <w:r w:rsidR="00762E0A">
              <w:t>’</w:t>
            </w:r>
            <w:r w:rsidRPr="003B5EA4">
              <w:t xml:space="preserve">un organisme. Les organismes qui ont leur siège à </w:t>
            </w:r>
            <w:r w:rsidRPr="003B5EA4">
              <w:rPr>
                <w:szCs w:val="22"/>
                <w:lang w:eastAsia="zh-CN"/>
              </w:rPr>
              <w:t>New York, Rome et Vienne ont profité d</w:t>
            </w:r>
            <w:r w:rsidR="00762E0A">
              <w:rPr>
                <w:szCs w:val="22"/>
                <w:lang w:eastAsia="zh-CN"/>
              </w:rPr>
              <w:t>’</w:t>
            </w:r>
            <w:r w:rsidRPr="003B5EA4">
              <w:rPr>
                <w:szCs w:val="22"/>
                <w:lang w:eastAsia="zh-CN"/>
              </w:rPr>
              <w:t>accords préférentiels sur les tarifs négociés directement avec les compagnies aériennes ou avec leurs alliances à l</w:t>
            </w:r>
            <w:r w:rsidR="00762E0A">
              <w:rPr>
                <w:szCs w:val="22"/>
                <w:lang w:eastAsia="zh-CN"/>
              </w:rPr>
              <w:t>’</w:t>
            </w:r>
            <w:r w:rsidRPr="003B5EA4">
              <w:rPr>
                <w:szCs w:val="22"/>
                <w:lang w:eastAsia="zh-CN"/>
              </w:rPr>
              <w:t>échelle mondiale, et portant notamment sur des tarifs réduits. Treize organismes basés à Genève, menés par l</w:t>
            </w:r>
            <w:r w:rsidR="00762E0A">
              <w:rPr>
                <w:szCs w:val="22"/>
                <w:lang w:eastAsia="zh-CN"/>
              </w:rPr>
              <w:t>’</w:t>
            </w:r>
            <w:r w:rsidRPr="003B5EA4">
              <w:rPr>
                <w:szCs w:val="22"/>
                <w:lang w:eastAsia="zh-CN"/>
              </w:rPr>
              <w:t>Office des Nations Unies à Genève (ONUG) et l</w:t>
            </w:r>
            <w:r w:rsidR="00762E0A">
              <w:rPr>
                <w:szCs w:val="22"/>
                <w:lang w:eastAsia="zh-CN"/>
              </w:rPr>
              <w:t>’</w:t>
            </w:r>
            <w:r w:rsidRPr="003B5EA4">
              <w:rPr>
                <w:szCs w:val="22"/>
                <w:lang w:eastAsia="zh-CN"/>
              </w:rPr>
              <w:t>Organisation mondiale de la Santé (OMS), ont usé de leur puissance d</w:t>
            </w:r>
            <w:r w:rsidR="00762E0A">
              <w:rPr>
                <w:szCs w:val="22"/>
                <w:lang w:eastAsia="zh-CN"/>
              </w:rPr>
              <w:t>’</w:t>
            </w:r>
            <w:r w:rsidRPr="003B5EA4">
              <w:rPr>
                <w:szCs w:val="22"/>
                <w:lang w:eastAsia="zh-CN"/>
              </w:rPr>
              <w:t>achat conjointe pour négocier des accords de tarifs spéciaux avec des compagnies aériennes, réalisant ainsi des économies de 20 millions de francs suisses</w:t>
            </w:r>
            <w:r w:rsidRPr="003B5EA4">
              <w:t>.</w:t>
            </w:r>
          </w:p>
        </w:tc>
      </w:tr>
      <w:tr w:rsidR="00270996" w:rsidRPr="003B5EA4" w:rsidTr="00E07876">
        <w:trPr>
          <w:jc w:val="center"/>
        </w:trPr>
        <w:tc>
          <w:tcPr>
            <w:tcW w:w="9637" w:type="dxa"/>
            <w:tcBorders>
              <w:top w:val="nil"/>
              <w:bottom w:val="nil"/>
            </w:tcBorders>
            <w:shd w:val="clear" w:color="auto" w:fill="auto"/>
          </w:tcPr>
          <w:p w:rsidR="00270996" w:rsidRPr="003B5EA4" w:rsidRDefault="00270996" w:rsidP="00270996">
            <w:pPr>
              <w:pStyle w:val="SingleTxtG"/>
              <w:ind w:firstLine="567"/>
              <w:rPr>
                <w:spacing w:val="-2"/>
              </w:rPr>
            </w:pPr>
            <w:r w:rsidRPr="003B5EA4">
              <w:rPr>
                <w:spacing w:val="-2"/>
              </w:rPr>
              <w:t>D</w:t>
            </w:r>
            <w:r w:rsidR="00762E0A">
              <w:rPr>
                <w:spacing w:val="-2"/>
              </w:rPr>
              <w:t>’</w:t>
            </w:r>
            <w:r w:rsidRPr="003B5EA4">
              <w:rPr>
                <w:spacing w:val="-2"/>
              </w:rPr>
              <w:t>autres organisations internationales ont centralisé avec succès la gestion de leurs voyages à l</w:t>
            </w:r>
            <w:r w:rsidR="00762E0A">
              <w:rPr>
                <w:spacing w:val="-2"/>
              </w:rPr>
              <w:t>’</w:t>
            </w:r>
            <w:r w:rsidRPr="003B5EA4">
              <w:rPr>
                <w:spacing w:val="-2"/>
              </w:rPr>
              <w:t>échelle mondiale sous une seule société de gestion de voyages, ce qui leur a permis d</w:t>
            </w:r>
            <w:r w:rsidR="00762E0A">
              <w:rPr>
                <w:spacing w:val="-2"/>
              </w:rPr>
              <w:t>’</w:t>
            </w:r>
            <w:r w:rsidRPr="003B5EA4">
              <w:rPr>
                <w:spacing w:val="-2"/>
              </w:rPr>
              <w:t>introduire la transparence dans les coûts de la société, de promouvoir la conformité universelle aux politiques en matière de voyages et de profiter de tarifs globalement négociés. L</w:t>
            </w:r>
            <w:r w:rsidR="00762E0A">
              <w:rPr>
                <w:spacing w:val="-2"/>
              </w:rPr>
              <w:t>’</w:t>
            </w:r>
            <w:r w:rsidRPr="003B5EA4">
              <w:rPr>
                <w:spacing w:val="-2"/>
              </w:rPr>
              <w:t>Inspectrice propose aux organismes d</w:t>
            </w:r>
            <w:r w:rsidR="00762E0A">
              <w:rPr>
                <w:spacing w:val="-2"/>
              </w:rPr>
              <w:t>’</w:t>
            </w:r>
            <w:r w:rsidRPr="003B5EA4">
              <w:rPr>
                <w:spacing w:val="-2"/>
              </w:rPr>
              <w:t>évaluer les coûts et avantages d</w:t>
            </w:r>
            <w:r w:rsidR="00762E0A">
              <w:rPr>
                <w:spacing w:val="-2"/>
              </w:rPr>
              <w:t>’</w:t>
            </w:r>
            <w:r w:rsidRPr="003B5EA4">
              <w:rPr>
                <w:spacing w:val="-2"/>
              </w:rPr>
              <w:t>une gestion centralisée des voyages à l</w:t>
            </w:r>
            <w:r w:rsidR="00762E0A">
              <w:rPr>
                <w:spacing w:val="-2"/>
              </w:rPr>
              <w:t>’</w:t>
            </w:r>
            <w:r w:rsidRPr="003B5EA4">
              <w:rPr>
                <w:spacing w:val="-2"/>
              </w:rPr>
              <w:t>échelle mondiale et de recourir aux services d</w:t>
            </w:r>
            <w:r w:rsidR="00762E0A">
              <w:rPr>
                <w:spacing w:val="-2"/>
              </w:rPr>
              <w:t>’</w:t>
            </w:r>
            <w:r w:rsidRPr="003B5EA4">
              <w:rPr>
                <w:spacing w:val="-2"/>
              </w:rPr>
              <w:t>une société de gestion de voyages commune lorsqu</w:t>
            </w:r>
            <w:r w:rsidR="00762E0A">
              <w:rPr>
                <w:spacing w:val="-2"/>
              </w:rPr>
              <w:t>’</w:t>
            </w:r>
            <w:r w:rsidRPr="003B5EA4">
              <w:rPr>
                <w:spacing w:val="-2"/>
              </w:rPr>
              <w:t>ils partagent la même ville siège.</w:t>
            </w:r>
          </w:p>
        </w:tc>
      </w:tr>
      <w:tr w:rsidR="00ED0903" w:rsidRPr="003B5EA4" w:rsidTr="00E07876">
        <w:trPr>
          <w:jc w:val="center"/>
        </w:trPr>
        <w:tc>
          <w:tcPr>
            <w:tcW w:w="9637" w:type="dxa"/>
            <w:tcBorders>
              <w:top w:val="nil"/>
              <w:bottom w:val="nil"/>
            </w:tcBorders>
            <w:shd w:val="clear" w:color="auto" w:fill="auto"/>
          </w:tcPr>
          <w:p w:rsidR="00ED0903" w:rsidRPr="003B5EA4" w:rsidRDefault="00F061F7" w:rsidP="00270996">
            <w:pPr>
              <w:pStyle w:val="SingleTxtG"/>
              <w:ind w:firstLine="567"/>
              <w:rPr>
                <w:spacing w:val="-2"/>
              </w:rPr>
            </w:pPr>
            <w:r w:rsidRPr="00F061F7">
              <w:rPr>
                <w:bCs/>
                <w:spacing w:val="-2"/>
                <w:lang w:val="fr-FR"/>
              </w:rPr>
              <w:t xml:space="preserve">L’évaluation des résultats des sociétés de gestion de voyages fait partie intégrante de la gestion des voyages. Pour veiller à ce que les mesures et les évaluations s’effectuent sur la base des indicateurs voulus, l’Inspectrice présente certains indicateurs clefs de performance relevés par les organismes (voir annexe VII). Dans l’optique d’améliorer la </w:t>
            </w:r>
            <w:r w:rsidRPr="00F061F7">
              <w:rPr>
                <w:spacing w:val="-2"/>
                <w:lang w:val="fr-FR"/>
              </w:rPr>
              <w:t>communication entre les organismes et les sociétés de gestion de voyages, l’Inspectrice relève également les bonnes pratiques à reproduire en la matière, notamment le fait pour les organismes de former les sociétés de gestion de voyages à leurs politiques en matière de voyages et le fait d’instaurer une étroite coordination entre les premiers et les secondes lorsqu’il s’agit de revoir les politiques existantes en matière de voyages.</w:t>
            </w:r>
            <w:bookmarkStart w:id="0" w:name="_GoBack"/>
            <w:bookmarkEnd w:id="0"/>
          </w:p>
        </w:tc>
      </w:tr>
      <w:tr w:rsidR="00270996" w:rsidRPr="003B5EA4" w:rsidTr="00E07876">
        <w:trPr>
          <w:jc w:val="center"/>
        </w:trPr>
        <w:tc>
          <w:tcPr>
            <w:tcW w:w="9637" w:type="dxa"/>
            <w:tcBorders>
              <w:top w:val="nil"/>
              <w:bottom w:val="nil"/>
            </w:tcBorders>
            <w:shd w:val="clear" w:color="auto" w:fill="auto"/>
          </w:tcPr>
          <w:p w:rsidR="00270996" w:rsidRPr="003B5EA4" w:rsidRDefault="00270996" w:rsidP="009515F6">
            <w:pPr>
              <w:pStyle w:val="SingleTxtG"/>
              <w:jc w:val="left"/>
            </w:pPr>
            <w:r w:rsidRPr="003B5EA4">
              <w:rPr>
                <w:b/>
              </w:rPr>
              <w:t xml:space="preserve">Renforcement de la planification, de la surveillance et du contrôle budgétaire </w:t>
            </w:r>
            <w:r w:rsidRPr="003B5EA4">
              <w:rPr>
                <w:b/>
              </w:rPr>
              <w:br/>
              <w:t>dans la gestion des voyages</w:t>
            </w:r>
          </w:p>
        </w:tc>
      </w:tr>
      <w:tr w:rsidR="00270996" w:rsidRPr="003B5EA4" w:rsidTr="00E07876">
        <w:trPr>
          <w:jc w:val="center"/>
        </w:trPr>
        <w:tc>
          <w:tcPr>
            <w:tcW w:w="9637" w:type="dxa"/>
            <w:tcBorders>
              <w:top w:val="nil"/>
              <w:bottom w:val="nil"/>
            </w:tcBorders>
            <w:shd w:val="clear" w:color="auto" w:fill="auto"/>
          </w:tcPr>
          <w:p w:rsidR="00270996" w:rsidRPr="003B5EA4" w:rsidRDefault="003D03A6" w:rsidP="00172FD1">
            <w:pPr>
              <w:pStyle w:val="SingleTxtG"/>
              <w:ind w:firstLine="567"/>
            </w:pPr>
            <w:r w:rsidRPr="003B5EA4">
              <w:rPr>
                <w:bCs/>
              </w:rPr>
              <w:t>Une bonne planification est essentielle à l</w:t>
            </w:r>
            <w:r w:rsidR="00762E0A">
              <w:rPr>
                <w:bCs/>
              </w:rPr>
              <w:t>’</w:t>
            </w:r>
            <w:r w:rsidRPr="003B5EA4">
              <w:rPr>
                <w:bCs/>
              </w:rPr>
              <w:t>utilisation judicieuse des fonds destinés aux voyages, depuis l</w:t>
            </w:r>
            <w:r w:rsidR="00762E0A">
              <w:rPr>
                <w:bCs/>
              </w:rPr>
              <w:t>’</w:t>
            </w:r>
            <w:r w:rsidRPr="003B5EA4">
              <w:rPr>
                <w:bCs/>
              </w:rPr>
              <w:t>établissement des budgets jusqu</w:t>
            </w:r>
            <w:r w:rsidR="00762E0A">
              <w:rPr>
                <w:bCs/>
              </w:rPr>
              <w:t>’</w:t>
            </w:r>
            <w:r w:rsidRPr="003B5EA4">
              <w:rPr>
                <w:bCs/>
              </w:rPr>
              <w:t>aux comptes rendus de l</w:t>
            </w:r>
            <w:r w:rsidR="00762E0A">
              <w:rPr>
                <w:bCs/>
              </w:rPr>
              <w:t>’</w:t>
            </w:r>
            <w:r w:rsidRPr="003B5EA4">
              <w:rPr>
                <w:bCs/>
              </w:rPr>
              <w:t xml:space="preserve">usage qui en a été fait. La planification anticipée des voyages en avion présente de nombreux avantages, </w:t>
            </w:r>
            <w:r w:rsidR="0055478D">
              <w:rPr>
                <w:bCs/>
              </w:rPr>
              <w:t>y compris</w:t>
            </w:r>
            <w:r w:rsidRPr="003B5EA4">
              <w:rPr>
                <w:bCs/>
              </w:rPr>
              <w:t xml:space="preserve"> la possibilité de combiner les itinéraires et de dresser un tableau des </w:t>
            </w:r>
            <w:r w:rsidRPr="003B5EA4">
              <w:rPr>
                <w:bCs/>
              </w:rPr>
              <w:lastRenderedPageBreak/>
              <w:t>dates de voyages à l</w:t>
            </w:r>
            <w:r w:rsidR="00762E0A">
              <w:rPr>
                <w:bCs/>
              </w:rPr>
              <w:t>’</w:t>
            </w:r>
            <w:r w:rsidRPr="003B5EA4">
              <w:rPr>
                <w:bCs/>
              </w:rPr>
              <w:t>échelle de l</w:t>
            </w:r>
            <w:r w:rsidR="00762E0A">
              <w:rPr>
                <w:bCs/>
              </w:rPr>
              <w:t>’</w:t>
            </w:r>
            <w:r w:rsidRPr="003B5EA4">
              <w:rPr>
                <w:bCs/>
              </w:rPr>
              <w:t>organisme aux fins de l</w:t>
            </w:r>
            <w:r w:rsidR="00762E0A">
              <w:rPr>
                <w:bCs/>
              </w:rPr>
              <w:t>’</w:t>
            </w:r>
            <w:r w:rsidRPr="003B5EA4">
              <w:rPr>
                <w:bCs/>
              </w:rPr>
              <w:t>établissement des priorités. L</w:t>
            </w:r>
            <w:r w:rsidR="00762E0A">
              <w:rPr>
                <w:bCs/>
              </w:rPr>
              <w:t>’</w:t>
            </w:r>
            <w:r w:rsidRPr="003B5EA4">
              <w:rPr>
                <w:bCs/>
              </w:rPr>
              <w:t xml:space="preserve">examen a permis de constater que 21 organismes avaient adopté des politiques imposant ou recommandant des délais de sept à </w:t>
            </w:r>
            <w:r w:rsidR="00172FD1">
              <w:rPr>
                <w:bCs/>
              </w:rPr>
              <w:t>trente</w:t>
            </w:r>
            <w:r w:rsidRPr="003B5EA4">
              <w:rPr>
                <w:bCs/>
              </w:rPr>
              <w:t> jours préalables au départ pour prendre certaines dispositions relatives à la demande de voyage (voir annexe VIII).</w:t>
            </w:r>
          </w:p>
        </w:tc>
      </w:tr>
      <w:tr w:rsidR="003D03A6" w:rsidRPr="003B5EA4" w:rsidTr="00E07876">
        <w:trPr>
          <w:jc w:val="center"/>
        </w:trPr>
        <w:tc>
          <w:tcPr>
            <w:tcW w:w="9637" w:type="dxa"/>
            <w:tcBorders>
              <w:top w:val="nil"/>
              <w:bottom w:val="nil"/>
            </w:tcBorders>
            <w:shd w:val="clear" w:color="auto" w:fill="auto"/>
          </w:tcPr>
          <w:p w:rsidR="003D03A6" w:rsidRPr="003B5EA4" w:rsidRDefault="00E447E1" w:rsidP="003D03A6">
            <w:pPr>
              <w:pStyle w:val="SingleTxtG"/>
              <w:ind w:firstLine="567"/>
            </w:pPr>
            <w:r w:rsidRPr="003B5EA4">
              <w:lastRenderedPageBreak/>
              <w:t>L</w:t>
            </w:r>
            <w:r w:rsidR="00762E0A">
              <w:t>’</w:t>
            </w:r>
            <w:r w:rsidRPr="003B5EA4">
              <w:t>achat des billets d</w:t>
            </w:r>
            <w:r w:rsidR="00762E0A">
              <w:t>’</w:t>
            </w:r>
            <w:r w:rsidRPr="003B5EA4">
              <w:t>avion à l</w:t>
            </w:r>
            <w:r w:rsidR="00762E0A">
              <w:t>’</w:t>
            </w:r>
            <w:r w:rsidRPr="003B5EA4">
              <w:t>avance offre les meilleures possibilités d</w:t>
            </w:r>
            <w:r w:rsidR="00762E0A">
              <w:t>’</w:t>
            </w:r>
            <w:r w:rsidRPr="003B5EA4">
              <w:t>économies, avec des remises dépassant parfois 50 % du prix du billet (voir annexe IX). Ils ne sont pourtant que 15 organismes participants à soumettre l</w:t>
            </w:r>
            <w:r w:rsidR="00762E0A">
              <w:t>’</w:t>
            </w:r>
            <w:r w:rsidRPr="003B5EA4">
              <w:t>achat des billets à des délais minimums préalables au départ. Vu les avantages manifestes découlant d</w:t>
            </w:r>
            <w:r w:rsidR="00762E0A">
              <w:t>’</w:t>
            </w:r>
            <w:r w:rsidRPr="003B5EA4">
              <w:t>une politique d</w:t>
            </w:r>
            <w:r w:rsidR="00762E0A">
              <w:t>’</w:t>
            </w:r>
            <w:r w:rsidRPr="003B5EA4">
              <w:t>achat anticipé, les organismes qui n</w:t>
            </w:r>
            <w:r w:rsidR="00762E0A">
              <w:t>’</w:t>
            </w:r>
            <w:r w:rsidRPr="003B5EA4">
              <w:t>y ont pas encore souscrit devraient s</w:t>
            </w:r>
            <w:r w:rsidR="00762E0A">
              <w:t>’</w:t>
            </w:r>
            <w:r w:rsidRPr="003B5EA4">
              <w:t>en doter en priorité. L</w:t>
            </w:r>
            <w:r w:rsidR="00762E0A">
              <w:t>’</w:t>
            </w:r>
            <w:r w:rsidRPr="003B5EA4">
              <w:t>Inspectrice recommande que soient prises des mesures efficaces pour assurer et surveiller la mise en œuvre de politiques d</w:t>
            </w:r>
            <w:r w:rsidR="00762E0A">
              <w:t>’</w:t>
            </w:r>
            <w:r w:rsidRPr="003B5EA4">
              <w:t xml:space="preserve">achat anticipé, </w:t>
            </w:r>
            <w:r w:rsidR="0055478D">
              <w:t>y compris</w:t>
            </w:r>
            <w:r w:rsidRPr="003B5EA4">
              <w:t xml:space="preserve"> l</w:t>
            </w:r>
            <w:r w:rsidR="00762E0A">
              <w:t>’</w:t>
            </w:r>
            <w:r w:rsidRPr="003B5EA4">
              <w:t>incorporation de règles de planification anticipée et d</w:t>
            </w:r>
            <w:r w:rsidR="00762E0A">
              <w:t>’</w:t>
            </w:r>
            <w:r w:rsidRPr="003B5EA4">
              <w:t>indicateurs clefs de performance régulièrement mesurés dans les politiques de voyages (recommandation 4). Pour ce qui est des voyages des non-fonctionnaires, l</w:t>
            </w:r>
            <w:r w:rsidR="00762E0A">
              <w:t>’</w:t>
            </w:r>
            <w:r w:rsidRPr="003B5EA4">
              <w:t>Inspectrice est d</w:t>
            </w:r>
            <w:r w:rsidR="00762E0A">
              <w:t>’</w:t>
            </w:r>
            <w:r w:rsidRPr="003B5EA4">
              <w:t>avis que les États Membres devraient également s</w:t>
            </w:r>
            <w:r w:rsidR="00762E0A">
              <w:t>’</w:t>
            </w:r>
            <w:r w:rsidRPr="003B5EA4">
              <w:t>astreindre à des délais préétablis pour soumettre les renseignements relatifs aux personnes qui les représenteront aux réunions et conférences.</w:t>
            </w:r>
          </w:p>
        </w:tc>
      </w:tr>
      <w:tr w:rsidR="003D03A6" w:rsidRPr="003B5EA4" w:rsidTr="00E07876">
        <w:trPr>
          <w:jc w:val="center"/>
        </w:trPr>
        <w:tc>
          <w:tcPr>
            <w:tcW w:w="9637" w:type="dxa"/>
            <w:tcBorders>
              <w:top w:val="nil"/>
              <w:bottom w:val="nil"/>
            </w:tcBorders>
            <w:shd w:val="clear" w:color="auto" w:fill="auto"/>
          </w:tcPr>
          <w:p w:rsidR="003D03A6" w:rsidRPr="003B5EA4" w:rsidRDefault="003D03A6" w:rsidP="003D03A6">
            <w:pPr>
              <w:pStyle w:val="SingleTxtG"/>
              <w:ind w:firstLine="567"/>
            </w:pPr>
            <w:r w:rsidRPr="003B5EA4">
              <w:rPr>
                <w:bCs/>
              </w:rPr>
              <w:t>Pour être en mesure de gérer rationnellement et de contrôler effectivement tous les coûts afférents aux voyages en avion, il faut, à titre de condition préalable, disposer de données consolidées complètes concernant le budget des voyages en avion compte tenu de toutes ses sources de financement, et intégrer le poste des voyages dans l</w:t>
            </w:r>
            <w:r w:rsidR="00762E0A">
              <w:rPr>
                <w:bCs/>
              </w:rPr>
              <w:t>’</w:t>
            </w:r>
            <w:r w:rsidRPr="003B5EA4">
              <w:rPr>
                <w:bCs/>
              </w:rPr>
              <w:t>établissement du budget-programme. L</w:t>
            </w:r>
            <w:r w:rsidR="00762E0A">
              <w:rPr>
                <w:bCs/>
              </w:rPr>
              <w:t>’</w:t>
            </w:r>
            <w:r w:rsidRPr="003B5EA4">
              <w:t>Inspectrice est d</w:t>
            </w:r>
            <w:r w:rsidR="00762E0A">
              <w:t>’</w:t>
            </w:r>
            <w:r w:rsidRPr="003B5EA4">
              <w:t>avis que les chefs de secrétariat devraient évaluer la faisabilité de l</w:t>
            </w:r>
            <w:r w:rsidR="00762E0A">
              <w:t>’</w:t>
            </w:r>
            <w:r w:rsidRPr="003B5EA4">
              <w:t>imposition d</w:t>
            </w:r>
            <w:r w:rsidR="00762E0A">
              <w:t>’</w:t>
            </w:r>
            <w:r w:rsidRPr="003B5EA4">
              <w:t>un plafond aux dépenses de voyage, ce qui permettrait l</w:t>
            </w:r>
            <w:r w:rsidR="00762E0A">
              <w:t>’</w:t>
            </w:r>
            <w:r w:rsidRPr="003B5EA4">
              <w:t>exercice d</w:t>
            </w:r>
            <w:r w:rsidR="00762E0A">
              <w:t>’</w:t>
            </w:r>
            <w:r w:rsidRPr="003B5EA4">
              <w:t>un contrôle effectif et la réalisation d</w:t>
            </w:r>
            <w:r w:rsidR="00762E0A">
              <w:t>’</w:t>
            </w:r>
            <w:r w:rsidRPr="003B5EA4">
              <w:t>économies.</w:t>
            </w:r>
          </w:p>
        </w:tc>
      </w:tr>
      <w:tr w:rsidR="003D03A6" w:rsidRPr="003B5EA4" w:rsidTr="00E07876">
        <w:trPr>
          <w:jc w:val="center"/>
        </w:trPr>
        <w:tc>
          <w:tcPr>
            <w:tcW w:w="9637" w:type="dxa"/>
            <w:tcBorders>
              <w:top w:val="nil"/>
              <w:bottom w:val="nil"/>
            </w:tcBorders>
            <w:shd w:val="clear" w:color="auto" w:fill="auto"/>
          </w:tcPr>
          <w:p w:rsidR="003D03A6" w:rsidRPr="003B5EA4" w:rsidRDefault="00E447E1" w:rsidP="00172FD1">
            <w:pPr>
              <w:pStyle w:val="SingleTxtG"/>
              <w:ind w:firstLine="567"/>
            </w:pPr>
            <w:r w:rsidRPr="003B5EA4">
              <w:t>L</w:t>
            </w:r>
            <w:r w:rsidR="00762E0A">
              <w:t>’</w:t>
            </w:r>
            <w:r w:rsidRPr="003B5EA4">
              <w:t>audit régulier des voyages est utile pour évaluer la mesure dans laquelle les résultats obtenus sont conformes aux politiques, règlements et règles applicables à l</w:t>
            </w:r>
            <w:r w:rsidR="00762E0A">
              <w:t>’</w:t>
            </w:r>
            <w:r w:rsidRPr="003B5EA4">
              <w:t>organisme concerné. L</w:t>
            </w:r>
            <w:r w:rsidR="00762E0A">
              <w:t>’</w:t>
            </w:r>
            <w:r w:rsidRPr="003B5EA4">
              <w:t xml:space="preserve">examen a permis de constater que 15 organismes avaient vu leurs voyages en avion soumis à des audits internes ou externes depuis 2008, tandis que </w:t>
            </w:r>
            <w:r w:rsidR="00172FD1">
              <w:t>5</w:t>
            </w:r>
            <w:r w:rsidRPr="003B5EA4">
              <w:t xml:space="preserve"> n</w:t>
            </w:r>
            <w:r w:rsidR="00762E0A">
              <w:t>’</w:t>
            </w:r>
            <w:r w:rsidRPr="003B5EA4">
              <w:t>en avaient connu aucun dans ce domaine au cours de la décennie écoulée. À cet égard, l</w:t>
            </w:r>
            <w:r w:rsidR="00762E0A">
              <w:t>’</w:t>
            </w:r>
            <w:r w:rsidRPr="003B5EA4">
              <w:t>Inspectrice recommande aux chefs de secrétariat de prévoir des audits et des évaluations périodiques de la gestion des voyages afin d</w:t>
            </w:r>
            <w:r w:rsidR="00762E0A">
              <w:t>’</w:t>
            </w:r>
            <w:r w:rsidRPr="003B5EA4">
              <w:t>en assurer la conformité avec leurs politiques en matière de voyages en avion, ainsi que d</w:t>
            </w:r>
            <w:r w:rsidR="00762E0A">
              <w:t>’</w:t>
            </w:r>
            <w:r w:rsidRPr="003B5EA4">
              <w:t>effectuer des analyses périodiques des risques et de définir des mesures d</w:t>
            </w:r>
            <w:r w:rsidR="00762E0A">
              <w:t>’</w:t>
            </w:r>
            <w:r w:rsidRPr="003B5EA4">
              <w:t>efficience supplémentaires avant le prochain cycle budgétaire (recommandation 5).</w:t>
            </w:r>
          </w:p>
        </w:tc>
      </w:tr>
      <w:tr w:rsidR="003D03A6" w:rsidRPr="003B5EA4" w:rsidTr="00E07876">
        <w:trPr>
          <w:jc w:val="center"/>
        </w:trPr>
        <w:tc>
          <w:tcPr>
            <w:tcW w:w="9637" w:type="dxa"/>
            <w:tcBorders>
              <w:top w:val="nil"/>
              <w:bottom w:val="nil"/>
            </w:tcBorders>
            <w:shd w:val="clear" w:color="auto" w:fill="auto"/>
          </w:tcPr>
          <w:p w:rsidR="003D03A6" w:rsidRPr="003B5EA4" w:rsidRDefault="003D03A6" w:rsidP="009515F6">
            <w:pPr>
              <w:pStyle w:val="SingleTxtG"/>
              <w:jc w:val="left"/>
            </w:pPr>
            <w:r w:rsidRPr="003B5EA4">
              <w:rPr>
                <w:b/>
              </w:rPr>
              <w:t>Mesures d</w:t>
            </w:r>
            <w:r w:rsidR="00762E0A">
              <w:rPr>
                <w:b/>
              </w:rPr>
              <w:t>’</w:t>
            </w:r>
            <w:r w:rsidRPr="003B5EA4">
              <w:rPr>
                <w:b/>
              </w:rPr>
              <w:t>efficience et d</w:t>
            </w:r>
            <w:r w:rsidR="00762E0A">
              <w:rPr>
                <w:b/>
              </w:rPr>
              <w:t>’</w:t>
            </w:r>
            <w:r w:rsidRPr="003B5EA4">
              <w:rPr>
                <w:b/>
              </w:rPr>
              <w:t>économie</w:t>
            </w:r>
          </w:p>
        </w:tc>
      </w:tr>
      <w:tr w:rsidR="003D03A6" w:rsidRPr="003B5EA4" w:rsidTr="00E07876">
        <w:trPr>
          <w:jc w:val="center"/>
        </w:trPr>
        <w:tc>
          <w:tcPr>
            <w:tcW w:w="9637" w:type="dxa"/>
            <w:tcBorders>
              <w:top w:val="nil"/>
              <w:bottom w:val="nil"/>
            </w:tcBorders>
            <w:shd w:val="clear" w:color="auto" w:fill="auto"/>
          </w:tcPr>
          <w:p w:rsidR="003D03A6" w:rsidRPr="003B5EA4" w:rsidRDefault="00E447E1" w:rsidP="000167DC">
            <w:pPr>
              <w:pStyle w:val="SingleTxtG"/>
              <w:ind w:firstLine="567"/>
            </w:pPr>
            <w:r w:rsidRPr="003B5EA4">
              <w:t>Il est louable que certains organismes aient envisagé et mis en œuvre des solutions qui se substituent aux déplacements du personnel et sont susceptibles de réduire les coûts relatifs aux voyages en avion. De plus en plus sollicitées, la visioconférence et les réunions en ligne sont les formules de substitution qui ont été utilisées avec le plus de succès. Afin de réduire les déplacements et les coûts y afférents, l</w:t>
            </w:r>
            <w:r w:rsidR="00762E0A">
              <w:t>’</w:t>
            </w:r>
            <w:r w:rsidRPr="003B5EA4">
              <w:t>examen plaide en faveur de la reproduction des bonnes pratiques relevées, en l</w:t>
            </w:r>
            <w:r w:rsidR="00762E0A">
              <w:t>’</w:t>
            </w:r>
            <w:r w:rsidRPr="003B5EA4">
              <w:t>occurrence d</w:t>
            </w:r>
            <w:r w:rsidR="00762E0A">
              <w:t>’</w:t>
            </w:r>
            <w:r w:rsidRPr="003B5EA4">
              <w:t>un recours accru à la visioconférence et aux technologies apparentées, de la limitation du nombre de fonctionnaires voyageant pour prendre part à des réunions officielles</w:t>
            </w:r>
            <w:r w:rsidRPr="003B5EA4">
              <w:rPr>
                <w:bCs/>
              </w:rPr>
              <w:t>, et de la représentation de l</w:t>
            </w:r>
            <w:r w:rsidR="00762E0A">
              <w:rPr>
                <w:bCs/>
              </w:rPr>
              <w:t>’</w:t>
            </w:r>
            <w:r w:rsidRPr="003B5EA4">
              <w:rPr>
                <w:bCs/>
              </w:rPr>
              <w:t>organisme à ces réunions par des fonctionnaires en poste dans le lieu d</w:t>
            </w:r>
            <w:r w:rsidR="00762E0A">
              <w:rPr>
                <w:bCs/>
              </w:rPr>
              <w:t>’</w:t>
            </w:r>
            <w:r w:rsidRPr="003B5EA4">
              <w:rPr>
                <w:bCs/>
              </w:rPr>
              <w:t>affectation ou la région où elles se tiennent.</w:t>
            </w:r>
          </w:p>
        </w:tc>
      </w:tr>
      <w:tr w:rsidR="000167DC" w:rsidRPr="003B5EA4" w:rsidTr="00E07876">
        <w:trPr>
          <w:jc w:val="center"/>
        </w:trPr>
        <w:tc>
          <w:tcPr>
            <w:tcW w:w="9637" w:type="dxa"/>
            <w:tcBorders>
              <w:top w:val="nil"/>
              <w:bottom w:val="nil"/>
            </w:tcBorders>
            <w:shd w:val="clear" w:color="auto" w:fill="auto"/>
          </w:tcPr>
          <w:p w:rsidR="000167DC" w:rsidRPr="003B5EA4" w:rsidRDefault="000167DC" w:rsidP="000167DC">
            <w:pPr>
              <w:pStyle w:val="SingleTxtG"/>
              <w:ind w:firstLine="567"/>
            </w:pPr>
            <w:r w:rsidRPr="003B5EA4">
              <w:rPr>
                <w:rFonts w:eastAsiaTheme="minorEastAsia"/>
              </w:rPr>
              <w:t>Au nombre des moyens susceptibles de réduire le coût des voyages en avion et les frais y afférents, l</w:t>
            </w:r>
            <w:r w:rsidR="00762E0A">
              <w:rPr>
                <w:rFonts w:eastAsiaTheme="minorEastAsia"/>
              </w:rPr>
              <w:t>’</w:t>
            </w:r>
            <w:r w:rsidRPr="003B5EA4">
              <w:rPr>
                <w:rFonts w:eastAsiaTheme="minorEastAsia"/>
              </w:rPr>
              <w:t>examen relève aussi l</w:t>
            </w:r>
            <w:r w:rsidR="00762E0A">
              <w:rPr>
                <w:rFonts w:eastAsiaTheme="minorEastAsia"/>
              </w:rPr>
              <w:t>’</w:t>
            </w:r>
            <w:r w:rsidRPr="003B5EA4">
              <w:rPr>
                <w:rFonts w:eastAsiaTheme="minorEastAsia"/>
              </w:rPr>
              <w:t>intérêt de reproduire certaines mesures utiles comme la possibilité donnée aux fonctionnaires d</w:t>
            </w:r>
            <w:r w:rsidR="00762E0A">
              <w:rPr>
                <w:rFonts w:eastAsiaTheme="minorEastAsia"/>
              </w:rPr>
              <w:t>’</w:t>
            </w:r>
            <w:r w:rsidRPr="003B5EA4">
              <w:rPr>
                <w:rFonts w:eastAsiaTheme="minorEastAsia"/>
              </w:rPr>
              <w:t>acheter eux-mêmes leurs billets d</w:t>
            </w:r>
            <w:r w:rsidR="00762E0A">
              <w:rPr>
                <w:rFonts w:eastAsiaTheme="minorEastAsia"/>
              </w:rPr>
              <w:t>’</w:t>
            </w:r>
            <w:r w:rsidRPr="003B5EA4">
              <w:rPr>
                <w:rFonts w:eastAsiaTheme="minorEastAsia"/>
              </w:rPr>
              <w:t>avion, la faculté d</w:t>
            </w:r>
            <w:r w:rsidR="00762E0A">
              <w:rPr>
                <w:rFonts w:eastAsiaTheme="minorEastAsia"/>
              </w:rPr>
              <w:t>’</w:t>
            </w:r>
            <w:r w:rsidRPr="003B5EA4">
              <w:rPr>
                <w:rFonts w:eastAsiaTheme="minorEastAsia"/>
              </w:rPr>
              <w:t>acheter des billets non remboursables, le recours aux services d</w:t>
            </w:r>
            <w:r w:rsidR="00762E0A">
              <w:rPr>
                <w:rFonts w:eastAsiaTheme="minorEastAsia"/>
              </w:rPr>
              <w:t>’</w:t>
            </w:r>
            <w:r w:rsidRPr="003B5EA4">
              <w:rPr>
                <w:rFonts w:eastAsiaTheme="minorEastAsia"/>
              </w:rPr>
              <w:t>agences de voyages délocalisées et de compagnies aériennes à bas prix,</w:t>
            </w:r>
            <w:r w:rsidRPr="003B5EA4">
              <w:t xml:space="preserve"> et l</w:t>
            </w:r>
            <w:r w:rsidR="00762E0A">
              <w:t>’</w:t>
            </w:r>
            <w:r w:rsidRPr="003B5EA4">
              <w:t>extension du régime de la somme forfaitaire (voir annexe X) à toutes les catégories de voyages statutaires, le cas échéant. Sont également recommandées, l</w:t>
            </w:r>
            <w:r w:rsidR="00762E0A">
              <w:t>’</w:t>
            </w:r>
            <w:r w:rsidRPr="003B5EA4">
              <w:t>utilisation des outils de réservation en ligne et l</w:t>
            </w:r>
            <w:r w:rsidR="00762E0A">
              <w:t>’</w:t>
            </w:r>
            <w:r w:rsidRPr="003B5EA4">
              <w:t xml:space="preserve">étude de leur intégration dans les progiciels de gestion intégrés </w:t>
            </w:r>
            <w:r w:rsidRPr="003B5EA4">
              <w:rPr>
                <w:rFonts w:eastAsiaTheme="minorEastAsia"/>
              </w:rPr>
              <w:t>(recommandation 6).</w:t>
            </w:r>
          </w:p>
        </w:tc>
      </w:tr>
      <w:tr w:rsidR="000167DC" w:rsidRPr="003B5EA4" w:rsidTr="00E07876">
        <w:trPr>
          <w:jc w:val="center"/>
        </w:trPr>
        <w:tc>
          <w:tcPr>
            <w:tcW w:w="9637" w:type="dxa"/>
            <w:tcBorders>
              <w:top w:val="nil"/>
              <w:bottom w:val="nil"/>
            </w:tcBorders>
            <w:shd w:val="clear" w:color="auto" w:fill="auto"/>
          </w:tcPr>
          <w:p w:rsidR="000167DC" w:rsidRPr="003B5EA4" w:rsidRDefault="000167DC" w:rsidP="009515F6">
            <w:pPr>
              <w:pStyle w:val="SingleTxtG"/>
              <w:jc w:val="left"/>
              <w:rPr>
                <w:b/>
              </w:rPr>
            </w:pPr>
            <w:r w:rsidRPr="003B5EA4">
              <w:rPr>
                <w:b/>
              </w:rPr>
              <w:t>Harmonisation entre les organismes des Nations Unies</w:t>
            </w:r>
          </w:p>
        </w:tc>
      </w:tr>
      <w:tr w:rsidR="000167DC" w:rsidRPr="003B5EA4" w:rsidTr="00E07876">
        <w:trPr>
          <w:jc w:val="center"/>
        </w:trPr>
        <w:tc>
          <w:tcPr>
            <w:tcW w:w="9637" w:type="dxa"/>
            <w:tcBorders>
              <w:top w:val="nil"/>
              <w:bottom w:val="nil"/>
            </w:tcBorders>
            <w:shd w:val="clear" w:color="auto" w:fill="auto"/>
          </w:tcPr>
          <w:p w:rsidR="000167DC" w:rsidRPr="003B5EA4" w:rsidRDefault="000167DC" w:rsidP="000167DC">
            <w:pPr>
              <w:pStyle w:val="SingleTxtG"/>
              <w:ind w:firstLine="567"/>
            </w:pPr>
            <w:r w:rsidRPr="003B5EA4">
              <w:t>L</w:t>
            </w:r>
            <w:r w:rsidR="00762E0A">
              <w:t>’</w:t>
            </w:r>
            <w:r w:rsidRPr="003B5EA4">
              <w:t>Assemblée générale a maintes fois souligné l</w:t>
            </w:r>
            <w:r w:rsidR="00762E0A">
              <w:t>’</w:t>
            </w:r>
            <w:r w:rsidRPr="003B5EA4">
              <w:t>importance d</w:t>
            </w:r>
            <w:r w:rsidR="00762E0A">
              <w:t>’</w:t>
            </w:r>
            <w:r w:rsidRPr="003B5EA4">
              <w:t>une bonne coordination entre les entités du système des Nations Unies en vue d</w:t>
            </w:r>
            <w:r w:rsidR="00762E0A">
              <w:t>’</w:t>
            </w:r>
            <w:r w:rsidRPr="003B5EA4">
              <w:t xml:space="preserve">harmoniser les </w:t>
            </w:r>
            <w:r w:rsidRPr="003B5EA4">
              <w:lastRenderedPageBreak/>
              <w:t>normes et pratiques applicables à l</w:t>
            </w:r>
            <w:r w:rsidR="00762E0A">
              <w:t>’</w:t>
            </w:r>
            <w:r w:rsidRPr="003B5EA4">
              <w:t>acquisition des services de voyages en avion et a prié le Secrétaire général, en sa qualité de Président du Conseil des chefs de secrétariat des organismes des Nations Unies pour la coordination (CCS), de promouvoir la mise en commun des meilleures pratiques en matière de voyages en avion. À cet égard, le présent examen s</w:t>
            </w:r>
            <w:r w:rsidR="00762E0A">
              <w:t>’</w:t>
            </w:r>
            <w:r w:rsidRPr="003B5EA4">
              <w:t>achève en considérant les prescriptions de l</w:t>
            </w:r>
            <w:r w:rsidR="00762E0A">
              <w:t>’</w:t>
            </w:r>
            <w:r w:rsidRPr="003B5EA4">
              <w:t>Assemblée générale aux fins d</w:t>
            </w:r>
            <w:r w:rsidR="00762E0A">
              <w:t>’</w:t>
            </w:r>
            <w:r w:rsidRPr="003B5EA4">
              <w:t>une plus grande harmonisation ainsi que les rapports et examens publiés sur la question au cours des vingt dernières années. Il relève également les mesures qui peuvent être prises dans ce sens par le truchement du CCS, de la Commission de la fonction publique internationale (CFPI) et du Réseau interinstitutions Voyages.</w:t>
            </w:r>
          </w:p>
        </w:tc>
      </w:tr>
      <w:tr w:rsidR="000167DC" w:rsidRPr="003B5EA4" w:rsidTr="00E07876">
        <w:trPr>
          <w:jc w:val="center"/>
        </w:trPr>
        <w:tc>
          <w:tcPr>
            <w:tcW w:w="9637" w:type="dxa"/>
            <w:tcBorders>
              <w:top w:val="nil"/>
              <w:bottom w:val="nil"/>
            </w:tcBorders>
            <w:shd w:val="clear" w:color="auto" w:fill="auto"/>
          </w:tcPr>
          <w:p w:rsidR="000167DC" w:rsidRPr="003B5EA4" w:rsidRDefault="00E447E1" w:rsidP="000167DC">
            <w:pPr>
              <w:pStyle w:val="SingleTxtG"/>
              <w:ind w:firstLine="567"/>
            </w:pPr>
            <w:r w:rsidRPr="003B5EA4">
              <w:lastRenderedPageBreak/>
              <w:t>En ce qui concerne les conditions de voyage en avion, si le présent examen a relevé un degré d</w:t>
            </w:r>
            <w:r w:rsidR="00762E0A">
              <w:t>’</w:t>
            </w:r>
            <w:r w:rsidRPr="003B5EA4">
              <w:t>uniformité élevé entre les politiques en matière de voyages de l</w:t>
            </w:r>
            <w:r w:rsidR="00762E0A">
              <w:t>’</w:t>
            </w:r>
            <w:r w:rsidRPr="003B5EA4">
              <w:t>ONU et celles des entités qui lui sont apparentées, telles que les fonds et les programmes, la situation s</w:t>
            </w:r>
            <w:r w:rsidR="00762E0A">
              <w:t>’</w:t>
            </w:r>
            <w:r w:rsidRPr="003B5EA4">
              <w:t>est présentée sous un jour moins uniforme parmi les institutions spécialisées. Celles-ci ont cité la diversité et la variation des mandats, règles, politiques, pratiques, procédures opératoires, modèles d</w:t>
            </w:r>
            <w:r w:rsidR="00762E0A">
              <w:t>’</w:t>
            </w:r>
            <w:r w:rsidRPr="003B5EA4">
              <w:t>affaires et structures de financement, ainsi que les adaptations inutiles ou excessives du module voyages des progiciels de gestion intégrés au nombre des obstacles à l</w:t>
            </w:r>
            <w:r w:rsidR="00762E0A">
              <w:t>’</w:t>
            </w:r>
            <w:r w:rsidRPr="003B5EA4">
              <w:t>harmonisation de la gestion des voyages en avion à l</w:t>
            </w:r>
            <w:r w:rsidR="00762E0A">
              <w:t>’</w:t>
            </w:r>
            <w:r w:rsidRPr="003B5EA4">
              <w:t>échelle du système.</w:t>
            </w:r>
          </w:p>
        </w:tc>
      </w:tr>
      <w:tr w:rsidR="000167DC" w:rsidRPr="003B5EA4" w:rsidTr="00E07876">
        <w:trPr>
          <w:jc w:val="center"/>
        </w:trPr>
        <w:tc>
          <w:tcPr>
            <w:tcW w:w="9637" w:type="dxa"/>
            <w:tcBorders>
              <w:top w:val="nil"/>
              <w:bottom w:val="nil"/>
            </w:tcBorders>
            <w:shd w:val="clear" w:color="auto" w:fill="auto"/>
          </w:tcPr>
          <w:p w:rsidR="000167DC" w:rsidRPr="003B5EA4" w:rsidRDefault="00E447E1" w:rsidP="000167DC">
            <w:pPr>
              <w:pStyle w:val="SingleTxtG"/>
              <w:ind w:firstLine="567"/>
            </w:pPr>
            <w:r w:rsidRPr="003B5EA4">
              <w:t>Cette disparité dans l</w:t>
            </w:r>
            <w:r w:rsidR="00762E0A">
              <w:t>’</w:t>
            </w:r>
            <w:r w:rsidRPr="003B5EA4">
              <w:t>application des conditions de voyage en avion affaiblit la cohésion et l</w:t>
            </w:r>
            <w:r w:rsidR="00762E0A">
              <w:t>’</w:t>
            </w:r>
            <w:r w:rsidRPr="003B5EA4">
              <w:t>uniformité du régime commun des Nations Unies. En vue de sa résolution, l</w:t>
            </w:r>
            <w:r w:rsidR="00762E0A">
              <w:t>’</w:t>
            </w:r>
            <w:r w:rsidRPr="003B5EA4">
              <w:t>Inspectrice recommande que le Secrétaire général soit prié, en sa qualité de Président du CCS, de procéder à un examen des mesures visant à promouvoir l</w:t>
            </w:r>
            <w:r w:rsidR="00762E0A">
              <w:t>’</w:t>
            </w:r>
            <w:r w:rsidRPr="003B5EA4">
              <w:t>harmonisation des conditions de voyage en avion appliquées par l</w:t>
            </w:r>
            <w:r w:rsidR="00762E0A">
              <w:t>’</w:t>
            </w:r>
            <w:r w:rsidRPr="003B5EA4">
              <w:t>ensemble des organismes des Nations Unies, ainsi que des dépenses relatives aux voyages en avion à caractère officiel et statutaire, et de faire rapport des résultats à l</w:t>
            </w:r>
            <w:r w:rsidR="00762E0A">
              <w:t>’</w:t>
            </w:r>
            <w:r w:rsidRPr="003B5EA4">
              <w:t xml:space="preserve">Assemblée générale </w:t>
            </w:r>
            <w:r w:rsidRPr="003B5EA4">
              <w:rPr>
                <w:bCs/>
              </w:rPr>
              <w:t>(recommandation 7).</w:t>
            </w:r>
          </w:p>
        </w:tc>
      </w:tr>
      <w:tr w:rsidR="009170E3" w:rsidRPr="003B5EA4" w:rsidTr="00E07876">
        <w:trPr>
          <w:jc w:val="center"/>
        </w:trPr>
        <w:tc>
          <w:tcPr>
            <w:tcW w:w="9637" w:type="dxa"/>
            <w:tcBorders>
              <w:top w:val="nil"/>
              <w:bottom w:val="nil"/>
            </w:tcBorders>
            <w:shd w:val="clear" w:color="auto" w:fill="auto"/>
          </w:tcPr>
          <w:p w:rsidR="009170E3" w:rsidRPr="003B5EA4" w:rsidRDefault="00E447E1" w:rsidP="000167DC">
            <w:pPr>
              <w:pStyle w:val="SingleTxtG"/>
              <w:ind w:firstLine="567"/>
            </w:pPr>
            <w:r w:rsidRPr="003B5EA4">
              <w:rPr>
                <w:bCs/>
              </w:rPr>
              <w:t>Dans l</w:t>
            </w:r>
            <w:r w:rsidR="00762E0A">
              <w:rPr>
                <w:bCs/>
              </w:rPr>
              <w:t>’</w:t>
            </w:r>
            <w:r w:rsidRPr="003B5EA4">
              <w:rPr>
                <w:bCs/>
              </w:rPr>
              <w:t>état actuel des choses, il est probable que des fonctionnaires employés dans un même lieu d</w:t>
            </w:r>
            <w:r w:rsidR="00762E0A">
              <w:rPr>
                <w:bCs/>
              </w:rPr>
              <w:t>’</w:t>
            </w:r>
            <w:r w:rsidRPr="003B5EA4">
              <w:rPr>
                <w:bCs/>
              </w:rPr>
              <w:t>affectation par différents organismes des Nations Unies recevront des sommes forfaitaires différentes au titre de leurs congés dans les foyers lorsqu</w:t>
            </w:r>
            <w:r w:rsidR="00762E0A">
              <w:rPr>
                <w:bCs/>
              </w:rPr>
              <w:t>’</w:t>
            </w:r>
            <w:r w:rsidRPr="003B5EA4">
              <w:rPr>
                <w:bCs/>
              </w:rPr>
              <w:t>ils voyagent aux mêmes dates pour se rendre au même endroit.</w:t>
            </w:r>
            <w:r w:rsidRPr="003B5EA4">
              <w:t xml:space="preserve"> Pour remédier à cette situation, l</w:t>
            </w:r>
            <w:r w:rsidR="00762E0A">
              <w:t>’</w:t>
            </w:r>
            <w:r w:rsidRPr="003B5EA4">
              <w:t>Inspectrice recommande à l</w:t>
            </w:r>
            <w:r w:rsidR="00762E0A">
              <w:t>’</w:t>
            </w:r>
            <w:r w:rsidRPr="003B5EA4">
              <w:t>Assemblée générale de charger la CFPI d</w:t>
            </w:r>
            <w:r w:rsidR="00762E0A">
              <w:t>’</w:t>
            </w:r>
            <w:r w:rsidRPr="003B5EA4">
              <w:t>entreprendre à l</w:t>
            </w:r>
            <w:r w:rsidR="00762E0A">
              <w:t>’</w:t>
            </w:r>
            <w:r w:rsidRPr="003B5EA4">
              <w:t>échelle du système un examen des sommes forfaitaires accordées au titre des voyages statutaires afin d</w:t>
            </w:r>
            <w:r w:rsidR="00762E0A">
              <w:t>’</w:t>
            </w:r>
            <w:r w:rsidRPr="003B5EA4">
              <w:t>établir une méthode et un pourcentage communs aux fins du calcul des montants payables (recommandation 8). L</w:t>
            </w:r>
            <w:r w:rsidR="00762E0A">
              <w:t>’</w:t>
            </w:r>
            <w:r w:rsidRPr="003B5EA4">
              <w:t>Inspectrice est également d</w:t>
            </w:r>
            <w:r w:rsidR="00762E0A">
              <w:t>’</w:t>
            </w:r>
            <w:r w:rsidRPr="003B5EA4">
              <w:t>avis que des mesures devraient être prises afin d</w:t>
            </w:r>
            <w:r w:rsidR="00762E0A">
              <w:t>’</w:t>
            </w:r>
            <w:r w:rsidRPr="003B5EA4">
              <w:t>harmoniser le processus de paiement de l</w:t>
            </w:r>
            <w:r w:rsidR="00762E0A">
              <w:t>’</w:t>
            </w:r>
            <w:r w:rsidRPr="003B5EA4">
              <w:t>indemnité journalière de subsistance (voir annexe XI), d</w:t>
            </w:r>
            <w:r w:rsidR="00762E0A">
              <w:t>’</w:t>
            </w:r>
            <w:r w:rsidRPr="003B5EA4">
              <w:t>éliminer les escales (voir annexe XII) et d</w:t>
            </w:r>
            <w:r w:rsidR="00762E0A">
              <w:t>’</w:t>
            </w:r>
            <w:r w:rsidRPr="003B5EA4">
              <w:t>assurer des périodes de repos adéquates dans le cadre des voyages officiels.</w:t>
            </w:r>
          </w:p>
        </w:tc>
      </w:tr>
      <w:tr w:rsidR="009170E3" w:rsidRPr="003B5EA4" w:rsidTr="00E07876">
        <w:trPr>
          <w:jc w:val="center"/>
        </w:trPr>
        <w:tc>
          <w:tcPr>
            <w:tcW w:w="9637" w:type="dxa"/>
            <w:tcBorders>
              <w:top w:val="nil"/>
              <w:bottom w:val="nil"/>
            </w:tcBorders>
            <w:shd w:val="clear" w:color="auto" w:fill="auto"/>
          </w:tcPr>
          <w:p w:rsidR="009170E3" w:rsidRPr="003B5EA4" w:rsidRDefault="00E447E1" w:rsidP="000167DC">
            <w:pPr>
              <w:pStyle w:val="SingleTxtG"/>
              <w:ind w:firstLine="567"/>
              <w:rPr>
                <w:bCs/>
              </w:rPr>
            </w:pPr>
            <w:r w:rsidRPr="003B5EA4">
              <w:rPr>
                <w:bCs/>
              </w:rPr>
              <w:t>Enfin, estimant qu</w:t>
            </w:r>
            <w:r w:rsidR="00762E0A">
              <w:rPr>
                <w:bCs/>
              </w:rPr>
              <w:t>’</w:t>
            </w:r>
            <w:r w:rsidRPr="003B5EA4">
              <w:rPr>
                <w:bCs/>
              </w:rPr>
              <w:t>il est possible de renforcer encore la mise en commun et la coordination officielles des pratiques en matière de voyages en avion, l</w:t>
            </w:r>
            <w:r w:rsidR="00762E0A">
              <w:rPr>
                <w:bCs/>
              </w:rPr>
              <w:t>’</w:t>
            </w:r>
            <w:r w:rsidRPr="003B5EA4">
              <w:rPr>
                <w:bCs/>
              </w:rPr>
              <w:t>Inspectrice recommande que le Secrétaire général soit prié, en sa qualité de Président du CCS, de soumettre à l</w:t>
            </w:r>
            <w:r w:rsidR="00762E0A">
              <w:rPr>
                <w:bCs/>
              </w:rPr>
              <w:t>’</w:t>
            </w:r>
            <w:r w:rsidRPr="003B5EA4">
              <w:rPr>
                <w:bCs/>
              </w:rPr>
              <w:t>examen de l</w:t>
            </w:r>
            <w:r w:rsidR="00762E0A">
              <w:rPr>
                <w:bCs/>
              </w:rPr>
              <w:t>’</w:t>
            </w:r>
            <w:r w:rsidRPr="003B5EA4">
              <w:rPr>
                <w:bCs/>
              </w:rPr>
              <w:t>Assemblée générale une proposition visant à créer un comité consultatif officiel sur les voyages (recommandation 9).</w:t>
            </w:r>
          </w:p>
        </w:tc>
      </w:tr>
      <w:tr w:rsidR="009170E3" w:rsidRPr="003B5EA4" w:rsidTr="00E07876">
        <w:trPr>
          <w:jc w:val="center"/>
        </w:trPr>
        <w:tc>
          <w:tcPr>
            <w:tcW w:w="9637" w:type="dxa"/>
            <w:tcBorders>
              <w:top w:val="nil"/>
              <w:bottom w:val="nil"/>
            </w:tcBorders>
            <w:shd w:val="clear" w:color="auto" w:fill="auto"/>
          </w:tcPr>
          <w:p w:rsidR="009170E3" w:rsidRPr="003B5EA4" w:rsidRDefault="009170E3" w:rsidP="009515F6">
            <w:pPr>
              <w:pStyle w:val="SingleTxtG"/>
              <w:jc w:val="left"/>
            </w:pPr>
            <w:r w:rsidRPr="003B5EA4">
              <w:rPr>
                <w:b/>
              </w:rPr>
              <w:t>Recommandations</w:t>
            </w:r>
          </w:p>
        </w:tc>
      </w:tr>
      <w:tr w:rsidR="009170E3" w:rsidRPr="003B5EA4" w:rsidTr="00E07876">
        <w:trPr>
          <w:jc w:val="center"/>
        </w:trPr>
        <w:tc>
          <w:tcPr>
            <w:tcW w:w="9637" w:type="dxa"/>
            <w:tcBorders>
              <w:top w:val="nil"/>
              <w:bottom w:val="nil"/>
            </w:tcBorders>
            <w:shd w:val="clear" w:color="auto" w:fill="auto"/>
          </w:tcPr>
          <w:p w:rsidR="009170E3" w:rsidRPr="003B5EA4" w:rsidRDefault="00B64CA4" w:rsidP="009515F6">
            <w:pPr>
              <w:pStyle w:val="SingleTxtG"/>
              <w:jc w:val="left"/>
              <w:rPr>
                <w:b/>
              </w:rPr>
            </w:pPr>
            <w:r w:rsidRPr="003B5EA4">
              <w:rPr>
                <w:b/>
              </w:rPr>
              <w:t>Recommandation 1</w:t>
            </w:r>
          </w:p>
        </w:tc>
      </w:tr>
      <w:tr w:rsidR="00B64CA4" w:rsidRPr="003B5EA4" w:rsidTr="00E07876">
        <w:trPr>
          <w:jc w:val="center"/>
        </w:trPr>
        <w:tc>
          <w:tcPr>
            <w:tcW w:w="9637" w:type="dxa"/>
            <w:tcBorders>
              <w:top w:val="nil"/>
              <w:bottom w:val="nil"/>
            </w:tcBorders>
            <w:shd w:val="clear" w:color="auto" w:fill="auto"/>
          </w:tcPr>
          <w:p w:rsidR="00B64CA4" w:rsidRPr="003B5EA4" w:rsidRDefault="005C784B" w:rsidP="005C784B">
            <w:pPr>
              <w:pStyle w:val="SingleTxtG"/>
              <w:ind w:firstLine="567"/>
            </w:pPr>
            <w:r w:rsidRPr="003B5EA4">
              <w:rPr>
                <w:b/>
              </w:rPr>
              <w:t>Les organes délibérants des organismes des Nations Unies devraient prier les chefs de secrétariat qui ne l</w:t>
            </w:r>
            <w:r w:rsidR="00762E0A">
              <w:rPr>
                <w:b/>
              </w:rPr>
              <w:t>’</w:t>
            </w:r>
            <w:r w:rsidRPr="003B5EA4">
              <w:rPr>
                <w:b/>
              </w:rPr>
              <w:t>ont pas encore fait de fixer d</w:t>
            </w:r>
            <w:r w:rsidR="00762E0A">
              <w:rPr>
                <w:b/>
              </w:rPr>
              <w:t>’</w:t>
            </w:r>
            <w:r w:rsidRPr="003B5EA4">
              <w:rPr>
                <w:b/>
              </w:rPr>
              <w:t>ici à 2019 un seuil de coût supplémentaire cohérent, exprimé en pourcentage, au-dessous duquel l</w:t>
            </w:r>
            <w:r w:rsidR="00762E0A">
              <w:rPr>
                <w:b/>
              </w:rPr>
              <w:t>’</w:t>
            </w:r>
            <w:r w:rsidRPr="003B5EA4">
              <w:rPr>
                <w:b/>
              </w:rPr>
              <w:t>itinéraire le plus direct peut être choisi au lieu de l</w:t>
            </w:r>
            <w:r w:rsidR="00762E0A">
              <w:rPr>
                <w:b/>
              </w:rPr>
              <w:t>’</w:t>
            </w:r>
            <w:r w:rsidRPr="003B5EA4">
              <w:rPr>
                <w:b/>
              </w:rPr>
              <w:t>itinéraire le plus économique, compte tenu du seuil de durée supplémentaire au-dessous duquel l</w:t>
            </w:r>
            <w:r w:rsidR="00762E0A">
              <w:rPr>
                <w:b/>
              </w:rPr>
              <w:t>’</w:t>
            </w:r>
            <w:r w:rsidRPr="003B5EA4">
              <w:rPr>
                <w:b/>
              </w:rPr>
              <w:t>itinéraire le plus économique se justifierait au regard de la politique des voyages de chaque organisme.</w:t>
            </w:r>
          </w:p>
        </w:tc>
      </w:tr>
      <w:tr w:rsidR="005C784B" w:rsidRPr="003B5EA4" w:rsidTr="00E07876">
        <w:trPr>
          <w:jc w:val="center"/>
        </w:trPr>
        <w:tc>
          <w:tcPr>
            <w:tcW w:w="9637" w:type="dxa"/>
            <w:tcBorders>
              <w:top w:val="nil"/>
              <w:bottom w:val="nil"/>
            </w:tcBorders>
            <w:shd w:val="clear" w:color="auto" w:fill="auto"/>
          </w:tcPr>
          <w:p w:rsidR="005C784B" w:rsidRPr="003B5EA4" w:rsidRDefault="005C784B" w:rsidP="009515F6">
            <w:pPr>
              <w:pStyle w:val="SingleTxtG"/>
              <w:jc w:val="left"/>
              <w:rPr>
                <w:b/>
              </w:rPr>
            </w:pPr>
            <w:r w:rsidRPr="003B5EA4">
              <w:rPr>
                <w:b/>
              </w:rPr>
              <w:t>Recommandation 2</w:t>
            </w:r>
          </w:p>
        </w:tc>
      </w:tr>
      <w:tr w:rsidR="005C784B" w:rsidRPr="003B5EA4" w:rsidTr="00E07876">
        <w:trPr>
          <w:jc w:val="center"/>
        </w:trPr>
        <w:tc>
          <w:tcPr>
            <w:tcW w:w="9637" w:type="dxa"/>
            <w:tcBorders>
              <w:top w:val="nil"/>
              <w:bottom w:val="nil"/>
            </w:tcBorders>
            <w:shd w:val="clear" w:color="auto" w:fill="auto"/>
          </w:tcPr>
          <w:p w:rsidR="005C784B" w:rsidRPr="003B5EA4" w:rsidRDefault="00E447E1" w:rsidP="005C784B">
            <w:pPr>
              <w:pStyle w:val="SingleTxtG"/>
              <w:ind w:firstLine="567"/>
              <w:rPr>
                <w:b/>
              </w:rPr>
            </w:pPr>
            <w:r w:rsidRPr="003B5EA4">
              <w:rPr>
                <w:b/>
              </w:rPr>
              <w:t>Les organes délibérants de tous les organismes des Nations Unies qui ne l</w:t>
            </w:r>
            <w:r w:rsidR="00762E0A">
              <w:rPr>
                <w:b/>
              </w:rPr>
              <w:t>’</w:t>
            </w:r>
            <w:r w:rsidRPr="003B5EA4">
              <w:rPr>
                <w:b/>
              </w:rPr>
              <w:t>ont pas encore fait devraient supprimer le voyage en première classe pour toutes les catégories de fonctionnaires et de non-fonctionnaires d</w:t>
            </w:r>
            <w:r w:rsidR="00762E0A">
              <w:rPr>
                <w:b/>
              </w:rPr>
              <w:t>’</w:t>
            </w:r>
            <w:r w:rsidRPr="003B5EA4">
              <w:rPr>
                <w:b/>
              </w:rPr>
              <w:t>ici au mois de janvier</w:t>
            </w:r>
            <w:r w:rsidR="005C784B" w:rsidRPr="003B5EA4">
              <w:rPr>
                <w:b/>
              </w:rPr>
              <w:t xml:space="preserve"> </w:t>
            </w:r>
            <w:r w:rsidRPr="003B5EA4">
              <w:rPr>
                <w:b/>
              </w:rPr>
              <w:t>2019 et n</w:t>
            </w:r>
            <w:r w:rsidR="00762E0A">
              <w:rPr>
                <w:b/>
              </w:rPr>
              <w:t>’</w:t>
            </w:r>
            <w:r w:rsidRPr="003B5EA4">
              <w:rPr>
                <w:b/>
              </w:rPr>
              <w:t>autoriser cette formule que lorsque la classe affaires n</w:t>
            </w:r>
            <w:r w:rsidR="00762E0A">
              <w:rPr>
                <w:b/>
              </w:rPr>
              <w:t>’</w:t>
            </w:r>
            <w:r w:rsidRPr="003B5EA4">
              <w:rPr>
                <w:b/>
              </w:rPr>
              <w:t>est pas disponible.</w:t>
            </w:r>
          </w:p>
        </w:tc>
      </w:tr>
      <w:tr w:rsidR="005C784B" w:rsidRPr="003B5EA4" w:rsidTr="00E07876">
        <w:trPr>
          <w:jc w:val="center"/>
        </w:trPr>
        <w:tc>
          <w:tcPr>
            <w:tcW w:w="9637" w:type="dxa"/>
            <w:tcBorders>
              <w:top w:val="nil"/>
              <w:bottom w:val="nil"/>
            </w:tcBorders>
            <w:shd w:val="clear" w:color="auto" w:fill="auto"/>
          </w:tcPr>
          <w:p w:rsidR="005C784B" w:rsidRPr="003B5EA4" w:rsidRDefault="005C784B" w:rsidP="009515F6">
            <w:pPr>
              <w:pStyle w:val="SingleTxtG"/>
              <w:jc w:val="left"/>
            </w:pPr>
            <w:r w:rsidRPr="003B5EA4">
              <w:rPr>
                <w:b/>
              </w:rPr>
              <w:t>Recommandation 3</w:t>
            </w:r>
          </w:p>
        </w:tc>
      </w:tr>
      <w:tr w:rsidR="005C784B" w:rsidRPr="003B5EA4" w:rsidTr="00E07876">
        <w:trPr>
          <w:jc w:val="center"/>
        </w:trPr>
        <w:tc>
          <w:tcPr>
            <w:tcW w:w="9637" w:type="dxa"/>
            <w:tcBorders>
              <w:top w:val="nil"/>
              <w:bottom w:val="nil"/>
            </w:tcBorders>
            <w:shd w:val="clear" w:color="auto" w:fill="auto"/>
          </w:tcPr>
          <w:p w:rsidR="005C784B" w:rsidRPr="003B5EA4" w:rsidRDefault="005C784B" w:rsidP="005C784B">
            <w:pPr>
              <w:pStyle w:val="SingleTxtG"/>
              <w:ind w:firstLine="567"/>
              <w:rPr>
                <w:b/>
              </w:rPr>
            </w:pPr>
            <w:r w:rsidRPr="003B5EA4">
              <w:rPr>
                <w:b/>
              </w:rPr>
              <w:lastRenderedPageBreak/>
              <w:t>L</w:t>
            </w:r>
            <w:r w:rsidR="00762E0A">
              <w:rPr>
                <w:b/>
              </w:rPr>
              <w:t>’</w:t>
            </w:r>
            <w:r w:rsidRPr="003B5EA4">
              <w:rPr>
                <w:b/>
              </w:rPr>
              <w:t>Assemblée générale devrait prier le Secrétaire général d</w:t>
            </w:r>
            <w:r w:rsidR="00762E0A">
              <w:rPr>
                <w:b/>
              </w:rPr>
              <w:t>’</w:t>
            </w:r>
            <w:r w:rsidRPr="003B5EA4">
              <w:rPr>
                <w:b/>
              </w:rPr>
              <w:t>examiner les résolutions 42/214, 45/248A et 53/214 et les décisions 40/555 et 57/589 de l</w:t>
            </w:r>
            <w:r w:rsidR="00762E0A">
              <w:rPr>
                <w:b/>
              </w:rPr>
              <w:t>’</w:t>
            </w:r>
            <w:r w:rsidRPr="003B5EA4">
              <w:rPr>
                <w:b/>
              </w:rPr>
              <w:t>Assemblée générale régissant les conditions de voyage en avion et de formuler d</w:t>
            </w:r>
            <w:r w:rsidR="00762E0A">
              <w:rPr>
                <w:b/>
              </w:rPr>
              <w:t>’</w:t>
            </w:r>
            <w:r w:rsidRPr="003B5EA4">
              <w:rPr>
                <w:b/>
              </w:rPr>
              <w:t>ici à 2019 des propositions de mise à jour et de regroupement des politiques en la matière, compte tenu des évolutions qu</w:t>
            </w:r>
            <w:r w:rsidR="00762E0A">
              <w:rPr>
                <w:b/>
              </w:rPr>
              <w:t>’</w:t>
            </w:r>
            <w:r w:rsidRPr="003B5EA4">
              <w:rPr>
                <w:b/>
              </w:rPr>
              <w:t>ont connues les systèmes et technologies de l</w:t>
            </w:r>
            <w:r w:rsidR="00762E0A">
              <w:rPr>
                <w:b/>
              </w:rPr>
              <w:t>’</w:t>
            </w:r>
            <w:r w:rsidRPr="003B5EA4">
              <w:rPr>
                <w:b/>
              </w:rPr>
              <w:t>information et le secteur des voyages en avion,</w:t>
            </w:r>
            <w:r w:rsidRPr="003B5EA4">
              <w:rPr>
                <w:b/>
                <w:bCs/>
              </w:rPr>
              <w:t xml:space="preserve"> ainsi que des bonnes pratiques d</w:t>
            </w:r>
            <w:r w:rsidR="00762E0A">
              <w:rPr>
                <w:b/>
                <w:bCs/>
              </w:rPr>
              <w:t>’</w:t>
            </w:r>
            <w:r w:rsidRPr="003B5EA4">
              <w:rPr>
                <w:b/>
                <w:bCs/>
              </w:rPr>
              <w:t>autres organismes des Nations Unies</w:t>
            </w:r>
            <w:r w:rsidRPr="003B5EA4">
              <w:rPr>
                <w:b/>
              </w:rPr>
              <w:t>.</w:t>
            </w:r>
          </w:p>
        </w:tc>
      </w:tr>
      <w:tr w:rsidR="005C784B" w:rsidRPr="003B5EA4" w:rsidTr="00E07876">
        <w:trPr>
          <w:jc w:val="center"/>
        </w:trPr>
        <w:tc>
          <w:tcPr>
            <w:tcW w:w="9637" w:type="dxa"/>
            <w:tcBorders>
              <w:top w:val="nil"/>
              <w:bottom w:val="nil"/>
            </w:tcBorders>
            <w:shd w:val="clear" w:color="auto" w:fill="auto"/>
          </w:tcPr>
          <w:p w:rsidR="005C784B" w:rsidRPr="003B5EA4" w:rsidRDefault="00C631D0" w:rsidP="00054DC3">
            <w:pPr>
              <w:pStyle w:val="SingleTxtG"/>
              <w:keepNext/>
            </w:pPr>
            <w:r w:rsidRPr="003B5EA4">
              <w:rPr>
                <w:b/>
              </w:rPr>
              <w:t>Recommandation 4</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ind w:firstLine="567"/>
              <w:rPr>
                <w:b/>
              </w:rPr>
            </w:pPr>
            <w:r w:rsidRPr="003B5EA4">
              <w:rPr>
                <w:b/>
              </w:rPr>
              <w:t>Les chefs de secrétariat des organismes des Nations Unies qui ne l</w:t>
            </w:r>
            <w:r w:rsidR="00762E0A">
              <w:rPr>
                <w:b/>
              </w:rPr>
              <w:t>’</w:t>
            </w:r>
            <w:r w:rsidRPr="003B5EA4">
              <w:rPr>
                <w:b/>
              </w:rPr>
              <w:t>ont pas encore fait devraient veiller à ce que d</w:t>
            </w:r>
            <w:r w:rsidR="00762E0A">
              <w:rPr>
                <w:b/>
              </w:rPr>
              <w:t>’</w:t>
            </w:r>
            <w:r w:rsidRPr="003B5EA4">
              <w:rPr>
                <w:b/>
              </w:rPr>
              <w:t>ici à 2019 des mesures efficaces soient prises pour assurer et suivre la bonne mise en œuvre de politiques d</w:t>
            </w:r>
            <w:r w:rsidR="00762E0A">
              <w:rPr>
                <w:b/>
              </w:rPr>
              <w:t>’</w:t>
            </w:r>
            <w:r w:rsidRPr="003B5EA4">
              <w:rPr>
                <w:b/>
              </w:rPr>
              <w:t xml:space="preserve">achat anticipé, </w:t>
            </w:r>
            <w:r w:rsidR="0055478D">
              <w:rPr>
                <w:b/>
              </w:rPr>
              <w:t>y compris</w:t>
            </w:r>
            <w:r w:rsidRPr="003B5EA4">
              <w:rPr>
                <w:b/>
              </w:rPr>
              <w:t xml:space="preserve"> par l</w:t>
            </w:r>
            <w:r w:rsidR="00762E0A">
              <w:rPr>
                <w:b/>
              </w:rPr>
              <w:t>’</w:t>
            </w:r>
            <w:r w:rsidRPr="003B5EA4">
              <w:rPr>
                <w:b/>
              </w:rPr>
              <w:t>incorporation de règles de planification anticipée et d</w:t>
            </w:r>
            <w:r w:rsidR="00762E0A">
              <w:rPr>
                <w:b/>
              </w:rPr>
              <w:t>’</w:t>
            </w:r>
            <w:r w:rsidRPr="003B5EA4">
              <w:rPr>
                <w:b/>
              </w:rPr>
              <w:t>indicateurs clefs de performance régulièrement mesurés dans les politiques en matière de voyages.</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rPr>
                <w:b/>
              </w:rPr>
            </w:pPr>
            <w:r w:rsidRPr="003B5EA4">
              <w:rPr>
                <w:b/>
              </w:rPr>
              <w:t>Recommandation 5</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ind w:firstLine="567"/>
            </w:pPr>
            <w:r w:rsidRPr="003B5EA4">
              <w:rPr>
                <w:b/>
              </w:rPr>
              <w:t>Les chefs de secrétariat des organismes des Nations Unies devraient prévoir des contrôles et des évaluations périodiques de la conformité des activités relatives à leurs voyages en avion avec leurs propres politiques en la matière, effectuer périodiquement des analyses de risques et définir des mesures d</w:t>
            </w:r>
            <w:r w:rsidR="00762E0A">
              <w:rPr>
                <w:b/>
              </w:rPr>
              <w:t>’</w:t>
            </w:r>
            <w:r w:rsidRPr="003B5EA4">
              <w:rPr>
                <w:b/>
              </w:rPr>
              <w:t>efficience supplémentaires avant leur prochain cycle budgétaire.</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pPr>
            <w:r w:rsidRPr="003B5EA4">
              <w:rPr>
                <w:b/>
              </w:rPr>
              <w:t>Recommandation 6</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ind w:firstLine="567"/>
              <w:rPr>
                <w:b/>
              </w:rPr>
            </w:pPr>
            <w:r w:rsidRPr="003B5EA4">
              <w:rPr>
                <w:b/>
              </w:rPr>
              <w:t>Les chefs de secrétariat des organismes des Nations Unies qui ne l</w:t>
            </w:r>
            <w:r w:rsidR="00762E0A">
              <w:rPr>
                <w:b/>
              </w:rPr>
              <w:t>’</w:t>
            </w:r>
            <w:r w:rsidRPr="003B5EA4">
              <w:rPr>
                <w:b/>
              </w:rPr>
              <w:t>ont pas encore fait devraient encourager l</w:t>
            </w:r>
            <w:r w:rsidR="00762E0A">
              <w:rPr>
                <w:b/>
              </w:rPr>
              <w:t>’</w:t>
            </w:r>
            <w:r w:rsidRPr="003B5EA4">
              <w:rPr>
                <w:b/>
              </w:rPr>
              <w:t>utilisation d</w:t>
            </w:r>
            <w:r w:rsidR="00762E0A">
              <w:rPr>
                <w:b/>
              </w:rPr>
              <w:t>’</w:t>
            </w:r>
            <w:r w:rsidRPr="003B5EA4">
              <w:rPr>
                <w:b/>
              </w:rPr>
              <w:t>outils de réservation en ligne des voyages en avion, actualiser leurs politiques en matière de voyages en y incluant des directives d</w:t>
            </w:r>
            <w:r w:rsidR="00762E0A">
              <w:rPr>
                <w:b/>
              </w:rPr>
              <w:t>’</w:t>
            </w:r>
            <w:r w:rsidRPr="003B5EA4">
              <w:rPr>
                <w:b/>
              </w:rPr>
              <w:t>exploitation optimale de ces outils, et envisager d</w:t>
            </w:r>
            <w:r w:rsidR="00762E0A">
              <w:rPr>
                <w:b/>
              </w:rPr>
              <w:t>’</w:t>
            </w:r>
            <w:r w:rsidRPr="003B5EA4">
              <w:rPr>
                <w:b/>
              </w:rPr>
              <w:t>intégrer ceux-ci dans leurs systèmes existants d</w:t>
            </w:r>
            <w:r w:rsidR="00762E0A">
              <w:rPr>
                <w:b/>
              </w:rPr>
              <w:t>’</w:t>
            </w:r>
            <w:r w:rsidRPr="003B5EA4">
              <w:rPr>
                <w:b/>
              </w:rPr>
              <w:t>ici à 2020.</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pPr>
            <w:r w:rsidRPr="003B5EA4">
              <w:rPr>
                <w:b/>
              </w:rPr>
              <w:t>Recommandation 7</w:t>
            </w:r>
          </w:p>
        </w:tc>
      </w:tr>
      <w:tr w:rsidR="00C631D0" w:rsidRPr="003B5EA4" w:rsidTr="00E07876">
        <w:trPr>
          <w:jc w:val="center"/>
        </w:trPr>
        <w:tc>
          <w:tcPr>
            <w:tcW w:w="9637" w:type="dxa"/>
            <w:tcBorders>
              <w:top w:val="nil"/>
              <w:bottom w:val="nil"/>
            </w:tcBorders>
            <w:shd w:val="clear" w:color="auto" w:fill="auto"/>
          </w:tcPr>
          <w:p w:rsidR="00C631D0" w:rsidRPr="003B5EA4" w:rsidRDefault="00E447E1" w:rsidP="00C631D0">
            <w:pPr>
              <w:pStyle w:val="SingleTxtG"/>
              <w:ind w:firstLine="567"/>
              <w:rPr>
                <w:b/>
              </w:rPr>
            </w:pPr>
            <w:r w:rsidRPr="003B5EA4">
              <w:rPr>
                <w:b/>
              </w:rPr>
              <w:t>L</w:t>
            </w:r>
            <w:r w:rsidR="00762E0A">
              <w:rPr>
                <w:b/>
              </w:rPr>
              <w:t>’</w:t>
            </w:r>
            <w:r w:rsidRPr="003B5EA4">
              <w:rPr>
                <w:b/>
              </w:rPr>
              <w:t>Assemblée générale devrait prier le Secrétaire général, en sa qualité de Président du Conseil des chefs de secrétariat des organismes des Nations Unies pour la coordination, de procéder à un examen des mesures visant à promouvoir l</w:t>
            </w:r>
            <w:r w:rsidR="00762E0A">
              <w:rPr>
                <w:b/>
              </w:rPr>
              <w:t>’</w:t>
            </w:r>
            <w:r w:rsidRPr="003B5EA4">
              <w:rPr>
                <w:b/>
              </w:rPr>
              <w:t>harmonisation des conditions de voyage en avion appliquées par l</w:t>
            </w:r>
            <w:r w:rsidR="00762E0A">
              <w:rPr>
                <w:b/>
              </w:rPr>
              <w:t>’</w:t>
            </w:r>
            <w:r w:rsidRPr="003B5EA4">
              <w:rPr>
                <w:b/>
              </w:rPr>
              <w:t>ensemble des organismes des Nations Unies, ainsi que des dépenses relatives aux voyages en avion à caractère officiel et statutaire, et de faire rapport des résultats à l</w:t>
            </w:r>
            <w:r w:rsidR="00762E0A">
              <w:rPr>
                <w:b/>
              </w:rPr>
              <w:t>’</w:t>
            </w:r>
            <w:r w:rsidRPr="003B5EA4">
              <w:rPr>
                <w:b/>
              </w:rPr>
              <w:t>Assemblée générale à la première partie de la reprise de sa soixante-treizième session.</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pPr>
            <w:r w:rsidRPr="003B5EA4">
              <w:rPr>
                <w:b/>
              </w:rPr>
              <w:t>Recommandation 8</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ind w:firstLine="567"/>
              <w:rPr>
                <w:b/>
              </w:rPr>
            </w:pPr>
            <w:r w:rsidRPr="003B5EA4">
              <w:rPr>
                <w:b/>
                <w:bCs/>
              </w:rPr>
              <w:t>L</w:t>
            </w:r>
            <w:r w:rsidR="00762E0A">
              <w:rPr>
                <w:b/>
                <w:bCs/>
              </w:rPr>
              <w:t>’</w:t>
            </w:r>
            <w:r w:rsidRPr="003B5EA4">
              <w:rPr>
                <w:b/>
                <w:bCs/>
              </w:rPr>
              <w:t xml:space="preserve">Assemblée générale devrait prier la </w:t>
            </w:r>
            <w:r w:rsidRPr="003B5EA4">
              <w:rPr>
                <w:b/>
              </w:rPr>
              <w:t>Commission de la fonction publique internationale</w:t>
            </w:r>
            <w:r w:rsidRPr="003B5EA4">
              <w:rPr>
                <w:b/>
                <w:bCs/>
              </w:rPr>
              <w:t xml:space="preserve"> d</w:t>
            </w:r>
            <w:r w:rsidR="00762E0A">
              <w:rPr>
                <w:b/>
                <w:bCs/>
              </w:rPr>
              <w:t>’</w:t>
            </w:r>
            <w:r w:rsidRPr="003B5EA4">
              <w:rPr>
                <w:b/>
                <w:bCs/>
              </w:rPr>
              <w:t>entreprendre à l</w:t>
            </w:r>
            <w:r w:rsidR="00762E0A">
              <w:rPr>
                <w:b/>
                <w:bCs/>
              </w:rPr>
              <w:t>’</w:t>
            </w:r>
            <w:r w:rsidRPr="003B5EA4">
              <w:rPr>
                <w:b/>
                <w:bCs/>
              </w:rPr>
              <w:t>échelle du système un examen de la somme forfaitaire accordée au titre des voyages statutaires dans l</w:t>
            </w:r>
            <w:r w:rsidR="00762E0A">
              <w:rPr>
                <w:b/>
                <w:bCs/>
              </w:rPr>
              <w:t>’</w:t>
            </w:r>
            <w:r w:rsidRPr="003B5EA4">
              <w:rPr>
                <w:b/>
                <w:bCs/>
              </w:rPr>
              <w:t>optique d</w:t>
            </w:r>
            <w:r w:rsidR="00762E0A">
              <w:rPr>
                <w:b/>
                <w:bCs/>
              </w:rPr>
              <w:t>’</w:t>
            </w:r>
            <w:r w:rsidRPr="003B5EA4">
              <w:rPr>
                <w:b/>
                <w:bCs/>
              </w:rPr>
              <w:t>en arrêter d</w:t>
            </w:r>
            <w:r w:rsidR="00762E0A">
              <w:rPr>
                <w:b/>
                <w:bCs/>
              </w:rPr>
              <w:t>’</w:t>
            </w:r>
            <w:r w:rsidRPr="003B5EA4">
              <w:rPr>
                <w:b/>
                <w:bCs/>
              </w:rPr>
              <w:t>ici à 2019 une méthode et un pourcentage de calcul communs favorisant une plus grande harmonisation, minimisant le risque de distorsion et assurant un traitement équitable et juste des fonctionnaires relevant du régime commun.</w:t>
            </w:r>
          </w:p>
        </w:tc>
      </w:tr>
      <w:tr w:rsidR="00C631D0" w:rsidRPr="003B5EA4" w:rsidTr="00E07876">
        <w:trPr>
          <w:jc w:val="center"/>
        </w:trPr>
        <w:tc>
          <w:tcPr>
            <w:tcW w:w="9637" w:type="dxa"/>
            <w:tcBorders>
              <w:top w:val="nil"/>
              <w:bottom w:val="nil"/>
            </w:tcBorders>
            <w:shd w:val="clear" w:color="auto" w:fill="auto"/>
          </w:tcPr>
          <w:p w:rsidR="00C631D0" w:rsidRPr="003B5EA4" w:rsidRDefault="00C631D0" w:rsidP="00C631D0">
            <w:pPr>
              <w:pStyle w:val="SingleTxtG"/>
            </w:pPr>
            <w:r w:rsidRPr="003B5EA4">
              <w:rPr>
                <w:b/>
              </w:rPr>
              <w:t>Recommandation 9</w:t>
            </w:r>
          </w:p>
        </w:tc>
      </w:tr>
      <w:tr w:rsidR="00C631D0" w:rsidRPr="003B5EA4" w:rsidTr="00E07876">
        <w:trPr>
          <w:jc w:val="center"/>
        </w:trPr>
        <w:tc>
          <w:tcPr>
            <w:tcW w:w="9637" w:type="dxa"/>
            <w:tcBorders>
              <w:top w:val="nil"/>
              <w:bottom w:val="nil"/>
            </w:tcBorders>
            <w:shd w:val="clear" w:color="auto" w:fill="auto"/>
          </w:tcPr>
          <w:p w:rsidR="00C631D0" w:rsidRPr="003B5EA4" w:rsidRDefault="00E447E1" w:rsidP="00C631D0">
            <w:pPr>
              <w:pStyle w:val="SingleTxtG"/>
              <w:ind w:firstLine="567"/>
              <w:rPr>
                <w:b/>
              </w:rPr>
            </w:pPr>
            <w:r w:rsidRPr="003B5EA4">
              <w:rPr>
                <w:b/>
              </w:rPr>
              <w:t>L</w:t>
            </w:r>
            <w:r w:rsidR="00762E0A">
              <w:rPr>
                <w:b/>
              </w:rPr>
              <w:t>’</w:t>
            </w:r>
            <w:r w:rsidRPr="003B5EA4">
              <w:rPr>
                <w:b/>
              </w:rPr>
              <w:t>Assemblée générale devrait prier le Secrétaire général, en sa qualité de Président du Conseil des chefs de secrétariat des organismes des Nations Unies pour la coordination, de soumettre à son examen, à la première partie de la reprise de sa soixante-treizième session, une proposition visant à créer un comité consultatif officiel sur les questions relatives aux voyages.</w:t>
            </w:r>
          </w:p>
        </w:tc>
      </w:tr>
      <w:tr w:rsidR="00153F95" w:rsidRPr="003B5EA4" w:rsidTr="00E07876">
        <w:trPr>
          <w:jc w:val="center"/>
        </w:trPr>
        <w:tc>
          <w:tcPr>
            <w:tcW w:w="9637" w:type="dxa"/>
            <w:tcBorders>
              <w:top w:val="nil"/>
            </w:tcBorders>
            <w:shd w:val="clear" w:color="auto" w:fill="auto"/>
          </w:tcPr>
          <w:p w:rsidR="00153F95" w:rsidRPr="003B5EA4" w:rsidRDefault="00153F95" w:rsidP="00E447E1"/>
        </w:tc>
      </w:tr>
    </w:tbl>
    <w:p w:rsidR="00BA31FC" w:rsidRDefault="00BA31FC" w:rsidP="00AF6E88">
      <w:pPr>
        <w:jc w:val="center"/>
      </w:pPr>
    </w:p>
    <w:p w:rsidR="00C379BF" w:rsidRPr="003B5EA4" w:rsidRDefault="00C379BF" w:rsidP="00AF6E88">
      <w:pPr>
        <w:jc w:val="center"/>
        <w:sectPr w:rsidR="00C379BF" w:rsidRPr="003B5EA4" w:rsidSect="00BA31FC">
          <w:headerReference w:type="even" r:id="rId13"/>
          <w:headerReference w:type="default" r:id="rId14"/>
          <w:footerReference w:type="even" r:id="rId15"/>
          <w:footerReference w:type="default" r:id="rId16"/>
          <w:endnotePr>
            <w:numFmt w:val="decimal"/>
          </w:endnotePr>
          <w:type w:val="oddPage"/>
          <w:pgSz w:w="11906" w:h="16838" w:code="9"/>
          <w:pgMar w:top="1417" w:right="1134" w:bottom="1134" w:left="1134" w:header="850" w:footer="567" w:gutter="0"/>
          <w:pgNumType w:fmt="lowerRoman" w:start="3"/>
          <w:cols w:space="708"/>
          <w:docGrid w:linePitch="360"/>
        </w:sectPr>
      </w:pPr>
    </w:p>
    <w:p w:rsidR="001E48D6" w:rsidRPr="003B5EA4" w:rsidRDefault="001E48D6" w:rsidP="001E48D6">
      <w:pPr>
        <w:spacing w:after="120"/>
        <w:rPr>
          <w:sz w:val="28"/>
        </w:rPr>
      </w:pPr>
      <w:r w:rsidRPr="003B5EA4">
        <w:rPr>
          <w:sz w:val="28"/>
        </w:rPr>
        <w:lastRenderedPageBreak/>
        <w:t>Table des matières</w:t>
      </w:r>
    </w:p>
    <w:p w:rsidR="001E48D6" w:rsidRDefault="001E48D6" w:rsidP="001E48D6">
      <w:pPr>
        <w:tabs>
          <w:tab w:val="right" w:pos="8929"/>
          <w:tab w:val="right" w:pos="9638"/>
        </w:tabs>
        <w:spacing w:after="120"/>
        <w:ind w:left="283"/>
        <w:rPr>
          <w:i/>
          <w:sz w:val="18"/>
        </w:rPr>
      </w:pPr>
      <w:r w:rsidRPr="003B5EA4">
        <w:rPr>
          <w:i/>
          <w:sz w:val="18"/>
        </w:rPr>
        <w:tab/>
        <w:t>Paragraphes</w:t>
      </w:r>
      <w:r w:rsidRPr="003B5EA4">
        <w:rPr>
          <w:i/>
          <w:sz w:val="18"/>
        </w:rPr>
        <w:tab/>
      </w:r>
      <w:r w:rsidR="00E27D99">
        <w:rPr>
          <w:i/>
          <w:sz w:val="18"/>
        </w:rPr>
        <w:t>Pages</w:t>
      </w:r>
    </w:p>
    <w:p w:rsidR="00E27D99" w:rsidRPr="003B5EA4" w:rsidRDefault="00E27D99" w:rsidP="00E27D99">
      <w:pPr>
        <w:tabs>
          <w:tab w:val="right" w:pos="850"/>
          <w:tab w:val="left" w:pos="1134"/>
          <w:tab w:val="left" w:pos="1559"/>
          <w:tab w:val="left" w:pos="1701"/>
          <w:tab w:val="left" w:leader="dot" w:pos="8931"/>
          <w:tab w:val="right" w:pos="9638"/>
        </w:tabs>
        <w:spacing w:after="120" w:line="236" w:lineRule="atLeast"/>
      </w:pPr>
      <w:r w:rsidRPr="003B5EA4">
        <w:tab/>
      </w:r>
      <w:r w:rsidRPr="003B5EA4">
        <w:tab/>
        <w:t>Résumé</w:t>
      </w:r>
      <w:r w:rsidRPr="003B5EA4">
        <w:tab/>
      </w:r>
      <w:r w:rsidRPr="003B5EA4">
        <w:tab/>
        <w:t>iii</w:t>
      </w:r>
    </w:p>
    <w:p w:rsidR="00E27D99" w:rsidRPr="003B5EA4" w:rsidRDefault="002529B8" w:rsidP="002529B8">
      <w:pPr>
        <w:tabs>
          <w:tab w:val="right" w:pos="850"/>
          <w:tab w:val="left" w:pos="1134"/>
          <w:tab w:val="left" w:pos="1559"/>
          <w:tab w:val="left" w:pos="1701"/>
          <w:tab w:val="left" w:leader="dot" w:pos="8931"/>
          <w:tab w:val="right" w:pos="9638"/>
        </w:tabs>
        <w:spacing w:after="120" w:line="236" w:lineRule="atLeast"/>
      </w:pPr>
      <w:r>
        <w:tab/>
      </w:r>
      <w:r>
        <w:tab/>
        <w:t>Abréviations</w:t>
      </w:r>
      <w:r>
        <w:tab/>
      </w:r>
      <w:r w:rsidR="00E27D99" w:rsidRPr="003B5EA4">
        <w:tab/>
        <w:t>x</w:t>
      </w:r>
      <w:r w:rsidR="00430BF8">
        <w:t>i</w:t>
      </w:r>
      <w:r w:rsidR="005D3B68">
        <w:t>v</w:t>
      </w:r>
    </w:p>
    <w:p w:rsidR="001E48D6" w:rsidRPr="003B5EA4" w:rsidRDefault="001E48D6" w:rsidP="001E48D6">
      <w:pPr>
        <w:tabs>
          <w:tab w:val="right" w:pos="850"/>
          <w:tab w:val="right" w:leader="dot" w:pos="7654"/>
          <w:tab w:val="right" w:pos="8929"/>
          <w:tab w:val="right" w:pos="9638"/>
        </w:tabs>
        <w:spacing w:after="120"/>
        <w:ind w:left="1134" w:hanging="1134"/>
      </w:pPr>
      <w:r w:rsidRPr="003B5EA4">
        <w:tab/>
        <w:t>I.</w:t>
      </w:r>
      <w:r w:rsidRPr="003B5EA4">
        <w:tab/>
      </w:r>
      <w:r w:rsidR="00430BF8">
        <w:t>Introduction</w:t>
      </w:r>
      <w:r w:rsidRPr="003B5EA4">
        <w:tab/>
      </w:r>
      <w:r w:rsidRPr="003B5EA4">
        <w:tab/>
      </w:r>
      <w:r w:rsidR="00326A51">
        <w:t>1−17</w:t>
      </w:r>
      <w:r w:rsidRPr="003B5EA4">
        <w:tab/>
      </w:r>
      <w:r w:rsidR="005F4CD7">
        <w:t>1</w:t>
      </w:r>
    </w:p>
    <w:p w:rsidR="001E48D6" w:rsidRPr="003B5EA4" w:rsidRDefault="001E48D6" w:rsidP="001E48D6">
      <w:pPr>
        <w:tabs>
          <w:tab w:val="right" w:leader="dot" w:pos="7654"/>
          <w:tab w:val="right" w:pos="8929"/>
          <w:tab w:val="right" w:pos="9638"/>
        </w:tabs>
        <w:spacing w:after="120"/>
        <w:ind w:left="1559" w:hanging="425"/>
      </w:pPr>
      <w:r w:rsidRPr="003B5EA4">
        <w:t>A.</w:t>
      </w:r>
      <w:r w:rsidRPr="003B5EA4">
        <w:tab/>
      </w:r>
      <w:r w:rsidR="00321169" w:rsidRPr="003B5EA4">
        <w:t>Contexte</w:t>
      </w:r>
      <w:r w:rsidRPr="003B5EA4">
        <w:tab/>
      </w:r>
      <w:r w:rsidRPr="003B5EA4">
        <w:tab/>
      </w:r>
      <w:r w:rsidR="00321169">
        <w:t>1−5</w:t>
      </w:r>
      <w:r w:rsidRPr="003B5EA4">
        <w:tab/>
      </w:r>
      <w:r w:rsidR="005D3B68">
        <w:t>1</w:t>
      </w:r>
    </w:p>
    <w:p w:rsidR="00593D72" w:rsidRDefault="00593D72" w:rsidP="001E48D6">
      <w:pPr>
        <w:tabs>
          <w:tab w:val="right" w:leader="dot" w:pos="7654"/>
          <w:tab w:val="right" w:pos="8929"/>
          <w:tab w:val="right" w:pos="9638"/>
        </w:tabs>
        <w:spacing w:after="120"/>
        <w:ind w:left="1559" w:hanging="425"/>
      </w:pPr>
      <w:r w:rsidRPr="003B5EA4">
        <w:t>B.</w:t>
      </w:r>
      <w:r w:rsidRPr="003B5EA4">
        <w:tab/>
      </w:r>
      <w:r w:rsidR="005C1CDF" w:rsidRPr="003B5EA4">
        <w:t>Objectif de l</w:t>
      </w:r>
      <w:r w:rsidR="00762E0A">
        <w:t>’</w:t>
      </w:r>
      <w:r w:rsidR="005C1CDF" w:rsidRPr="003B5EA4">
        <w:t>examen</w:t>
      </w:r>
      <w:r w:rsidRPr="003B5EA4">
        <w:tab/>
      </w:r>
      <w:r w:rsidRPr="003B5EA4">
        <w:tab/>
      </w:r>
      <w:r w:rsidR="005C1CDF">
        <w:t>6</w:t>
      </w:r>
      <w:r w:rsidRPr="003B5EA4">
        <w:tab/>
      </w:r>
      <w:r w:rsidR="005C1CDF">
        <w:t>2</w:t>
      </w:r>
    </w:p>
    <w:p w:rsidR="005E1EC3" w:rsidRPr="003B5EA4" w:rsidRDefault="005E1EC3" w:rsidP="001E48D6">
      <w:pPr>
        <w:tabs>
          <w:tab w:val="right" w:leader="dot" w:pos="7654"/>
          <w:tab w:val="right" w:pos="8929"/>
          <w:tab w:val="right" w:pos="9638"/>
        </w:tabs>
        <w:spacing w:after="120"/>
        <w:ind w:left="1559" w:hanging="425"/>
      </w:pPr>
      <w:r>
        <w:t>C.</w:t>
      </w:r>
      <w:r>
        <w:tab/>
      </w:r>
      <w:r w:rsidR="00B225ED" w:rsidRPr="003B5EA4">
        <w:t>Portée</w:t>
      </w:r>
      <w:r>
        <w:tab/>
      </w:r>
      <w:r>
        <w:tab/>
        <w:t>7−9</w:t>
      </w:r>
      <w:r>
        <w:tab/>
      </w:r>
      <w:r w:rsidR="00B225ED">
        <w:t>2</w:t>
      </w:r>
    </w:p>
    <w:p w:rsidR="00593D72" w:rsidRPr="003B5EA4" w:rsidRDefault="005E1EC3" w:rsidP="001E48D6">
      <w:pPr>
        <w:tabs>
          <w:tab w:val="right" w:leader="dot" w:pos="7654"/>
          <w:tab w:val="right" w:pos="8929"/>
          <w:tab w:val="right" w:pos="9638"/>
        </w:tabs>
        <w:spacing w:after="120"/>
        <w:ind w:left="1559" w:hanging="425"/>
      </w:pPr>
      <w:r>
        <w:t>D</w:t>
      </w:r>
      <w:r w:rsidR="00593D72" w:rsidRPr="003B5EA4">
        <w:t>.</w:t>
      </w:r>
      <w:r w:rsidR="00593D72" w:rsidRPr="003B5EA4">
        <w:tab/>
      </w:r>
      <w:r w:rsidR="00903310" w:rsidRPr="003B5EA4">
        <w:t>Limites et difficultés</w:t>
      </w:r>
      <w:r w:rsidR="00593D72" w:rsidRPr="003B5EA4">
        <w:tab/>
      </w:r>
      <w:r w:rsidR="00593D72" w:rsidRPr="003B5EA4">
        <w:tab/>
      </w:r>
      <w:r>
        <w:t>10</w:t>
      </w:r>
      <w:r w:rsidR="00593D72" w:rsidRPr="003B5EA4">
        <w:tab/>
      </w:r>
      <w:r w:rsidR="00903310">
        <w:t>3</w:t>
      </w:r>
    </w:p>
    <w:p w:rsidR="00593D72" w:rsidRPr="003B5EA4" w:rsidRDefault="005E1EC3" w:rsidP="001E48D6">
      <w:pPr>
        <w:tabs>
          <w:tab w:val="right" w:leader="dot" w:pos="7654"/>
          <w:tab w:val="right" w:pos="8929"/>
          <w:tab w:val="right" w:pos="9638"/>
        </w:tabs>
        <w:spacing w:after="120"/>
        <w:ind w:left="1559" w:hanging="425"/>
      </w:pPr>
      <w:r>
        <w:t>E</w:t>
      </w:r>
      <w:r w:rsidR="00593D72" w:rsidRPr="003B5EA4">
        <w:t>.</w:t>
      </w:r>
      <w:r w:rsidR="00593D72" w:rsidRPr="003B5EA4">
        <w:tab/>
      </w:r>
      <w:r w:rsidR="00903310" w:rsidRPr="003B5EA4">
        <w:t>Méthodologie</w:t>
      </w:r>
      <w:r w:rsidR="00593D72" w:rsidRPr="003B5EA4">
        <w:tab/>
      </w:r>
      <w:r w:rsidR="00593D72" w:rsidRPr="003B5EA4">
        <w:tab/>
      </w:r>
      <w:r>
        <w:t>11−17</w:t>
      </w:r>
      <w:r w:rsidR="00593D72" w:rsidRPr="003B5EA4">
        <w:tab/>
      </w:r>
      <w:r w:rsidR="00903310">
        <w:t>3</w:t>
      </w:r>
    </w:p>
    <w:p w:rsidR="00593D72" w:rsidRPr="003B5EA4" w:rsidRDefault="00593D72" w:rsidP="00593D72">
      <w:pPr>
        <w:tabs>
          <w:tab w:val="right" w:pos="850"/>
          <w:tab w:val="right" w:leader="dot" w:pos="7654"/>
          <w:tab w:val="right" w:pos="8929"/>
          <w:tab w:val="right" w:pos="9638"/>
        </w:tabs>
        <w:spacing w:after="120"/>
        <w:ind w:left="1134" w:hanging="1134"/>
      </w:pPr>
      <w:r w:rsidRPr="003B5EA4">
        <w:tab/>
        <w:t>II.</w:t>
      </w:r>
      <w:r w:rsidRPr="003B5EA4">
        <w:tab/>
      </w:r>
      <w:r w:rsidR="00B225ED" w:rsidRPr="003B5EA4">
        <w:t xml:space="preserve">Dépenses totales engagées au titre des voyages en avion et des prestations </w:t>
      </w:r>
      <w:r w:rsidR="00731496">
        <w:br/>
      </w:r>
      <w:r w:rsidR="00B225ED" w:rsidRPr="003B5EA4">
        <w:t>connexes au sein du système des Nations Unies</w:t>
      </w:r>
      <w:r w:rsidRPr="003B5EA4">
        <w:tab/>
      </w:r>
      <w:r w:rsidRPr="003B5EA4">
        <w:tab/>
      </w:r>
      <w:r w:rsidR="00731496">
        <w:t>18−29</w:t>
      </w:r>
      <w:r w:rsidRPr="003B5EA4">
        <w:tab/>
      </w:r>
      <w:r w:rsidR="001011BD">
        <w:t>5</w:t>
      </w:r>
    </w:p>
    <w:p w:rsidR="00593D72" w:rsidRPr="003B5EA4" w:rsidRDefault="00593D72" w:rsidP="00593D72">
      <w:pPr>
        <w:tabs>
          <w:tab w:val="right" w:leader="dot" w:pos="7654"/>
          <w:tab w:val="right" w:pos="8929"/>
          <w:tab w:val="right" w:pos="9638"/>
        </w:tabs>
        <w:spacing w:after="120"/>
        <w:ind w:left="1559" w:hanging="425"/>
      </w:pPr>
      <w:r w:rsidRPr="003B5EA4">
        <w:t>A.</w:t>
      </w:r>
      <w:r w:rsidRPr="003B5EA4">
        <w:tab/>
      </w:r>
      <w:r w:rsidR="003B2819" w:rsidRPr="003B5EA4">
        <w:t xml:space="preserve">Évolution des dépenses engagées par les organismes au titre des voyages </w:t>
      </w:r>
      <w:r w:rsidR="003B2819">
        <w:br/>
      </w:r>
      <w:r w:rsidR="003B2819" w:rsidRPr="003B5EA4">
        <w:t>en avion et des prestations connexes</w:t>
      </w:r>
      <w:r w:rsidRPr="003B5EA4">
        <w:tab/>
      </w:r>
      <w:r w:rsidRPr="003B5EA4">
        <w:tab/>
      </w:r>
      <w:r w:rsidR="003B2819">
        <w:t>19−26</w:t>
      </w:r>
      <w:r w:rsidRPr="003B5EA4">
        <w:tab/>
      </w:r>
      <w:r w:rsidR="001011BD">
        <w:t>5</w:t>
      </w:r>
    </w:p>
    <w:p w:rsidR="00593D72" w:rsidRPr="003B5EA4" w:rsidRDefault="00593D72" w:rsidP="00593D72">
      <w:pPr>
        <w:tabs>
          <w:tab w:val="right" w:leader="dot" w:pos="7654"/>
          <w:tab w:val="right" w:pos="8929"/>
          <w:tab w:val="right" w:pos="9638"/>
        </w:tabs>
        <w:spacing w:after="120"/>
        <w:ind w:left="1559" w:hanging="425"/>
      </w:pPr>
      <w:r w:rsidRPr="003B5EA4">
        <w:t>B.</w:t>
      </w:r>
      <w:r w:rsidRPr="003B5EA4">
        <w:tab/>
      </w:r>
      <w:r w:rsidR="006D72E5" w:rsidRPr="003B5EA4">
        <w:t xml:space="preserve">Coût des voyages en avion par rapport aux dépenses totales </w:t>
      </w:r>
      <w:r w:rsidR="00793588">
        <w:br/>
      </w:r>
      <w:r w:rsidR="006D72E5" w:rsidRPr="003B5EA4">
        <w:t>des organismes</w:t>
      </w:r>
      <w:r w:rsidRPr="003B5EA4">
        <w:tab/>
      </w:r>
      <w:r w:rsidRPr="003B5EA4">
        <w:tab/>
      </w:r>
      <w:r w:rsidR="00793588">
        <w:t>27−29</w:t>
      </w:r>
      <w:r w:rsidRPr="003B5EA4">
        <w:tab/>
      </w:r>
      <w:r w:rsidR="001011BD">
        <w:t>10</w:t>
      </w:r>
    </w:p>
    <w:p w:rsidR="00B029C3" w:rsidRPr="003B5EA4" w:rsidRDefault="00B029C3" w:rsidP="00B029C3">
      <w:pPr>
        <w:tabs>
          <w:tab w:val="right" w:pos="850"/>
          <w:tab w:val="right" w:leader="dot" w:pos="7654"/>
          <w:tab w:val="right" w:pos="8929"/>
          <w:tab w:val="right" w:pos="9638"/>
        </w:tabs>
        <w:spacing w:after="120"/>
        <w:ind w:left="1134" w:hanging="1134"/>
      </w:pPr>
      <w:r w:rsidRPr="003B5EA4">
        <w:tab/>
        <w:t>III.</w:t>
      </w:r>
      <w:r w:rsidRPr="003B5EA4">
        <w:tab/>
      </w:r>
      <w:r w:rsidR="00793588" w:rsidRPr="003B5EA4">
        <w:t xml:space="preserve">Conditions de voyage en avion applicables au sein du système </w:t>
      </w:r>
      <w:r w:rsidR="00793588">
        <w:br/>
      </w:r>
      <w:r w:rsidR="00793588" w:rsidRPr="003B5EA4">
        <w:t>des Nations Unies</w:t>
      </w:r>
      <w:r w:rsidRPr="003B5EA4">
        <w:tab/>
      </w:r>
      <w:r w:rsidRPr="003B5EA4">
        <w:tab/>
      </w:r>
      <w:r w:rsidR="00793588">
        <w:t>30−59</w:t>
      </w:r>
      <w:r w:rsidRPr="003B5EA4">
        <w:tab/>
      </w:r>
      <w:r w:rsidR="00793588">
        <w:t>1</w:t>
      </w:r>
      <w:r w:rsidR="001011BD">
        <w:t>2</w:t>
      </w:r>
    </w:p>
    <w:p w:rsidR="00B029C3" w:rsidRPr="003B5EA4" w:rsidRDefault="00B029C3" w:rsidP="00B029C3">
      <w:pPr>
        <w:tabs>
          <w:tab w:val="right" w:leader="dot" w:pos="7654"/>
          <w:tab w:val="right" w:pos="8929"/>
          <w:tab w:val="right" w:pos="9638"/>
        </w:tabs>
        <w:spacing w:after="120"/>
        <w:ind w:left="1559" w:hanging="425"/>
      </w:pPr>
      <w:r w:rsidRPr="003B5EA4">
        <w:t>A.</w:t>
      </w:r>
      <w:r w:rsidRPr="003B5EA4">
        <w:tab/>
      </w:r>
      <w:r w:rsidR="00F0088E" w:rsidRPr="003B5EA4">
        <w:t>Conditions de voyage en avion appliquées aux fonctionnaires</w:t>
      </w:r>
      <w:r w:rsidRPr="003B5EA4">
        <w:tab/>
      </w:r>
      <w:r w:rsidRPr="003B5EA4">
        <w:tab/>
      </w:r>
      <w:r w:rsidR="00026B1D">
        <w:t>34−</w:t>
      </w:r>
      <w:r w:rsidR="00D935B5">
        <w:t>48</w:t>
      </w:r>
      <w:r w:rsidRPr="003B5EA4">
        <w:tab/>
      </w:r>
      <w:r w:rsidR="001011BD">
        <w:t>12</w:t>
      </w:r>
    </w:p>
    <w:p w:rsidR="00B029C3" w:rsidRPr="003B5EA4" w:rsidRDefault="00B029C3" w:rsidP="00B029C3">
      <w:pPr>
        <w:tabs>
          <w:tab w:val="right" w:leader="dot" w:pos="7654"/>
          <w:tab w:val="right" w:pos="8929"/>
          <w:tab w:val="right" w:pos="9638"/>
        </w:tabs>
        <w:spacing w:after="120"/>
        <w:ind w:left="1559" w:hanging="425"/>
      </w:pPr>
      <w:r w:rsidRPr="003B5EA4">
        <w:t>B.</w:t>
      </w:r>
      <w:r w:rsidRPr="003B5EA4">
        <w:tab/>
      </w:r>
      <w:r w:rsidR="00933824" w:rsidRPr="003B5EA4">
        <w:t xml:space="preserve">Conditions de voyage en avion appliquées aux non-fonctionnaires </w:t>
      </w:r>
      <w:r w:rsidR="00933824" w:rsidRPr="003B5EA4">
        <w:br/>
        <w:t>et coûts associés</w:t>
      </w:r>
      <w:r w:rsidRPr="003B5EA4">
        <w:tab/>
      </w:r>
      <w:r w:rsidRPr="003B5EA4">
        <w:tab/>
      </w:r>
      <w:r w:rsidR="00D935B5">
        <w:t>49−59</w:t>
      </w:r>
      <w:r w:rsidRPr="003B5EA4">
        <w:tab/>
      </w:r>
      <w:r w:rsidR="001011BD">
        <w:t>17</w:t>
      </w:r>
    </w:p>
    <w:p w:rsidR="00B029C3" w:rsidRPr="003B5EA4" w:rsidRDefault="00B029C3" w:rsidP="00B029C3">
      <w:pPr>
        <w:tabs>
          <w:tab w:val="right" w:pos="850"/>
          <w:tab w:val="right" w:leader="dot" w:pos="7654"/>
          <w:tab w:val="right" w:pos="8929"/>
          <w:tab w:val="right" w:pos="9638"/>
        </w:tabs>
        <w:spacing w:after="120"/>
        <w:ind w:left="1134" w:hanging="1134"/>
      </w:pPr>
      <w:r w:rsidRPr="003B5EA4">
        <w:tab/>
        <w:t>IV.</w:t>
      </w:r>
      <w:r w:rsidRPr="003B5EA4">
        <w:tab/>
      </w:r>
      <w:r w:rsidR="0076433E" w:rsidRPr="003B5EA4">
        <w:t>Nécessité de revoir les classes de voyage en avion</w:t>
      </w:r>
      <w:r w:rsidRPr="003B5EA4">
        <w:tab/>
      </w:r>
      <w:r w:rsidRPr="003B5EA4">
        <w:tab/>
      </w:r>
      <w:r w:rsidR="001F535F">
        <w:t>60−74</w:t>
      </w:r>
      <w:r w:rsidRPr="003B5EA4">
        <w:tab/>
      </w:r>
      <w:r w:rsidR="001011BD">
        <w:t>21</w:t>
      </w:r>
    </w:p>
    <w:p w:rsidR="00B029C3" w:rsidRPr="003B5EA4" w:rsidRDefault="00B029C3" w:rsidP="00B029C3">
      <w:pPr>
        <w:tabs>
          <w:tab w:val="right" w:leader="dot" w:pos="7654"/>
          <w:tab w:val="right" w:pos="8929"/>
          <w:tab w:val="right" w:pos="9638"/>
        </w:tabs>
        <w:spacing w:after="120"/>
        <w:ind w:left="1559" w:hanging="425"/>
      </w:pPr>
      <w:r w:rsidRPr="003B5EA4">
        <w:t>A.</w:t>
      </w:r>
      <w:r w:rsidRPr="003B5EA4">
        <w:tab/>
      </w:r>
      <w:r w:rsidR="0076433E" w:rsidRPr="003B5EA4">
        <w:t>Révision de la politique relative aux voyages en première classe</w:t>
      </w:r>
      <w:r w:rsidRPr="003B5EA4">
        <w:tab/>
      </w:r>
      <w:r w:rsidRPr="003B5EA4">
        <w:tab/>
      </w:r>
      <w:r w:rsidR="0076433E">
        <w:t>60−66</w:t>
      </w:r>
      <w:r w:rsidRPr="003B5EA4">
        <w:tab/>
      </w:r>
      <w:r w:rsidR="001011BD">
        <w:t>21</w:t>
      </w:r>
    </w:p>
    <w:p w:rsidR="00B029C3" w:rsidRPr="003B5EA4" w:rsidRDefault="00B029C3" w:rsidP="00B029C3">
      <w:pPr>
        <w:tabs>
          <w:tab w:val="right" w:leader="dot" w:pos="7654"/>
          <w:tab w:val="right" w:pos="8929"/>
          <w:tab w:val="right" w:pos="9638"/>
        </w:tabs>
        <w:spacing w:after="120"/>
        <w:ind w:left="1559" w:hanging="425"/>
      </w:pPr>
      <w:r w:rsidRPr="003B5EA4">
        <w:t>B.</w:t>
      </w:r>
      <w:r w:rsidRPr="003B5EA4">
        <w:tab/>
      </w:r>
      <w:r w:rsidR="0029396E" w:rsidRPr="003B5EA4">
        <w:t>Considérations relatives aux voyages en classe affaires</w:t>
      </w:r>
      <w:r w:rsidRPr="003B5EA4">
        <w:tab/>
      </w:r>
      <w:r w:rsidRPr="003B5EA4">
        <w:tab/>
      </w:r>
      <w:r w:rsidR="0029396E">
        <w:t>67−74</w:t>
      </w:r>
      <w:r w:rsidRPr="003B5EA4">
        <w:tab/>
      </w:r>
      <w:r w:rsidR="001011BD">
        <w:t>23</w:t>
      </w:r>
    </w:p>
    <w:p w:rsidR="00B029C3" w:rsidRPr="003B5EA4" w:rsidRDefault="00B029C3" w:rsidP="00B029C3">
      <w:pPr>
        <w:tabs>
          <w:tab w:val="right" w:pos="850"/>
          <w:tab w:val="right" w:leader="dot" w:pos="7654"/>
          <w:tab w:val="right" w:pos="8929"/>
          <w:tab w:val="right" w:pos="9638"/>
        </w:tabs>
        <w:spacing w:after="120"/>
        <w:ind w:left="1134" w:hanging="1134"/>
      </w:pPr>
      <w:r w:rsidRPr="003B5EA4">
        <w:tab/>
        <w:t>V.</w:t>
      </w:r>
      <w:r w:rsidRPr="003B5EA4">
        <w:tab/>
      </w:r>
      <w:r w:rsidR="0029396E" w:rsidRPr="003B5EA4">
        <w:t xml:space="preserve">Situation des dérogations aux règles régissant les conditions de voyage </w:t>
      </w:r>
      <w:r w:rsidR="0029396E">
        <w:br/>
      </w:r>
      <w:r w:rsidR="0029396E" w:rsidRPr="003B5EA4">
        <w:t>en avion</w:t>
      </w:r>
      <w:r w:rsidRPr="003B5EA4">
        <w:tab/>
      </w:r>
      <w:r w:rsidRPr="003B5EA4">
        <w:tab/>
      </w:r>
      <w:r w:rsidR="0029396E">
        <w:t>75−90</w:t>
      </w:r>
      <w:r w:rsidRPr="003B5EA4">
        <w:tab/>
      </w:r>
      <w:r w:rsidR="001011BD">
        <w:t>26</w:t>
      </w:r>
    </w:p>
    <w:p w:rsidR="00B029C3" w:rsidRPr="003B5EA4" w:rsidRDefault="00B029C3" w:rsidP="00B029C3">
      <w:pPr>
        <w:tabs>
          <w:tab w:val="right" w:leader="dot" w:pos="7654"/>
          <w:tab w:val="right" w:pos="8929"/>
          <w:tab w:val="right" w:pos="9638"/>
        </w:tabs>
        <w:spacing w:after="120"/>
        <w:ind w:left="1559" w:hanging="425"/>
      </w:pPr>
      <w:r w:rsidRPr="003B5EA4">
        <w:t>A.</w:t>
      </w:r>
      <w:r w:rsidRPr="003B5EA4">
        <w:tab/>
      </w:r>
      <w:r w:rsidR="0029396E" w:rsidRPr="003B5EA4">
        <w:rPr>
          <w:bCs/>
        </w:rPr>
        <w:t xml:space="preserve">Aperçu général des dérogations accordées au sein du système </w:t>
      </w:r>
      <w:r w:rsidR="0029396E">
        <w:rPr>
          <w:bCs/>
        </w:rPr>
        <w:br/>
      </w:r>
      <w:r w:rsidR="0029396E" w:rsidRPr="003B5EA4">
        <w:rPr>
          <w:bCs/>
        </w:rPr>
        <w:t>des Nations Unies</w:t>
      </w:r>
      <w:r w:rsidRPr="003B5EA4">
        <w:tab/>
      </w:r>
      <w:r w:rsidRPr="003B5EA4">
        <w:tab/>
      </w:r>
      <w:r w:rsidR="00926802">
        <w:t>75−77</w:t>
      </w:r>
      <w:r w:rsidRPr="003B5EA4">
        <w:tab/>
      </w:r>
      <w:r w:rsidR="001011BD">
        <w:t>26</w:t>
      </w:r>
    </w:p>
    <w:p w:rsidR="00B029C3" w:rsidRPr="003B5EA4" w:rsidRDefault="00B029C3" w:rsidP="00B029C3">
      <w:pPr>
        <w:tabs>
          <w:tab w:val="right" w:leader="dot" w:pos="7654"/>
          <w:tab w:val="right" w:pos="8929"/>
          <w:tab w:val="right" w:pos="9638"/>
        </w:tabs>
        <w:spacing w:after="120"/>
        <w:ind w:left="1559" w:hanging="425"/>
      </w:pPr>
      <w:r w:rsidRPr="003B5EA4">
        <w:t>B.</w:t>
      </w:r>
      <w:r w:rsidRPr="003B5EA4">
        <w:tab/>
      </w:r>
      <w:r w:rsidR="00926802" w:rsidRPr="003B5EA4">
        <w:t>Évolution des dérogations par le Secrétariat de l</w:t>
      </w:r>
      <w:r w:rsidR="00762E0A">
        <w:t>’</w:t>
      </w:r>
      <w:r w:rsidR="00926802" w:rsidRPr="003B5EA4">
        <w:t xml:space="preserve">ONU </w:t>
      </w:r>
      <w:r w:rsidR="00926802">
        <w:br/>
      </w:r>
      <w:r w:rsidR="00926802" w:rsidRPr="003B5EA4">
        <w:t>et les entités apparentées</w:t>
      </w:r>
      <w:r w:rsidRPr="003B5EA4">
        <w:tab/>
      </w:r>
      <w:r w:rsidRPr="003B5EA4">
        <w:tab/>
      </w:r>
      <w:r w:rsidR="00996005">
        <w:t>78−80</w:t>
      </w:r>
      <w:r w:rsidRPr="003B5EA4">
        <w:tab/>
      </w:r>
      <w:r w:rsidR="001011BD">
        <w:t>26</w:t>
      </w:r>
    </w:p>
    <w:p w:rsidR="00B029C3" w:rsidRPr="003B5EA4" w:rsidRDefault="00B029C3" w:rsidP="00B029C3">
      <w:pPr>
        <w:tabs>
          <w:tab w:val="right" w:leader="dot" w:pos="7654"/>
          <w:tab w:val="right" w:pos="8929"/>
          <w:tab w:val="right" w:pos="9638"/>
        </w:tabs>
        <w:spacing w:after="120"/>
        <w:ind w:left="1559" w:hanging="425"/>
      </w:pPr>
      <w:r w:rsidRPr="003B5EA4">
        <w:t>C.</w:t>
      </w:r>
      <w:r w:rsidRPr="003B5EA4">
        <w:tab/>
      </w:r>
      <w:r w:rsidR="00996005" w:rsidRPr="003B5EA4">
        <w:t xml:space="preserve">Évolution des catégories de dérogations accordées par le Secrétariat </w:t>
      </w:r>
      <w:r w:rsidR="00996005" w:rsidRPr="003B5EA4">
        <w:br/>
        <w:t>de l</w:t>
      </w:r>
      <w:r w:rsidR="00762E0A">
        <w:t>’</w:t>
      </w:r>
      <w:r w:rsidR="00996005" w:rsidRPr="003B5EA4">
        <w:t>ONU et les entités apparentées</w:t>
      </w:r>
      <w:r w:rsidRPr="003B5EA4">
        <w:tab/>
      </w:r>
      <w:r w:rsidRPr="003B5EA4">
        <w:tab/>
      </w:r>
      <w:r w:rsidR="00996005">
        <w:t>81−90</w:t>
      </w:r>
      <w:r w:rsidRPr="003B5EA4">
        <w:tab/>
      </w:r>
      <w:r w:rsidR="001011BD">
        <w:t>28</w:t>
      </w:r>
    </w:p>
    <w:p w:rsidR="00B029C3" w:rsidRPr="003B5EA4" w:rsidRDefault="00B029C3" w:rsidP="00B029C3">
      <w:pPr>
        <w:tabs>
          <w:tab w:val="right" w:pos="850"/>
          <w:tab w:val="right" w:leader="dot" w:pos="7654"/>
          <w:tab w:val="right" w:pos="8929"/>
          <w:tab w:val="right" w:pos="9638"/>
        </w:tabs>
        <w:spacing w:after="120"/>
        <w:ind w:left="1134" w:hanging="1134"/>
      </w:pPr>
      <w:r w:rsidRPr="003B5EA4">
        <w:tab/>
        <w:t>VI.</w:t>
      </w:r>
      <w:r w:rsidRPr="003B5EA4">
        <w:tab/>
      </w:r>
      <w:r w:rsidR="001D70DE" w:rsidRPr="003B5EA4">
        <w:t xml:space="preserve">Améliorer les politiques et pratiques de gestion des voyages en avion </w:t>
      </w:r>
      <w:r w:rsidR="001D70DE">
        <w:br/>
      </w:r>
      <w:r w:rsidR="001D70DE" w:rsidRPr="003B5EA4">
        <w:t>et renforcer la responsabilisation</w:t>
      </w:r>
      <w:r w:rsidRPr="003B5EA4">
        <w:tab/>
      </w:r>
      <w:r w:rsidRPr="003B5EA4">
        <w:tab/>
      </w:r>
      <w:r w:rsidR="001D70DE">
        <w:t>91−118</w:t>
      </w:r>
      <w:r w:rsidRPr="003B5EA4">
        <w:tab/>
      </w:r>
      <w:r w:rsidR="001011BD">
        <w:t>32</w:t>
      </w:r>
    </w:p>
    <w:p w:rsidR="00B029C3" w:rsidRPr="003B5EA4" w:rsidRDefault="00B029C3" w:rsidP="00B029C3">
      <w:pPr>
        <w:tabs>
          <w:tab w:val="right" w:leader="dot" w:pos="7654"/>
          <w:tab w:val="right" w:pos="8929"/>
          <w:tab w:val="right" w:pos="9638"/>
        </w:tabs>
        <w:spacing w:after="120"/>
        <w:ind w:left="1559" w:hanging="425"/>
      </w:pPr>
      <w:r w:rsidRPr="003B5EA4">
        <w:t>A.</w:t>
      </w:r>
      <w:r w:rsidRPr="003B5EA4">
        <w:tab/>
      </w:r>
      <w:r w:rsidR="001D70DE">
        <w:t>Contexte</w:t>
      </w:r>
      <w:r w:rsidRPr="003B5EA4">
        <w:tab/>
      </w:r>
      <w:r w:rsidRPr="003B5EA4">
        <w:tab/>
      </w:r>
      <w:r w:rsidR="001D70DE">
        <w:t>91−92</w:t>
      </w:r>
      <w:r w:rsidRPr="003B5EA4">
        <w:tab/>
      </w:r>
      <w:r w:rsidR="001011BD">
        <w:t>32</w:t>
      </w:r>
    </w:p>
    <w:p w:rsidR="00B029C3" w:rsidRPr="003B5EA4" w:rsidRDefault="00B029C3" w:rsidP="00B029C3">
      <w:pPr>
        <w:tabs>
          <w:tab w:val="right" w:leader="dot" w:pos="7654"/>
          <w:tab w:val="right" w:pos="8929"/>
          <w:tab w:val="right" w:pos="9638"/>
        </w:tabs>
        <w:spacing w:after="120"/>
        <w:ind w:left="1559" w:hanging="425"/>
      </w:pPr>
      <w:r w:rsidRPr="003B5EA4">
        <w:t>B.</w:t>
      </w:r>
      <w:r w:rsidRPr="003B5EA4">
        <w:tab/>
      </w:r>
      <w:r w:rsidR="001D70DE" w:rsidRPr="003B5EA4">
        <w:rPr>
          <w:lang w:eastAsia="zh-CN"/>
        </w:rPr>
        <w:t>Amélioration des cadres juridiques existants</w:t>
      </w:r>
      <w:r w:rsidRPr="003B5EA4">
        <w:tab/>
      </w:r>
      <w:r w:rsidRPr="003B5EA4">
        <w:tab/>
      </w:r>
      <w:r w:rsidR="001D70DE">
        <w:t>93−94</w:t>
      </w:r>
      <w:r w:rsidRPr="003B5EA4">
        <w:tab/>
      </w:r>
      <w:r w:rsidR="001011BD">
        <w:t>32</w:t>
      </w:r>
    </w:p>
    <w:p w:rsidR="00B029C3" w:rsidRPr="003B5EA4" w:rsidRDefault="00B029C3" w:rsidP="00B029C3">
      <w:pPr>
        <w:tabs>
          <w:tab w:val="right" w:leader="dot" w:pos="7654"/>
          <w:tab w:val="right" w:pos="8929"/>
          <w:tab w:val="right" w:pos="9638"/>
        </w:tabs>
        <w:spacing w:after="120"/>
        <w:ind w:left="1559" w:hanging="425"/>
      </w:pPr>
      <w:r w:rsidRPr="003B5EA4">
        <w:t>C.</w:t>
      </w:r>
      <w:r w:rsidRPr="003B5EA4">
        <w:tab/>
      </w:r>
      <w:r w:rsidR="001D70DE" w:rsidRPr="003B5EA4">
        <w:rPr>
          <w:lang w:eastAsia="zh-CN"/>
        </w:rPr>
        <w:t xml:space="preserve">Rationalisation des règles et politiques actuelles et amélioration </w:t>
      </w:r>
      <w:r w:rsidR="001D70DE" w:rsidRPr="003B5EA4">
        <w:rPr>
          <w:lang w:eastAsia="zh-CN"/>
        </w:rPr>
        <w:br/>
        <w:t>de la gestion</w:t>
      </w:r>
      <w:r w:rsidRPr="003B5EA4">
        <w:tab/>
      </w:r>
      <w:r w:rsidRPr="003B5EA4">
        <w:tab/>
      </w:r>
      <w:r w:rsidR="001D70DE">
        <w:t>95−97</w:t>
      </w:r>
      <w:r w:rsidRPr="003B5EA4">
        <w:tab/>
      </w:r>
      <w:r w:rsidR="001011BD">
        <w:t>32</w:t>
      </w:r>
    </w:p>
    <w:p w:rsidR="00B029C3" w:rsidRPr="003B5EA4" w:rsidRDefault="00B029C3" w:rsidP="00B029C3">
      <w:pPr>
        <w:tabs>
          <w:tab w:val="right" w:leader="dot" w:pos="7654"/>
          <w:tab w:val="right" w:pos="8929"/>
          <w:tab w:val="right" w:pos="9638"/>
        </w:tabs>
        <w:spacing w:after="120"/>
        <w:ind w:left="1559" w:hanging="425"/>
      </w:pPr>
      <w:r w:rsidRPr="003B5EA4">
        <w:t>D.</w:t>
      </w:r>
      <w:r w:rsidRPr="003B5EA4">
        <w:tab/>
      </w:r>
      <w:r w:rsidR="00431CF8" w:rsidRPr="003B5EA4">
        <w:rPr>
          <w:lang w:eastAsia="zh-CN"/>
        </w:rPr>
        <w:t>Actualisation des règles et politiques et amélioration des pratiques</w:t>
      </w:r>
      <w:r w:rsidRPr="003B5EA4">
        <w:tab/>
      </w:r>
      <w:r w:rsidRPr="003B5EA4">
        <w:tab/>
      </w:r>
      <w:r w:rsidR="001D70DE">
        <w:t>98−104</w:t>
      </w:r>
      <w:r w:rsidRPr="003B5EA4">
        <w:tab/>
      </w:r>
      <w:r w:rsidR="001011BD">
        <w:t>33</w:t>
      </w:r>
    </w:p>
    <w:p w:rsidR="00B029C3" w:rsidRPr="003B5EA4" w:rsidRDefault="00B029C3" w:rsidP="00B029C3">
      <w:pPr>
        <w:tabs>
          <w:tab w:val="right" w:leader="dot" w:pos="7654"/>
          <w:tab w:val="right" w:pos="8929"/>
          <w:tab w:val="right" w:pos="9638"/>
        </w:tabs>
        <w:spacing w:after="120"/>
        <w:ind w:left="1559" w:hanging="425"/>
      </w:pPr>
      <w:r w:rsidRPr="003B5EA4">
        <w:t>E.</w:t>
      </w:r>
      <w:r w:rsidRPr="003B5EA4">
        <w:tab/>
      </w:r>
      <w:r w:rsidR="00431CF8" w:rsidRPr="003B5EA4">
        <w:rPr>
          <w:lang w:eastAsia="zh-CN"/>
        </w:rPr>
        <w:t>Mise en place d</w:t>
      </w:r>
      <w:r w:rsidR="00762E0A">
        <w:rPr>
          <w:lang w:eastAsia="zh-CN"/>
        </w:rPr>
        <w:t>’</w:t>
      </w:r>
      <w:r w:rsidR="00431CF8" w:rsidRPr="003B5EA4">
        <w:rPr>
          <w:lang w:eastAsia="zh-CN"/>
        </w:rPr>
        <w:t>un cadre de responsabilisation solide</w:t>
      </w:r>
      <w:r w:rsidRPr="003B5EA4">
        <w:tab/>
      </w:r>
      <w:r w:rsidRPr="003B5EA4">
        <w:tab/>
      </w:r>
      <w:r w:rsidR="001D70DE">
        <w:t>105−118</w:t>
      </w:r>
      <w:r w:rsidRPr="003B5EA4">
        <w:tab/>
      </w:r>
      <w:r w:rsidR="001011BD">
        <w:t>34</w:t>
      </w:r>
    </w:p>
    <w:p w:rsidR="00B029C3" w:rsidRPr="003B5EA4" w:rsidRDefault="00B029C3" w:rsidP="0070098E">
      <w:pPr>
        <w:keepNext/>
        <w:tabs>
          <w:tab w:val="right" w:pos="850"/>
          <w:tab w:val="right" w:leader="dot" w:pos="7654"/>
          <w:tab w:val="right" w:pos="8929"/>
          <w:tab w:val="right" w:pos="9638"/>
        </w:tabs>
        <w:spacing w:after="120"/>
        <w:ind w:left="1134" w:hanging="1134"/>
      </w:pPr>
      <w:r w:rsidRPr="003B5EA4">
        <w:lastRenderedPageBreak/>
        <w:tab/>
        <w:t>VII.</w:t>
      </w:r>
      <w:r w:rsidRPr="003B5EA4">
        <w:tab/>
      </w:r>
      <w:r w:rsidR="005436C9" w:rsidRPr="003B5EA4">
        <w:t xml:space="preserve">Moderniser les outils de gestion des voyages en avion et renforcer </w:t>
      </w:r>
      <w:r w:rsidR="005436C9">
        <w:br/>
      </w:r>
      <w:r w:rsidR="005436C9" w:rsidRPr="003B5EA4">
        <w:t>la collaboration avec les fournisseurs de services</w:t>
      </w:r>
      <w:r w:rsidRPr="003B5EA4">
        <w:tab/>
      </w:r>
      <w:r w:rsidRPr="003B5EA4">
        <w:tab/>
      </w:r>
      <w:r w:rsidR="005436C9">
        <w:t>119−145</w:t>
      </w:r>
      <w:r w:rsidRPr="003B5EA4">
        <w:tab/>
      </w:r>
      <w:r w:rsidR="00807206">
        <w:t>38</w:t>
      </w:r>
    </w:p>
    <w:p w:rsidR="00B029C3" w:rsidRPr="003B5EA4" w:rsidRDefault="00B029C3" w:rsidP="0070098E">
      <w:pPr>
        <w:keepNext/>
        <w:tabs>
          <w:tab w:val="right" w:leader="dot" w:pos="7654"/>
          <w:tab w:val="right" w:pos="8929"/>
          <w:tab w:val="right" w:pos="9638"/>
        </w:tabs>
        <w:spacing w:after="120"/>
        <w:ind w:left="1559" w:hanging="425"/>
      </w:pPr>
      <w:r w:rsidRPr="003B5EA4">
        <w:t>A.</w:t>
      </w:r>
      <w:r w:rsidRPr="003B5EA4">
        <w:tab/>
      </w:r>
      <w:r w:rsidR="005436C9" w:rsidRPr="003B5EA4">
        <w:t xml:space="preserve">Utilisation des progiciels de gestion intégrés pour assurer la gestion </w:t>
      </w:r>
      <w:r w:rsidR="005436C9" w:rsidRPr="003B5EA4">
        <w:br/>
        <w:t>des voyages</w:t>
      </w:r>
      <w:r w:rsidRPr="003B5EA4">
        <w:tab/>
      </w:r>
      <w:r w:rsidRPr="003B5EA4">
        <w:tab/>
      </w:r>
      <w:r w:rsidR="005436C9">
        <w:t>119−127</w:t>
      </w:r>
      <w:r w:rsidRPr="003B5EA4">
        <w:tab/>
      </w:r>
      <w:r w:rsidR="00807206">
        <w:t>38</w:t>
      </w:r>
    </w:p>
    <w:p w:rsidR="00B029C3" w:rsidRPr="003B5EA4" w:rsidRDefault="00B029C3" w:rsidP="00B029C3">
      <w:pPr>
        <w:tabs>
          <w:tab w:val="right" w:leader="dot" w:pos="7654"/>
          <w:tab w:val="right" w:pos="8929"/>
          <w:tab w:val="right" w:pos="9638"/>
        </w:tabs>
        <w:spacing w:after="120"/>
        <w:ind w:left="1559" w:hanging="425"/>
      </w:pPr>
      <w:r w:rsidRPr="003B5EA4">
        <w:t>B.</w:t>
      </w:r>
      <w:r w:rsidRPr="003B5EA4">
        <w:tab/>
      </w:r>
      <w:r w:rsidR="005436C9" w:rsidRPr="003B5EA4">
        <w:t>Établissement de partenariats solides avec les fournisseurs de services</w:t>
      </w:r>
      <w:r w:rsidRPr="003B5EA4">
        <w:tab/>
      </w:r>
      <w:r w:rsidRPr="003B5EA4">
        <w:tab/>
      </w:r>
      <w:r w:rsidR="005436C9">
        <w:t>128−145</w:t>
      </w:r>
      <w:r w:rsidRPr="003B5EA4">
        <w:tab/>
      </w:r>
      <w:r w:rsidR="00807206">
        <w:t>39</w:t>
      </w:r>
    </w:p>
    <w:p w:rsidR="00580F2A" w:rsidRPr="003B5EA4" w:rsidRDefault="00580F2A" w:rsidP="00580F2A">
      <w:pPr>
        <w:tabs>
          <w:tab w:val="right" w:pos="850"/>
          <w:tab w:val="right" w:leader="dot" w:pos="7654"/>
          <w:tab w:val="right" w:pos="8929"/>
          <w:tab w:val="right" w:pos="9638"/>
        </w:tabs>
        <w:spacing w:after="120"/>
        <w:ind w:left="1134" w:hanging="1134"/>
      </w:pPr>
      <w:r w:rsidRPr="003B5EA4">
        <w:tab/>
        <w:t>VIII.</w:t>
      </w:r>
      <w:r w:rsidRPr="003B5EA4">
        <w:tab/>
      </w:r>
      <w:r w:rsidR="00DD6DC7" w:rsidRPr="003B5EA4">
        <w:t xml:space="preserve">Renforcer la planification, la surveillance et le contrôle budgétaire </w:t>
      </w:r>
      <w:r w:rsidR="00DD6DC7">
        <w:br/>
      </w:r>
      <w:r w:rsidR="00DD6DC7" w:rsidRPr="003B5EA4">
        <w:t>dans l</w:t>
      </w:r>
      <w:r w:rsidR="00762E0A">
        <w:t>’</w:t>
      </w:r>
      <w:r w:rsidR="00DD6DC7" w:rsidRPr="003B5EA4">
        <w:t>administration des voyages en avion</w:t>
      </w:r>
      <w:r w:rsidRPr="003B5EA4">
        <w:tab/>
      </w:r>
      <w:r w:rsidRPr="003B5EA4">
        <w:tab/>
      </w:r>
      <w:r w:rsidR="00DD6DC7">
        <w:t>146−171</w:t>
      </w:r>
      <w:r w:rsidRPr="003B5EA4">
        <w:tab/>
      </w:r>
      <w:r w:rsidR="00807206">
        <w:t>44</w:t>
      </w:r>
    </w:p>
    <w:p w:rsidR="00580F2A" w:rsidRPr="003B5EA4" w:rsidRDefault="00580F2A" w:rsidP="00580F2A">
      <w:pPr>
        <w:tabs>
          <w:tab w:val="right" w:leader="dot" w:pos="7654"/>
          <w:tab w:val="right" w:pos="8929"/>
          <w:tab w:val="right" w:pos="9638"/>
        </w:tabs>
        <w:spacing w:after="120"/>
        <w:ind w:left="1559" w:hanging="425"/>
      </w:pPr>
      <w:r w:rsidRPr="003B5EA4">
        <w:t>A.</w:t>
      </w:r>
      <w:r w:rsidRPr="003B5EA4">
        <w:tab/>
      </w:r>
      <w:r w:rsidR="00DD6DC7" w:rsidRPr="003B5EA4">
        <w:t>Planification, réservation et achat anticipés</w:t>
      </w:r>
      <w:r w:rsidRPr="003B5EA4">
        <w:tab/>
      </w:r>
      <w:r w:rsidRPr="003B5EA4">
        <w:tab/>
      </w:r>
      <w:r w:rsidR="00DD6DC7">
        <w:t>147−160</w:t>
      </w:r>
      <w:r w:rsidRPr="003B5EA4">
        <w:tab/>
      </w:r>
      <w:r w:rsidR="00807206">
        <w:t>44</w:t>
      </w:r>
    </w:p>
    <w:p w:rsidR="00580F2A" w:rsidRPr="003B5EA4" w:rsidRDefault="00580F2A" w:rsidP="00580F2A">
      <w:pPr>
        <w:tabs>
          <w:tab w:val="right" w:leader="dot" w:pos="7654"/>
          <w:tab w:val="right" w:pos="8929"/>
          <w:tab w:val="right" w:pos="9638"/>
        </w:tabs>
        <w:spacing w:after="120"/>
        <w:ind w:left="1559" w:hanging="425"/>
      </w:pPr>
      <w:r w:rsidRPr="003B5EA4">
        <w:t>B.</w:t>
      </w:r>
      <w:r w:rsidRPr="003B5EA4">
        <w:tab/>
      </w:r>
      <w:r w:rsidR="00724BB1" w:rsidRPr="003B5EA4">
        <w:t>Contrôle du budget consacré aux voyages en avion</w:t>
      </w:r>
      <w:r w:rsidRPr="003B5EA4">
        <w:tab/>
      </w:r>
      <w:r w:rsidRPr="003B5EA4">
        <w:tab/>
      </w:r>
      <w:r w:rsidR="00DD6DC7">
        <w:t>161−165</w:t>
      </w:r>
      <w:r w:rsidRPr="003B5EA4">
        <w:tab/>
      </w:r>
      <w:r w:rsidR="00807206">
        <w:t>47</w:t>
      </w:r>
    </w:p>
    <w:p w:rsidR="00580F2A" w:rsidRPr="003B5EA4" w:rsidRDefault="00580F2A" w:rsidP="00580F2A">
      <w:pPr>
        <w:tabs>
          <w:tab w:val="right" w:leader="dot" w:pos="7654"/>
          <w:tab w:val="right" w:pos="8929"/>
          <w:tab w:val="right" w:pos="9638"/>
        </w:tabs>
        <w:spacing w:after="120"/>
        <w:ind w:left="1559" w:hanging="425"/>
      </w:pPr>
      <w:r w:rsidRPr="003B5EA4">
        <w:t>C.</w:t>
      </w:r>
      <w:r w:rsidRPr="003B5EA4">
        <w:tab/>
      </w:r>
      <w:r w:rsidR="00724BB1" w:rsidRPr="003B5EA4">
        <w:t>Recouvrement des sommes dues au titre des billets non utilisés</w:t>
      </w:r>
      <w:r w:rsidRPr="003B5EA4">
        <w:tab/>
      </w:r>
      <w:r w:rsidRPr="003B5EA4">
        <w:tab/>
      </w:r>
      <w:r w:rsidR="00DD6DC7">
        <w:t>166−167</w:t>
      </w:r>
      <w:r w:rsidRPr="003B5EA4">
        <w:tab/>
      </w:r>
      <w:r w:rsidR="00807206">
        <w:t>48</w:t>
      </w:r>
    </w:p>
    <w:p w:rsidR="00580F2A" w:rsidRPr="003B5EA4" w:rsidRDefault="00580F2A" w:rsidP="00580F2A">
      <w:pPr>
        <w:tabs>
          <w:tab w:val="right" w:leader="dot" w:pos="7654"/>
          <w:tab w:val="right" w:pos="8929"/>
          <w:tab w:val="right" w:pos="9638"/>
        </w:tabs>
        <w:spacing w:after="120"/>
        <w:ind w:left="1559" w:hanging="425"/>
      </w:pPr>
      <w:r w:rsidRPr="003B5EA4">
        <w:t>D.</w:t>
      </w:r>
      <w:r w:rsidRPr="003B5EA4">
        <w:tab/>
      </w:r>
      <w:r w:rsidR="00724BB1" w:rsidRPr="003B5EA4">
        <w:t>Renforcement des mécanismes de contrôle</w:t>
      </w:r>
      <w:r w:rsidRPr="003B5EA4">
        <w:tab/>
      </w:r>
      <w:r w:rsidRPr="003B5EA4">
        <w:tab/>
      </w:r>
      <w:r w:rsidR="00DD6DC7">
        <w:t>168−171</w:t>
      </w:r>
      <w:r w:rsidRPr="003B5EA4">
        <w:tab/>
      </w:r>
      <w:r w:rsidR="00807206">
        <w:t>49</w:t>
      </w:r>
    </w:p>
    <w:p w:rsidR="00580F2A" w:rsidRPr="003B5EA4" w:rsidRDefault="00580F2A" w:rsidP="00580F2A">
      <w:pPr>
        <w:tabs>
          <w:tab w:val="right" w:pos="850"/>
          <w:tab w:val="right" w:leader="dot" w:pos="7654"/>
          <w:tab w:val="right" w:pos="8929"/>
          <w:tab w:val="right" w:pos="9638"/>
        </w:tabs>
        <w:spacing w:after="120"/>
        <w:ind w:left="1134" w:hanging="1134"/>
      </w:pPr>
      <w:r w:rsidRPr="003B5EA4">
        <w:tab/>
        <w:t>IX.</w:t>
      </w:r>
      <w:r w:rsidRPr="003B5EA4">
        <w:tab/>
      </w:r>
      <w:r w:rsidR="002A0796" w:rsidRPr="003B5EA4">
        <w:t>Quelques mesures d</w:t>
      </w:r>
      <w:r w:rsidR="00762E0A">
        <w:t>’</w:t>
      </w:r>
      <w:r w:rsidR="002A0796" w:rsidRPr="003B5EA4">
        <w:t>efficience et d</w:t>
      </w:r>
      <w:r w:rsidR="00762E0A">
        <w:t>’</w:t>
      </w:r>
      <w:r w:rsidR="002A0796" w:rsidRPr="003B5EA4">
        <w:t>économie</w:t>
      </w:r>
      <w:r w:rsidRPr="003B5EA4">
        <w:tab/>
      </w:r>
      <w:r w:rsidRPr="003B5EA4">
        <w:tab/>
      </w:r>
      <w:r w:rsidR="002A0796">
        <w:t>172−203</w:t>
      </w:r>
      <w:r w:rsidRPr="003B5EA4">
        <w:tab/>
      </w:r>
      <w:r w:rsidR="00807206">
        <w:t>50</w:t>
      </w:r>
    </w:p>
    <w:p w:rsidR="00580F2A" w:rsidRPr="003B5EA4" w:rsidRDefault="00580F2A" w:rsidP="00580F2A">
      <w:pPr>
        <w:tabs>
          <w:tab w:val="right" w:leader="dot" w:pos="7654"/>
          <w:tab w:val="right" w:pos="8929"/>
          <w:tab w:val="right" w:pos="9638"/>
        </w:tabs>
        <w:spacing w:after="120"/>
        <w:ind w:left="1559" w:hanging="425"/>
      </w:pPr>
      <w:r w:rsidRPr="003B5EA4">
        <w:t>A.</w:t>
      </w:r>
      <w:r w:rsidRPr="003B5EA4">
        <w:tab/>
      </w:r>
      <w:r w:rsidR="002A0796" w:rsidRPr="003B5EA4">
        <w:t>Solutions de substitution aux voyages en avion</w:t>
      </w:r>
      <w:r w:rsidRPr="003B5EA4">
        <w:tab/>
      </w:r>
      <w:r w:rsidRPr="003B5EA4">
        <w:tab/>
      </w:r>
      <w:r w:rsidR="002A0796">
        <w:t>173−182</w:t>
      </w:r>
      <w:r w:rsidRPr="003B5EA4">
        <w:tab/>
      </w:r>
      <w:r w:rsidR="00807206">
        <w:t>50</w:t>
      </w:r>
    </w:p>
    <w:p w:rsidR="00580F2A" w:rsidRPr="003B5EA4" w:rsidRDefault="00580F2A" w:rsidP="00580F2A">
      <w:pPr>
        <w:tabs>
          <w:tab w:val="right" w:leader="dot" w:pos="7654"/>
          <w:tab w:val="right" w:pos="8929"/>
          <w:tab w:val="right" w:pos="9638"/>
        </w:tabs>
        <w:spacing w:after="120"/>
        <w:ind w:left="1559" w:hanging="425"/>
      </w:pPr>
      <w:r w:rsidRPr="003B5EA4">
        <w:t>B.</w:t>
      </w:r>
      <w:r w:rsidRPr="003B5EA4">
        <w:tab/>
      </w:r>
      <w:r w:rsidR="002A0796" w:rsidRPr="003B5EA4">
        <w:t xml:space="preserve">Recours à des compagnies aériennes à bas prix pour les voyages de courte </w:t>
      </w:r>
      <w:r w:rsidR="002A0796">
        <w:br/>
      </w:r>
      <w:r w:rsidR="002A0796" w:rsidRPr="003B5EA4">
        <w:t>durée, à la procédure d</w:t>
      </w:r>
      <w:r w:rsidR="00762E0A">
        <w:t>’</w:t>
      </w:r>
      <w:r w:rsidR="002A0796" w:rsidRPr="003B5EA4">
        <w:t xml:space="preserve">achat des billets par les voyageurs eux-mêmes </w:t>
      </w:r>
      <w:r w:rsidR="002A0796">
        <w:br/>
      </w:r>
      <w:r w:rsidR="002A0796" w:rsidRPr="003B5EA4">
        <w:t>et aux billets non remboursables</w:t>
      </w:r>
      <w:r w:rsidRPr="003B5EA4">
        <w:tab/>
      </w:r>
      <w:r w:rsidRPr="003B5EA4">
        <w:tab/>
      </w:r>
      <w:r w:rsidR="002A0796">
        <w:t>183−187</w:t>
      </w:r>
      <w:r w:rsidRPr="003B5EA4">
        <w:tab/>
      </w:r>
      <w:r w:rsidR="00807206">
        <w:t>52</w:t>
      </w:r>
    </w:p>
    <w:p w:rsidR="00580F2A" w:rsidRPr="003B5EA4" w:rsidRDefault="00580F2A" w:rsidP="00580F2A">
      <w:pPr>
        <w:tabs>
          <w:tab w:val="right" w:leader="dot" w:pos="7654"/>
          <w:tab w:val="right" w:pos="8929"/>
          <w:tab w:val="right" w:pos="9638"/>
        </w:tabs>
        <w:spacing w:after="120"/>
        <w:ind w:left="1559" w:hanging="425"/>
      </w:pPr>
      <w:r w:rsidRPr="003B5EA4">
        <w:t>C.</w:t>
      </w:r>
      <w:r w:rsidRPr="003B5EA4">
        <w:tab/>
      </w:r>
      <w:r w:rsidR="0030530C" w:rsidRPr="003B5EA4">
        <w:t>Utilisation efficace des outils de réservation en ligne</w:t>
      </w:r>
      <w:r w:rsidRPr="003B5EA4">
        <w:tab/>
      </w:r>
      <w:r w:rsidRPr="003B5EA4">
        <w:tab/>
      </w:r>
      <w:r w:rsidR="002A0796">
        <w:t>188−193</w:t>
      </w:r>
      <w:r w:rsidRPr="003B5EA4">
        <w:tab/>
      </w:r>
      <w:r w:rsidR="00807206">
        <w:t>52</w:t>
      </w:r>
    </w:p>
    <w:p w:rsidR="00580F2A" w:rsidRPr="003B5EA4" w:rsidRDefault="00580F2A" w:rsidP="00580F2A">
      <w:pPr>
        <w:tabs>
          <w:tab w:val="right" w:leader="dot" w:pos="7654"/>
          <w:tab w:val="right" w:pos="8929"/>
          <w:tab w:val="right" w:pos="9638"/>
        </w:tabs>
        <w:spacing w:after="120"/>
        <w:ind w:left="1559" w:hanging="425"/>
      </w:pPr>
      <w:r w:rsidRPr="003B5EA4">
        <w:t>D.</w:t>
      </w:r>
      <w:r w:rsidRPr="003B5EA4">
        <w:tab/>
      </w:r>
      <w:r w:rsidR="0030530C" w:rsidRPr="003B5EA4">
        <w:t>Extension du régime de la somme forfaitaire à d</w:t>
      </w:r>
      <w:r w:rsidR="00762E0A">
        <w:t>’</w:t>
      </w:r>
      <w:r w:rsidR="0030530C" w:rsidRPr="003B5EA4">
        <w:t xml:space="preserve">autres catégories </w:t>
      </w:r>
      <w:r w:rsidR="0030530C" w:rsidRPr="003B5EA4">
        <w:br/>
        <w:t>de voyages statutaires</w:t>
      </w:r>
      <w:r w:rsidRPr="003B5EA4">
        <w:tab/>
      </w:r>
      <w:r w:rsidRPr="003B5EA4">
        <w:tab/>
      </w:r>
      <w:r w:rsidR="002A0796">
        <w:t>194−197</w:t>
      </w:r>
      <w:r w:rsidRPr="003B5EA4">
        <w:tab/>
      </w:r>
      <w:r w:rsidR="00807206">
        <w:t>54</w:t>
      </w:r>
    </w:p>
    <w:p w:rsidR="00580F2A" w:rsidRPr="003B5EA4" w:rsidRDefault="00580F2A" w:rsidP="00580F2A">
      <w:pPr>
        <w:tabs>
          <w:tab w:val="right" w:leader="dot" w:pos="7654"/>
          <w:tab w:val="right" w:pos="8929"/>
          <w:tab w:val="right" w:pos="9638"/>
        </w:tabs>
        <w:spacing w:after="120"/>
        <w:ind w:left="1559" w:hanging="425"/>
      </w:pPr>
      <w:r w:rsidRPr="003B5EA4">
        <w:t>E.</w:t>
      </w:r>
      <w:r w:rsidRPr="003B5EA4">
        <w:tab/>
      </w:r>
      <w:r w:rsidR="00920A3C" w:rsidRPr="003B5EA4">
        <w:t>Recours à des agences de voyage délocalisées ou hors site</w:t>
      </w:r>
      <w:r w:rsidRPr="003B5EA4">
        <w:tab/>
      </w:r>
      <w:r w:rsidRPr="003B5EA4">
        <w:tab/>
      </w:r>
      <w:r w:rsidR="002A0796">
        <w:t>198−201</w:t>
      </w:r>
      <w:r w:rsidRPr="003B5EA4">
        <w:tab/>
      </w:r>
      <w:r w:rsidR="00807206">
        <w:t>55</w:t>
      </w:r>
    </w:p>
    <w:p w:rsidR="00B029C3" w:rsidRPr="003B5EA4" w:rsidRDefault="00580F2A" w:rsidP="00B029C3">
      <w:pPr>
        <w:tabs>
          <w:tab w:val="right" w:leader="dot" w:pos="7654"/>
          <w:tab w:val="right" w:pos="8929"/>
          <w:tab w:val="right" w:pos="9638"/>
        </w:tabs>
        <w:spacing w:after="120"/>
        <w:ind w:left="1559" w:hanging="425"/>
      </w:pPr>
      <w:r w:rsidRPr="003B5EA4">
        <w:t>F.</w:t>
      </w:r>
      <w:r w:rsidRPr="003B5EA4">
        <w:tab/>
      </w:r>
      <w:r w:rsidR="00920A3C" w:rsidRPr="003B5EA4">
        <w:t>Programmes de fidélité des compagnies aériennes</w:t>
      </w:r>
      <w:r w:rsidRPr="003B5EA4">
        <w:tab/>
      </w:r>
      <w:r w:rsidRPr="003B5EA4">
        <w:tab/>
      </w:r>
      <w:r w:rsidR="002A0796">
        <w:t>202−203</w:t>
      </w:r>
      <w:r w:rsidRPr="003B5EA4">
        <w:tab/>
      </w:r>
      <w:r w:rsidR="00807206">
        <w:t>56</w:t>
      </w:r>
    </w:p>
    <w:p w:rsidR="00580F2A" w:rsidRPr="003B5EA4" w:rsidRDefault="00580F2A" w:rsidP="00580F2A">
      <w:pPr>
        <w:tabs>
          <w:tab w:val="right" w:pos="850"/>
          <w:tab w:val="right" w:leader="dot" w:pos="7654"/>
          <w:tab w:val="right" w:pos="8929"/>
          <w:tab w:val="right" w:pos="9638"/>
        </w:tabs>
        <w:spacing w:after="120"/>
        <w:ind w:left="1134" w:hanging="1134"/>
      </w:pPr>
      <w:r w:rsidRPr="003B5EA4">
        <w:tab/>
        <w:t>X.</w:t>
      </w:r>
      <w:r w:rsidRPr="003B5EA4">
        <w:tab/>
      </w:r>
      <w:r w:rsidR="00696BA3" w:rsidRPr="003B5EA4">
        <w:t>Harmonisation entre les organismes des Nations Unies</w:t>
      </w:r>
      <w:r w:rsidRPr="003B5EA4">
        <w:tab/>
      </w:r>
      <w:r w:rsidRPr="003B5EA4">
        <w:tab/>
      </w:r>
      <w:r w:rsidR="00AF3BBE">
        <w:t>204−243</w:t>
      </w:r>
      <w:r w:rsidRPr="003B5EA4">
        <w:tab/>
      </w:r>
      <w:r w:rsidR="00807206">
        <w:t>57</w:t>
      </w:r>
    </w:p>
    <w:p w:rsidR="00580F2A" w:rsidRPr="003B5EA4" w:rsidRDefault="00580F2A" w:rsidP="00580F2A">
      <w:pPr>
        <w:tabs>
          <w:tab w:val="right" w:leader="dot" w:pos="7654"/>
          <w:tab w:val="right" w:pos="8929"/>
          <w:tab w:val="right" w:pos="9638"/>
        </w:tabs>
        <w:spacing w:after="120"/>
        <w:ind w:left="1559" w:hanging="425"/>
      </w:pPr>
      <w:r w:rsidRPr="003B5EA4">
        <w:t>A.</w:t>
      </w:r>
      <w:r w:rsidRPr="003B5EA4">
        <w:tab/>
      </w:r>
      <w:r w:rsidR="00AF3BBE" w:rsidRPr="003B5EA4">
        <w:t>Aperçu général</w:t>
      </w:r>
      <w:r w:rsidRPr="003B5EA4">
        <w:tab/>
      </w:r>
      <w:r w:rsidRPr="003B5EA4">
        <w:tab/>
      </w:r>
      <w:r w:rsidR="00AF3BBE">
        <w:t>204−205</w:t>
      </w:r>
      <w:r w:rsidRPr="003B5EA4">
        <w:tab/>
      </w:r>
      <w:r w:rsidR="00807206">
        <w:t>57</w:t>
      </w:r>
    </w:p>
    <w:p w:rsidR="00580F2A" w:rsidRPr="003B5EA4" w:rsidRDefault="00580F2A" w:rsidP="00580F2A">
      <w:pPr>
        <w:tabs>
          <w:tab w:val="right" w:leader="dot" w:pos="7654"/>
          <w:tab w:val="right" w:pos="8929"/>
          <w:tab w:val="right" w:pos="9638"/>
        </w:tabs>
        <w:spacing w:after="120"/>
        <w:ind w:left="1559" w:hanging="425"/>
      </w:pPr>
      <w:r w:rsidRPr="003B5EA4">
        <w:t>B.</w:t>
      </w:r>
      <w:r w:rsidRPr="003B5EA4">
        <w:tab/>
      </w:r>
      <w:r w:rsidR="00AF3BBE" w:rsidRPr="003B5EA4">
        <w:t>Importance de renforcer l</w:t>
      </w:r>
      <w:r w:rsidR="00762E0A">
        <w:t>’</w:t>
      </w:r>
      <w:r w:rsidR="00AF3BBE" w:rsidRPr="003B5EA4">
        <w:t xml:space="preserve">harmonisation des pratiques relatives </w:t>
      </w:r>
      <w:r w:rsidR="00AF3BBE" w:rsidRPr="003B5EA4">
        <w:br/>
        <w:t>aux voyages en avion</w:t>
      </w:r>
      <w:r w:rsidRPr="003B5EA4">
        <w:tab/>
      </w:r>
      <w:r w:rsidRPr="003B5EA4">
        <w:tab/>
      </w:r>
      <w:r w:rsidR="00AF3BBE">
        <w:t>206−214</w:t>
      </w:r>
      <w:r w:rsidRPr="003B5EA4">
        <w:tab/>
      </w:r>
      <w:r w:rsidR="00644047">
        <w:t>57</w:t>
      </w:r>
    </w:p>
    <w:p w:rsidR="00580F2A" w:rsidRPr="003B5EA4" w:rsidRDefault="00580F2A" w:rsidP="00580F2A">
      <w:pPr>
        <w:tabs>
          <w:tab w:val="right" w:leader="dot" w:pos="7654"/>
          <w:tab w:val="right" w:pos="8929"/>
          <w:tab w:val="right" w:pos="9638"/>
        </w:tabs>
        <w:spacing w:after="120"/>
        <w:ind w:left="1559" w:hanging="425"/>
      </w:pPr>
      <w:r w:rsidRPr="003B5EA4">
        <w:t>C.</w:t>
      </w:r>
      <w:r w:rsidRPr="003B5EA4">
        <w:tab/>
      </w:r>
      <w:r w:rsidR="00373A45" w:rsidRPr="003B5EA4">
        <w:t>Nécessité de promouvoir l</w:t>
      </w:r>
      <w:r w:rsidR="00762E0A">
        <w:t>’</w:t>
      </w:r>
      <w:r w:rsidR="00373A45" w:rsidRPr="003B5EA4">
        <w:t xml:space="preserve">harmonisation des conditions de voyage </w:t>
      </w:r>
      <w:r w:rsidR="00373A45" w:rsidRPr="003B5EA4">
        <w:br/>
        <w:t>en avion</w:t>
      </w:r>
      <w:r w:rsidRPr="003B5EA4">
        <w:tab/>
      </w:r>
      <w:r w:rsidRPr="003B5EA4">
        <w:tab/>
      </w:r>
      <w:r w:rsidR="00AF3BBE">
        <w:t>215−220</w:t>
      </w:r>
      <w:r w:rsidRPr="003B5EA4">
        <w:tab/>
      </w:r>
      <w:r w:rsidR="00644047">
        <w:t>59</w:t>
      </w:r>
    </w:p>
    <w:p w:rsidR="00580F2A" w:rsidRPr="003B5EA4" w:rsidRDefault="00580F2A" w:rsidP="00580F2A">
      <w:pPr>
        <w:tabs>
          <w:tab w:val="right" w:leader="dot" w:pos="7654"/>
          <w:tab w:val="right" w:pos="8929"/>
          <w:tab w:val="right" w:pos="9638"/>
        </w:tabs>
        <w:spacing w:after="120"/>
        <w:ind w:left="1559" w:hanging="425"/>
      </w:pPr>
      <w:r w:rsidRPr="003B5EA4">
        <w:t>D.</w:t>
      </w:r>
      <w:r w:rsidRPr="003B5EA4">
        <w:tab/>
      </w:r>
      <w:r w:rsidR="00373A45" w:rsidRPr="003B5EA4">
        <w:t>Aspects des politiques et des prestations susceptibles d</w:t>
      </w:r>
      <w:r w:rsidR="00762E0A">
        <w:t>’</w:t>
      </w:r>
      <w:r w:rsidR="00373A45" w:rsidRPr="003B5EA4">
        <w:t>être harmonisés</w:t>
      </w:r>
      <w:r w:rsidRPr="003B5EA4">
        <w:tab/>
      </w:r>
      <w:r w:rsidRPr="003B5EA4">
        <w:tab/>
      </w:r>
      <w:r w:rsidR="00AF3BBE">
        <w:t>221−235</w:t>
      </w:r>
      <w:r w:rsidRPr="003B5EA4">
        <w:tab/>
      </w:r>
      <w:r w:rsidR="00644047">
        <w:t>61</w:t>
      </w:r>
    </w:p>
    <w:p w:rsidR="00580F2A" w:rsidRPr="003B5EA4" w:rsidRDefault="00580F2A" w:rsidP="00580F2A">
      <w:pPr>
        <w:tabs>
          <w:tab w:val="right" w:leader="dot" w:pos="7654"/>
          <w:tab w:val="right" w:pos="8929"/>
          <w:tab w:val="right" w:pos="9638"/>
        </w:tabs>
        <w:spacing w:after="120"/>
        <w:ind w:left="1559" w:hanging="425"/>
      </w:pPr>
      <w:r w:rsidRPr="003B5EA4">
        <w:t>E.</w:t>
      </w:r>
      <w:r w:rsidRPr="003B5EA4">
        <w:tab/>
      </w:r>
      <w:r w:rsidR="00220E2C" w:rsidRPr="003B5EA4">
        <w:t xml:space="preserve">Renforcer la mise en commun des connaissances au sein des organismes </w:t>
      </w:r>
      <w:r w:rsidR="00220E2C">
        <w:br/>
      </w:r>
      <w:r w:rsidR="00220E2C" w:rsidRPr="003B5EA4">
        <w:t>et parmi ceux-ci</w:t>
      </w:r>
      <w:r w:rsidRPr="003B5EA4">
        <w:tab/>
      </w:r>
      <w:r w:rsidRPr="003B5EA4">
        <w:tab/>
      </w:r>
      <w:r w:rsidR="00AF3BBE">
        <w:t>236−243</w:t>
      </w:r>
      <w:r w:rsidRPr="003B5EA4">
        <w:tab/>
      </w:r>
      <w:r w:rsidR="00644047">
        <w:t>64</w:t>
      </w:r>
    </w:p>
    <w:p w:rsidR="001E48D6" w:rsidRPr="003B5EA4" w:rsidRDefault="001E48D6" w:rsidP="001E48D6">
      <w:pPr>
        <w:tabs>
          <w:tab w:val="right" w:pos="850"/>
        </w:tabs>
        <w:spacing w:after="120"/>
      </w:pPr>
      <w:r w:rsidRPr="003B5EA4">
        <w:tab/>
        <w:t>Annexes</w:t>
      </w:r>
    </w:p>
    <w:p w:rsidR="001E48D6" w:rsidRPr="003B5EA4" w:rsidRDefault="001E48D6" w:rsidP="001E48D6">
      <w:pPr>
        <w:tabs>
          <w:tab w:val="right" w:pos="850"/>
          <w:tab w:val="right" w:leader="dot" w:pos="8929"/>
          <w:tab w:val="right" w:pos="9638"/>
        </w:tabs>
        <w:spacing w:after="120"/>
        <w:ind w:left="1134" w:hanging="1134"/>
      </w:pPr>
      <w:r w:rsidRPr="003B5EA4">
        <w:tab/>
        <w:t>I.</w:t>
      </w:r>
      <w:r w:rsidRPr="003B5EA4">
        <w:tab/>
      </w:r>
      <w:r w:rsidR="000204DF" w:rsidRPr="003B5EA4">
        <w:t xml:space="preserve">Dépenses au titre des voyages en avion et des prestations connexes en proportion des dépenses </w:t>
      </w:r>
      <w:r w:rsidR="000204DF">
        <w:br/>
      </w:r>
      <w:r w:rsidR="000204DF" w:rsidRPr="003B5EA4">
        <w:t>totales de chaque organi</w:t>
      </w:r>
      <w:r w:rsidR="000204DF">
        <w:t xml:space="preserve">sme pour la période </w:t>
      </w:r>
      <w:r w:rsidR="000204DF" w:rsidRPr="003B5EA4">
        <w:t xml:space="preserve">2012-2015 (budget ordinaire </w:t>
      </w:r>
      <w:r w:rsidR="000204DF">
        <w:br/>
      </w:r>
      <w:r w:rsidR="000204DF" w:rsidRPr="003B5EA4">
        <w:t>et sources extrabudgétaires)</w:t>
      </w:r>
      <w:r w:rsidRPr="003B5EA4">
        <w:tab/>
      </w:r>
      <w:r w:rsidRPr="003B5EA4">
        <w:tab/>
      </w:r>
      <w:r w:rsidR="00644047">
        <w:t>66</w:t>
      </w:r>
    </w:p>
    <w:p w:rsidR="005F7632" w:rsidRPr="003B5EA4" w:rsidRDefault="005F7632" w:rsidP="001E48D6">
      <w:pPr>
        <w:tabs>
          <w:tab w:val="right" w:pos="850"/>
          <w:tab w:val="right" w:leader="dot" w:pos="8929"/>
          <w:tab w:val="right" w:pos="9638"/>
        </w:tabs>
        <w:spacing w:after="120"/>
        <w:ind w:left="1134" w:hanging="1134"/>
      </w:pPr>
      <w:r w:rsidRPr="003B5EA4">
        <w:tab/>
        <w:t>II.</w:t>
      </w:r>
      <w:r w:rsidRPr="003B5EA4">
        <w:tab/>
      </w:r>
      <w:r w:rsidR="000204DF" w:rsidRPr="003B5EA4">
        <w:rPr>
          <w:lang w:eastAsia="zh-CN"/>
        </w:rPr>
        <w:t>Catégories de voyages applicables aux organismes des Nations Unies</w:t>
      </w:r>
      <w:r w:rsidRPr="003B5EA4">
        <w:tab/>
      </w:r>
      <w:r w:rsidRPr="003B5EA4">
        <w:tab/>
      </w:r>
      <w:r w:rsidR="00644047">
        <w:t>73</w:t>
      </w:r>
    </w:p>
    <w:p w:rsidR="005F7632" w:rsidRPr="003B5EA4" w:rsidRDefault="005F7632" w:rsidP="005F7632">
      <w:pPr>
        <w:tabs>
          <w:tab w:val="right" w:pos="850"/>
          <w:tab w:val="right" w:leader="dot" w:pos="8929"/>
          <w:tab w:val="right" w:pos="9638"/>
        </w:tabs>
        <w:spacing w:after="120"/>
        <w:ind w:left="1134" w:hanging="1134"/>
      </w:pPr>
      <w:r w:rsidRPr="003B5EA4">
        <w:tab/>
        <w:t>III.</w:t>
      </w:r>
      <w:r w:rsidRPr="003B5EA4">
        <w:tab/>
      </w:r>
      <w:r w:rsidR="000204DF" w:rsidRPr="003B5EA4">
        <w:t>Conditions de voyage en avion appliquées aux fonctionnaires de haut rang par l</w:t>
      </w:r>
      <w:r w:rsidR="00762E0A">
        <w:t>’</w:t>
      </w:r>
      <w:r w:rsidR="000204DF" w:rsidRPr="003B5EA4">
        <w:t xml:space="preserve">ONU, les fonds </w:t>
      </w:r>
      <w:r w:rsidR="000204DF" w:rsidRPr="003B5EA4">
        <w:br/>
        <w:t>et programmes, les institutions spécialisées et l</w:t>
      </w:r>
      <w:r w:rsidR="00762E0A">
        <w:t>’</w:t>
      </w:r>
      <w:r w:rsidR="000204DF" w:rsidRPr="003B5EA4">
        <w:t>Agence internationale de l</w:t>
      </w:r>
      <w:r w:rsidR="00762E0A">
        <w:t>’</w:t>
      </w:r>
      <w:r w:rsidR="000204DF" w:rsidRPr="003B5EA4">
        <w:t>énergie atomique</w:t>
      </w:r>
      <w:r w:rsidRPr="003B5EA4">
        <w:tab/>
      </w:r>
      <w:r w:rsidRPr="003B5EA4">
        <w:tab/>
      </w:r>
      <w:r w:rsidR="00644047">
        <w:t>74</w:t>
      </w:r>
    </w:p>
    <w:p w:rsidR="005F7632" w:rsidRPr="003B5EA4" w:rsidRDefault="005F7632" w:rsidP="005F7632">
      <w:pPr>
        <w:tabs>
          <w:tab w:val="right" w:pos="850"/>
          <w:tab w:val="right" w:leader="dot" w:pos="8929"/>
          <w:tab w:val="right" w:pos="9638"/>
        </w:tabs>
        <w:spacing w:after="120"/>
        <w:ind w:left="1134" w:hanging="1134"/>
      </w:pPr>
      <w:r w:rsidRPr="003B5EA4">
        <w:tab/>
        <w:t>IV.</w:t>
      </w:r>
      <w:r w:rsidRPr="003B5EA4">
        <w:tab/>
      </w:r>
      <w:r w:rsidR="00B2674F" w:rsidRPr="003B5EA4">
        <w:t xml:space="preserve">Conditions de voyage en avion appliquées à tous les autres fonctionnaires </w:t>
      </w:r>
      <w:r w:rsidR="00B2674F" w:rsidRPr="003B5EA4">
        <w:rPr>
          <w:bCs/>
          <w:color w:val="000000"/>
        </w:rPr>
        <w:t xml:space="preserve">(de rang D-2 ou </w:t>
      </w:r>
      <w:r w:rsidR="00B2674F">
        <w:rPr>
          <w:bCs/>
          <w:color w:val="000000"/>
        </w:rPr>
        <w:br/>
      </w:r>
      <w:r w:rsidR="00B2674F" w:rsidRPr="003B5EA4">
        <w:rPr>
          <w:bCs/>
          <w:color w:val="000000"/>
        </w:rPr>
        <w:t>inférieur)</w:t>
      </w:r>
      <w:r w:rsidR="00B2674F" w:rsidRPr="003B5EA4">
        <w:rPr>
          <w:b/>
          <w:bCs/>
          <w:i/>
          <w:color w:val="000000"/>
          <w:sz w:val="18"/>
          <w:szCs w:val="18"/>
          <w:vertAlign w:val="superscript"/>
        </w:rPr>
        <w:t>a</w:t>
      </w:r>
      <w:r w:rsidR="00B2674F" w:rsidRPr="003B5EA4">
        <w:rPr>
          <w:bCs/>
          <w:color w:val="000000"/>
        </w:rPr>
        <w:t xml:space="preserve"> </w:t>
      </w:r>
      <w:r w:rsidR="00B2674F" w:rsidRPr="003B5EA4">
        <w:t>par l</w:t>
      </w:r>
      <w:r w:rsidR="00762E0A">
        <w:t>’</w:t>
      </w:r>
      <w:r w:rsidR="00B2674F" w:rsidRPr="003B5EA4">
        <w:t>ONU, les fonds et programmes, les institutions spécialisées et l</w:t>
      </w:r>
      <w:r w:rsidR="00762E0A">
        <w:t>’</w:t>
      </w:r>
      <w:r w:rsidR="00B2674F" w:rsidRPr="003B5EA4">
        <w:t xml:space="preserve">Agence </w:t>
      </w:r>
      <w:r w:rsidR="00B2674F">
        <w:br/>
      </w:r>
      <w:r w:rsidR="00B2674F" w:rsidRPr="003B5EA4">
        <w:t>internationale de l</w:t>
      </w:r>
      <w:r w:rsidR="00762E0A">
        <w:t>’</w:t>
      </w:r>
      <w:r w:rsidR="00B2674F" w:rsidRPr="003B5EA4">
        <w:t>énergie atomique</w:t>
      </w:r>
      <w:r w:rsidRPr="003B5EA4">
        <w:tab/>
      </w:r>
      <w:r w:rsidRPr="003B5EA4">
        <w:tab/>
      </w:r>
      <w:r w:rsidR="00644047">
        <w:t>77</w:t>
      </w:r>
    </w:p>
    <w:p w:rsidR="005F7632" w:rsidRPr="003B5EA4" w:rsidRDefault="005F7632" w:rsidP="005F7632">
      <w:pPr>
        <w:tabs>
          <w:tab w:val="right" w:pos="850"/>
          <w:tab w:val="right" w:leader="dot" w:pos="8929"/>
          <w:tab w:val="right" w:pos="9638"/>
        </w:tabs>
        <w:spacing w:after="120"/>
        <w:ind w:left="1134" w:hanging="1134"/>
      </w:pPr>
      <w:r w:rsidRPr="003B5EA4">
        <w:tab/>
        <w:t>V.</w:t>
      </w:r>
      <w:r w:rsidRPr="003B5EA4">
        <w:tab/>
      </w:r>
      <w:r w:rsidR="00B2674F" w:rsidRPr="003B5EA4">
        <w:rPr>
          <w:lang w:eastAsia="zh-CN"/>
        </w:rPr>
        <w:t>Conditions de voyage en avion appliquées aux non-fonctionnaires</w:t>
      </w:r>
      <w:r w:rsidRPr="003B5EA4">
        <w:tab/>
      </w:r>
      <w:r w:rsidRPr="003B5EA4">
        <w:tab/>
      </w:r>
      <w:r w:rsidR="00644047">
        <w:t>80</w:t>
      </w:r>
    </w:p>
    <w:p w:rsidR="005F7632" w:rsidRPr="003B5EA4" w:rsidRDefault="005F7632" w:rsidP="005F7632">
      <w:pPr>
        <w:tabs>
          <w:tab w:val="right" w:pos="850"/>
          <w:tab w:val="right" w:leader="dot" w:pos="8929"/>
          <w:tab w:val="right" w:pos="9638"/>
        </w:tabs>
        <w:spacing w:after="120"/>
        <w:ind w:left="1134" w:hanging="1134"/>
      </w:pPr>
      <w:r w:rsidRPr="003B5EA4">
        <w:tab/>
        <w:t>VI.</w:t>
      </w:r>
      <w:r w:rsidRPr="003B5EA4">
        <w:tab/>
      </w:r>
      <w:r w:rsidR="00B2674F" w:rsidRPr="003B5EA4">
        <w:t>Exemples de mesures prises par les organismes participants du Corps commun d</w:t>
      </w:r>
      <w:r w:rsidR="00762E0A">
        <w:t>’</w:t>
      </w:r>
      <w:r w:rsidR="00B2674F" w:rsidRPr="003B5EA4">
        <w:t xml:space="preserve">inspection </w:t>
      </w:r>
      <w:r w:rsidR="00B2674F" w:rsidRPr="003B5EA4">
        <w:br/>
        <w:t>pour réformer leurs politiques en matière de voyages</w:t>
      </w:r>
      <w:r w:rsidRPr="003B5EA4">
        <w:tab/>
      </w:r>
      <w:r w:rsidRPr="003B5EA4">
        <w:tab/>
      </w:r>
      <w:r w:rsidR="00644047">
        <w:t>83</w:t>
      </w:r>
    </w:p>
    <w:p w:rsidR="005F7632" w:rsidRPr="003B5EA4" w:rsidRDefault="005F7632" w:rsidP="0070098E">
      <w:pPr>
        <w:keepNext/>
        <w:tabs>
          <w:tab w:val="right" w:pos="850"/>
          <w:tab w:val="right" w:leader="dot" w:pos="8929"/>
          <w:tab w:val="right" w:pos="9638"/>
        </w:tabs>
        <w:spacing w:after="120"/>
        <w:ind w:left="1134" w:hanging="1134"/>
      </w:pPr>
      <w:r w:rsidRPr="003B5EA4">
        <w:lastRenderedPageBreak/>
        <w:tab/>
        <w:t>VII.</w:t>
      </w:r>
      <w:r w:rsidRPr="003B5EA4">
        <w:tab/>
      </w:r>
      <w:r w:rsidR="00786177" w:rsidRPr="003B5EA4">
        <w:t>Indicateurs clefs de performance</w:t>
      </w:r>
      <w:r w:rsidRPr="003B5EA4">
        <w:tab/>
      </w:r>
      <w:r w:rsidRPr="003B5EA4">
        <w:tab/>
      </w:r>
      <w:r w:rsidR="00744E33">
        <w:t>86</w:t>
      </w:r>
    </w:p>
    <w:p w:rsidR="005F7632" w:rsidRPr="003B5EA4" w:rsidRDefault="005F7632" w:rsidP="0070098E">
      <w:pPr>
        <w:keepNext/>
        <w:tabs>
          <w:tab w:val="right" w:pos="850"/>
          <w:tab w:val="right" w:leader="dot" w:pos="8929"/>
          <w:tab w:val="right" w:pos="9638"/>
        </w:tabs>
        <w:spacing w:after="120"/>
        <w:ind w:left="1134" w:hanging="1134"/>
      </w:pPr>
      <w:r w:rsidRPr="003B5EA4">
        <w:tab/>
        <w:t>VIII.</w:t>
      </w:r>
      <w:r w:rsidRPr="003B5EA4">
        <w:tab/>
      </w:r>
      <w:r w:rsidR="00786177" w:rsidRPr="003B5EA4">
        <w:t>Politiques relatives à la réservation et à l</w:t>
      </w:r>
      <w:r w:rsidR="00762E0A">
        <w:t>’</w:t>
      </w:r>
      <w:r w:rsidR="00786177" w:rsidRPr="003B5EA4">
        <w:t>achat anticipés des billets d</w:t>
      </w:r>
      <w:r w:rsidR="00762E0A">
        <w:t>’</w:t>
      </w:r>
      <w:r w:rsidR="00786177" w:rsidRPr="003B5EA4">
        <w:t>avion</w:t>
      </w:r>
      <w:r w:rsidRPr="003B5EA4">
        <w:tab/>
      </w:r>
      <w:r w:rsidRPr="003B5EA4">
        <w:tab/>
      </w:r>
      <w:r w:rsidR="00744E33">
        <w:t>87</w:t>
      </w:r>
    </w:p>
    <w:p w:rsidR="005F7632" w:rsidRPr="003B5EA4" w:rsidRDefault="005F7632" w:rsidP="005F7632">
      <w:pPr>
        <w:tabs>
          <w:tab w:val="right" w:pos="850"/>
          <w:tab w:val="right" w:leader="dot" w:pos="8929"/>
          <w:tab w:val="right" w:pos="9638"/>
        </w:tabs>
        <w:spacing w:after="120"/>
        <w:ind w:left="1134" w:hanging="1134"/>
      </w:pPr>
      <w:r w:rsidRPr="003B5EA4">
        <w:tab/>
        <w:t>IX.</w:t>
      </w:r>
      <w:r w:rsidRPr="003B5EA4">
        <w:tab/>
      </w:r>
      <w:r w:rsidR="00786177" w:rsidRPr="003B5EA4">
        <w:t>Économies réalisées par l</w:t>
      </w:r>
      <w:r w:rsidR="00762E0A">
        <w:t>’</w:t>
      </w:r>
      <w:r w:rsidR="00786177" w:rsidRPr="003B5EA4">
        <w:t>achat des billets d</w:t>
      </w:r>
      <w:r w:rsidR="00762E0A">
        <w:t>’</w:t>
      </w:r>
      <w:r w:rsidR="00786177" w:rsidRPr="003B5EA4">
        <w:t>avion un ou deux mois à l</w:t>
      </w:r>
      <w:r w:rsidR="00762E0A">
        <w:t>’</w:t>
      </w:r>
      <w:r w:rsidR="00786177" w:rsidRPr="003B5EA4">
        <w:t xml:space="preserve">avance au lieu </w:t>
      </w:r>
      <w:r w:rsidR="00786177">
        <w:br/>
      </w:r>
      <w:r w:rsidR="00786177" w:rsidRPr="003B5EA4">
        <w:t>de cinq jours avant le voyage (par itinéraire, en pourcentage)</w:t>
      </w:r>
      <w:r w:rsidRPr="003B5EA4">
        <w:tab/>
      </w:r>
      <w:r w:rsidRPr="003B5EA4">
        <w:tab/>
      </w:r>
      <w:r w:rsidR="00744E33">
        <w:t>90</w:t>
      </w:r>
    </w:p>
    <w:p w:rsidR="005F7632" w:rsidRPr="003B5EA4" w:rsidRDefault="005F7632" w:rsidP="005F7632">
      <w:pPr>
        <w:tabs>
          <w:tab w:val="right" w:pos="850"/>
          <w:tab w:val="right" w:leader="dot" w:pos="8929"/>
          <w:tab w:val="right" w:pos="9638"/>
        </w:tabs>
        <w:spacing w:after="120"/>
        <w:ind w:left="1134" w:hanging="1134"/>
      </w:pPr>
      <w:r w:rsidRPr="003B5EA4">
        <w:tab/>
        <w:t>X.</w:t>
      </w:r>
      <w:r w:rsidRPr="003B5EA4">
        <w:tab/>
      </w:r>
      <w:r w:rsidR="005A62CC" w:rsidRPr="003B5EA4">
        <w:t>Adoption et pourcentage d</w:t>
      </w:r>
      <w:r w:rsidR="00762E0A">
        <w:t>’</w:t>
      </w:r>
      <w:r w:rsidR="005A62CC" w:rsidRPr="003B5EA4">
        <w:t>utilisation de l</w:t>
      </w:r>
      <w:r w:rsidR="00762E0A">
        <w:t>’</w:t>
      </w:r>
      <w:r w:rsidR="005A62CC" w:rsidRPr="003B5EA4">
        <w:t>option de la somme forfaitaire</w:t>
      </w:r>
      <w:r w:rsidRPr="003B5EA4">
        <w:tab/>
      </w:r>
      <w:r w:rsidRPr="003B5EA4">
        <w:tab/>
      </w:r>
      <w:r w:rsidR="00744E33">
        <w:t>91</w:t>
      </w:r>
    </w:p>
    <w:p w:rsidR="008536FA" w:rsidRPr="003B5EA4" w:rsidRDefault="008536FA" w:rsidP="008536FA">
      <w:pPr>
        <w:tabs>
          <w:tab w:val="right" w:pos="850"/>
          <w:tab w:val="right" w:leader="dot" w:pos="8929"/>
          <w:tab w:val="right" w:pos="9638"/>
        </w:tabs>
        <w:spacing w:after="120"/>
        <w:ind w:left="1134" w:hanging="1134"/>
      </w:pPr>
      <w:r w:rsidRPr="003B5EA4">
        <w:tab/>
        <w:t>XI.</w:t>
      </w:r>
      <w:r w:rsidRPr="003B5EA4">
        <w:tab/>
      </w:r>
      <w:r w:rsidR="005A62CC" w:rsidRPr="003B5EA4">
        <w:t>Avances sur les indemnités journalières de subsistance et les faux frais au départ et à l</w:t>
      </w:r>
      <w:r w:rsidR="00762E0A">
        <w:t>’</w:t>
      </w:r>
      <w:r w:rsidR="005A62CC" w:rsidRPr="003B5EA4">
        <w:t>arrivée</w:t>
      </w:r>
      <w:r w:rsidRPr="003B5EA4">
        <w:tab/>
      </w:r>
      <w:r w:rsidRPr="003B5EA4">
        <w:tab/>
      </w:r>
      <w:r w:rsidR="00744E33">
        <w:t>93</w:t>
      </w:r>
    </w:p>
    <w:p w:rsidR="008536FA" w:rsidRPr="003B5EA4" w:rsidRDefault="008536FA" w:rsidP="008536FA">
      <w:pPr>
        <w:tabs>
          <w:tab w:val="right" w:pos="850"/>
          <w:tab w:val="right" w:leader="dot" w:pos="8929"/>
          <w:tab w:val="right" w:pos="9638"/>
        </w:tabs>
        <w:spacing w:after="120"/>
        <w:ind w:left="1134" w:hanging="1134"/>
      </w:pPr>
      <w:r w:rsidRPr="003B5EA4">
        <w:tab/>
        <w:t>XII.</w:t>
      </w:r>
      <w:r w:rsidRPr="003B5EA4">
        <w:tab/>
      </w:r>
      <w:r w:rsidR="005A62CC" w:rsidRPr="003B5EA4">
        <w:t>Escales et périodes de repos</w:t>
      </w:r>
      <w:r w:rsidRPr="003B5EA4">
        <w:tab/>
      </w:r>
      <w:r w:rsidRPr="003B5EA4">
        <w:tab/>
      </w:r>
      <w:r w:rsidR="00744E33">
        <w:t>96</w:t>
      </w:r>
    </w:p>
    <w:p w:rsidR="00D247D0" w:rsidRPr="003B5EA4" w:rsidRDefault="008536FA" w:rsidP="008536FA">
      <w:pPr>
        <w:tabs>
          <w:tab w:val="right" w:pos="850"/>
          <w:tab w:val="right" w:leader="dot" w:pos="8929"/>
          <w:tab w:val="right" w:pos="9638"/>
        </w:tabs>
        <w:spacing w:after="120"/>
        <w:ind w:left="1134" w:hanging="1134"/>
      </w:pPr>
      <w:r w:rsidRPr="003B5EA4">
        <w:tab/>
        <w:t>XIII.</w:t>
      </w:r>
      <w:r w:rsidRPr="003B5EA4">
        <w:tab/>
      </w:r>
      <w:r w:rsidR="002A06EE" w:rsidRPr="003B5EA4">
        <w:t>Vue d</w:t>
      </w:r>
      <w:r w:rsidR="00762E0A">
        <w:t>’</w:t>
      </w:r>
      <w:r w:rsidR="002A06EE" w:rsidRPr="003B5EA4">
        <w:t xml:space="preserve">ensemble des mesures que les organismes participants sont appelés à prendre </w:t>
      </w:r>
      <w:r w:rsidR="002A06EE">
        <w:br/>
      </w:r>
      <w:r w:rsidR="002A06EE" w:rsidRPr="003B5EA4">
        <w:t>pour donner suite aux recommandations du Corps commun d</w:t>
      </w:r>
      <w:r w:rsidR="00762E0A">
        <w:t>’</w:t>
      </w:r>
      <w:r w:rsidR="002A06EE" w:rsidRPr="003B5EA4">
        <w:t>inspection</w:t>
      </w:r>
      <w:r w:rsidRPr="003B5EA4">
        <w:tab/>
      </w:r>
      <w:r w:rsidRPr="003B5EA4">
        <w:tab/>
      </w:r>
      <w:r w:rsidR="00744E33">
        <w:t>99</w:t>
      </w:r>
    </w:p>
    <w:p w:rsidR="00D247D0" w:rsidRPr="003B5EA4" w:rsidRDefault="00D247D0" w:rsidP="00D247D0">
      <w:pPr>
        <w:pStyle w:val="HChG"/>
      </w:pPr>
      <w:r w:rsidRPr="003B5EA4">
        <w:br w:type="page"/>
      </w:r>
      <w:r w:rsidRPr="003B5EA4">
        <w:lastRenderedPageBreak/>
        <w:tab/>
      </w:r>
      <w:r w:rsidRPr="003B5EA4">
        <w:tab/>
        <w:t>Abréviations</w:t>
      </w:r>
    </w:p>
    <w:tbl>
      <w:tblPr>
        <w:tblW w:w="7370" w:type="dxa"/>
        <w:tblInd w:w="1134" w:type="dxa"/>
        <w:tblLayout w:type="fixed"/>
        <w:tblCellMar>
          <w:left w:w="0" w:type="dxa"/>
          <w:right w:w="0" w:type="dxa"/>
        </w:tblCellMar>
        <w:tblLook w:val="01E0" w:firstRow="1" w:lastRow="1" w:firstColumn="1" w:lastColumn="1" w:noHBand="0" w:noVBand="0"/>
      </w:tblPr>
      <w:tblGrid>
        <w:gridCol w:w="1330"/>
        <w:gridCol w:w="6040"/>
      </w:tblGrid>
      <w:tr w:rsidR="00D247D0" w:rsidRPr="003B5EA4" w:rsidTr="00E447E1">
        <w:tc>
          <w:tcPr>
            <w:tcW w:w="1330" w:type="dxa"/>
            <w:shd w:val="clear" w:color="auto" w:fill="auto"/>
          </w:tcPr>
          <w:p w:rsidR="00D247D0" w:rsidRPr="003B5EA4" w:rsidRDefault="00D247D0" w:rsidP="00E447E1">
            <w:pPr>
              <w:spacing w:before="40" w:after="120"/>
              <w:ind w:right="113"/>
              <w:rPr>
                <w:iCs/>
                <w:szCs w:val="24"/>
              </w:rPr>
            </w:pPr>
            <w:r w:rsidRPr="003B5EA4">
              <w:rPr>
                <w:iCs/>
                <w:szCs w:val="24"/>
              </w:rPr>
              <w:t>AIEA</w:t>
            </w:r>
          </w:p>
        </w:tc>
        <w:tc>
          <w:tcPr>
            <w:tcW w:w="6040" w:type="dxa"/>
            <w:shd w:val="clear" w:color="auto" w:fill="auto"/>
          </w:tcPr>
          <w:p w:rsidR="00D247D0" w:rsidRPr="003B5EA4" w:rsidRDefault="00D247D0" w:rsidP="00E447E1">
            <w:pPr>
              <w:spacing w:before="40" w:after="120"/>
              <w:ind w:right="113"/>
              <w:rPr>
                <w:iCs/>
                <w:szCs w:val="24"/>
              </w:rPr>
            </w:pPr>
            <w:r w:rsidRPr="003B5EA4">
              <w:rPr>
                <w:iCs/>
                <w:szCs w:val="24"/>
              </w:rPr>
              <w:t>Agence internationale de l</w:t>
            </w:r>
            <w:r w:rsidR="00762E0A">
              <w:rPr>
                <w:iCs/>
                <w:szCs w:val="24"/>
              </w:rPr>
              <w:t>’</w:t>
            </w:r>
            <w:r w:rsidRPr="003B5EA4">
              <w:rPr>
                <w:iCs/>
                <w:szCs w:val="24"/>
              </w:rPr>
              <w:t>énergie atomique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BID</w:t>
            </w:r>
          </w:p>
        </w:tc>
        <w:tc>
          <w:tcPr>
            <w:tcW w:w="6040" w:type="dxa"/>
            <w:shd w:val="clear" w:color="auto" w:fill="auto"/>
          </w:tcPr>
          <w:p w:rsidR="00D247D0" w:rsidRPr="003B5EA4" w:rsidRDefault="00D247D0" w:rsidP="00E447E1">
            <w:pPr>
              <w:spacing w:before="40" w:after="120"/>
              <w:ind w:right="113"/>
            </w:pPr>
            <w:r w:rsidRPr="003B5EA4">
              <w:t>Banque interaméricaine de développement</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BSCI</w:t>
            </w:r>
          </w:p>
        </w:tc>
        <w:tc>
          <w:tcPr>
            <w:tcW w:w="6040" w:type="dxa"/>
            <w:shd w:val="clear" w:color="auto" w:fill="auto"/>
          </w:tcPr>
          <w:p w:rsidR="00D247D0" w:rsidRPr="003B5EA4" w:rsidRDefault="00D247D0" w:rsidP="00E447E1">
            <w:pPr>
              <w:spacing w:before="40" w:after="120"/>
              <w:ind w:right="113"/>
            </w:pPr>
            <w:r w:rsidRPr="003B5EA4">
              <w:t>Bureau des services de contrôle interne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CCI</w:t>
            </w:r>
          </w:p>
        </w:tc>
        <w:tc>
          <w:tcPr>
            <w:tcW w:w="6040" w:type="dxa"/>
            <w:shd w:val="clear" w:color="auto" w:fill="auto"/>
          </w:tcPr>
          <w:p w:rsidR="00D247D0" w:rsidRPr="003B5EA4" w:rsidRDefault="00D247D0" w:rsidP="00E447E1">
            <w:pPr>
              <w:spacing w:before="40" w:after="120"/>
              <w:ind w:right="113"/>
            </w:pPr>
            <w:r w:rsidRPr="003B5EA4">
              <w:t>Corps commun d</w:t>
            </w:r>
            <w:r w:rsidR="00762E0A">
              <w:t>’</w:t>
            </w:r>
            <w:r w:rsidRPr="003B5EA4">
              <w:t>inspection</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CCI*</w:t>
            </w:r>
          </w:p>
        </w:tc>
        <w:tc>
          <w:tcPr>
            <w:tcW w:w="6040" w:type="dxa"/>
            <w:shd w:val="clear" w:color="auto" w:fill="auto"/>
          </w:tcPr>
          <w:p w:rsidR="00D247D0" w:rsidRPr="003B5EA4" w:rsidRDefault="00D247D0" w:rsidP="00E447E1">
            <w:pPr>
              <w:spacing w:before="40" w:after="120"/>
              <w:ind w:right="113"/>
            </w:pPr>
            <w:r w:rsidRPr="003B5EA4">
              <w:t>Centre du commerce international</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CCS</w:t>
            </w:r>
          </w:p>
        </w:tc>
        <w:tc>
          <w:tcPr>
            <w:tcW w:w="6040" w:type="dxa"/>
            <w:shd w:val="clear" w:color="auto" w:fill="auto"/>
          </w:tcPr>
          <w:p w:rsidR="00D247D0" w:rsidRPr="003B5EA4" w:rsidRDefault="00D247D0" w:rsidP="00E447E1">
            <w:pPr>
              <w:spacing w:before="40" w:after="120"/>
              <w:ind w:right="113"/>
            </w:pPr>
            <w:r w:rsidRPr="003B5EA4">
              <w:t xml:space="preserve">Conseil des chefs de secrétariat des organismes des Nations Unies </w:t>
            </w:r>
            <w:r w:rsidRPr="003B5EA4">
              <w:br/>
              <w:t>pour la coordination</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CEA</w:t>
            </w:r>
          </w:p>
        </w:tc>
        <w:tc>
          <w:tcPr>
            <w:tcW w:w="6040" w:type="dxa"/>
            <w:shd w:val="clear" w:color="auto" w:fill="auto"/>
          </w:tcPr>
          <w:p w:rsidR="00D247D0" w:rsidRPr="003B5EA4" w:rsidRDefault="00D247D0" w:rsidP="00E447E1">
            <w:pPr>
              <w:spacing w:before="40" w:after="120"/>
              <w:ind w:right="113"/>
            </w:pPr>
            <w:r w:rsidRPr="003B5EA4">
              <w:t>Commission économique pour l</w:t>
            </w:r>
            <w:r w:rsidR="00762E0A">
              <w:t>’</w:t>
            </w:r>
            <w:r w:rsidRPr="003B5EA4">
              <w:t>Afrique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CEE</w:t>
            </w:r>
          </w:p>
        </w:tc>
        <w:tc>
          <w:tcPr>
            <w:tcW w:w="6040" w:type="dxa"/>
            <w:shd w:val="clear" w:color="auto" w:fill="auto"/>
          </w:tcPr>
          <w:p w:rsidR="00D247D0" w:rsidRPr="003B5EA4" w:rsidRDefault="00D247D0" w:rsidP="00E447E1">
            <w:pPr>
              <w:spacing w:before="40" w:after="120"/>
              <w:ind w:right="113"/>
            </w:pPr>
            <w:r w:rsidRPr="003B5EA4">
              <w:rPr>
                <w:bCs/>
              </w:rPr>
              <w:t>Commission économique pour l</w:t>
            </w:r>
            <w:r w:rsidR="00762E0A">
              <w:rPr>
                <w:bCs/>
              </w:rPr>
              <w:t>’</w:t>
            </w:r>
            <w:r w:rsidRPr="003B5EA4">
              <w:rPr>
                <w:bCs/>
              </w:rPr>
              <w:t>Europe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CEPALC</w:t>
            </w:r>
          </w:p>
        </w:tc>
        <w:tc>
          <w:tcPr>
            <w:tcW w:w="6040" w:type="dxa"/>
            <w:shd w:val="clear" w:color="auto" w:fill="auto"/>
          </w:tcPr>
          <w:p w:rsidR="00D247D0" w:rsidRPr="003B5EA4" w:rsidRDefault="00D247D0" w:rsidP="00E447E1">
            <w:pPr>
              <w:spacing w:before="40" w:after="120"/>
              <w:ind w:right="113"/>
            </w:pPr>
            <w:r w:rsidRPr="003B5EA4">
              <w:t>Commission économique pour l</w:t>
            </w:r>
            <w:r w:rsidR="00762E0A">
              <w:t>’</w:t>
            </w:r>
            <w:r w:rsidRPr="003B5EA4">
              <w:t>Amérique latine et les Caraïbes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CESAO</w:t>
            </w:r>
          </w:p>
        </w:tc>
        <w:tc>
          <w:tcPr>
            <w:tcW w:w="6040" w:type="dxa"/>
            <w:shd w:val="clear" w:color="auto" w:fill="auto"/>
          </w:tcPr>
          <w:p w:rsidR="00D247D0" w:rsidRPr="003B5EA4" w:rsidRDefault="00D247D0" w:rsidP="00E447E1">
            <w:pPr>
              <w:spacing w:before="40" w:after="120"/>
              <w:ind w:right="113"/>
            </w:pPr>
            <w:r w:rsidRPr="003B5EA4">
              <w:t>Commission économique et sociale pour l</w:t>
            </w:r>
            <w:r w:rsidR="00762E0A">
              <w:t>’</w:t>
            </w:r>
            <w:r w:rsidRPr="003B5EA4">
              <w:t>Asie occidentale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CESAP</w:t>
            </w:r>
          </w:p>
        </w:tc>
        <w:tc>
          <w:tcPr>
            <w:tcW w:w="6040" w:type="dxa"/>
            <w:shd w:val="clear" w:color="auto" w:fill="auto"/>
          </w:tcPr>
          <w:p w:rsidR="00D247D0" w:rsidRPr="003B5EA4" w:rsidRDefault="00D247D0" w:rsidP="00E447E1">
            <w:pPr>
              <w:spacing w:before="40" w:after="120"/>
              <w:ind w:right="113"/>
            </w:pPr>
            <w:r w:rsidRPr="003B5EA4">
              <w:t>Commission économique et sociale pour l</w:t>
            </w:r>
            <w:r w:rsidR="00762E0A">
              <w:t>’</w:t>
            </w:r>
            <w:r w:rsidRPr="003B5EA4">
              <w:t>Asie et le Pacifique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CFPI</w:t>
            </w:r>
          </w:p>
        </w:tc>
        <w:tc>
          <w:tcPr>
            <w:tcW w:w="6040" w:type="dxa"/>
            <w:shd w:val="clear" w:color="auto" w:fill="auto"/>
          </w:tcPr>
          <w:p w:rsidR="00D247D0" w:rsidRPr="003B5EA4" w:rsidRDefault="00D247D0" w:rsidP="00E447E1">
            <w:pPr>
              <w:spacing w:before="40" w:after="120"/>
              <w:ind w:right="113"/>
            </w:pPr>
            <w:r w:rsidRPr="003B5EA4">
              <w:t>Commission de la fonction publique internationale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CNUCED</w:t>
            </w:r>
          </w:p>
        </w:tc>
        <w:tc>
          <w:tcPr>
            <w:tcW w:w="6040" w:type="dxa"/>
            <w:shd w:val="clear" w:color="auto" w:fill="auto"/>
          </w:tcPr>
          <w:p w:rsidR="00D247D0" w:rsidRPr="003B5EA4" w:rsidRDefault="00D247D0" w:rsidP="00E447E1">
            <w:pPr>
              <w:spacing w:before="40" w:after="120"/>
              <w:ind w:right="113"/>
            </w:pPr>
            <w:r w:rsidRPr="003B5EA4">
              <w:t>Conférence des Nations Unies sur le commerce et le développement</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FAO</w:t>
            </w:r>
          </w:p>
        </w:tc>
        <w:tc>
          <w:tcPr>
            <w:tcW w:w="6040" w:type="dxa"/>
            <w:shd w:val="clear" w:color="auto" w:fill="auto"/>
          </w:tcPr>
          <w:p w:rsidR="00D247D0" w:rsidRPr="003B5EA4" w:rsidRDefault="00D247D0" w:rsidP="00E447E1">
            <w:pPr>
              <w:spacing w:before="40" w:after="120"/>
              <w:ind w:right="113"/>
            </w:pPr>
            <w:r w:rsidRPr="003B5EA4">
              <w:t>Organisation des Nations Unies pour l</w:t>
            </w:r>
            <w:r w:rsidR="00762E0A">
              <w:t>’</w:t>
            </w:r>
            <w:r w:rsidRPr="003B5EA4">
              <w:t>alimentation et l</w:t>
            </w:r>
            <w:r w:rsidR="00762E0A">
              <w:t>’</w:t>
            </w:r>
            <w:r w:rsidRPr="003B5EA4">
              <w:t>agriculture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FENU</w:t>
            </w:r>
          </w:p>
        </w:tc>
        <w:tc>
          <w:tcPr>
            <w:tcW w:w="6040" w:type="dxa"/>
            <w:shd w:val="clear" w:color="auto" w:fill="auto"/>
          </w:tcPr>
          <w:p w:rsidR="00D247D0" w:rsidRPr="003B5EA4" w:rsidRDefault="00D247D0" w:rsidP="00E447E1">
            <w:pPr>
              <w:spacing w:before="40" w:after="120"/>
              <w:ind w:right="113"/>
            </w:pPr>
            <w:r w:rsidRPr="003B5EA4">
              <w:rPr>
                <w:bCs/>
              </w:rPr>
              <w:t>Fonds d</w:t>
            </w:r>
            <w:r w:rsidR="00762E0A">
              <w:rPr>
                <w:bCs/>
              </w:rPr>
              <w:t>’</w:t>
            </w:r>
            <w:r w:rsidRPr="003B5EA4">
              <w:rPr>
                <w:bCs/>
              </w:rPr>
              <w:t>équipement des Nations Unies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FIDA</w:t>
            </w:r>
          </w:p>
        </w:tc>
        <w:tc>
          <w:tcPr>
            <w:tcW w:w="6040" w:type="dxa"/>
            <w:shd w:val="clear" w:color="auto" w:fill="auto"/>
          </w:tcPr>
          <w:p w:rsidR="00D247D0" w:rsidRPr="003B5EA4" w:rsidRDefault="00D247D0" w:rsidP="00E447E1">
            <w:pPr>
              <w:spacing w:before="40" w:after="120"/>
              <w:ind w:right="113"/>
            </w:pPr>
            <w:r w:rsidRPr="003B5EA4">
              <w:rPr>
                <w:bCs/>
              </w:rPr>
              <w:t>Fonds international de développement agricole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FNUAP</w:t>
            </w:r>
          </w:p>
        </w:tc>
        <w:tc>
          <w:tcPr>
            <w:tcW w:w="6040" w:type="dxa"/>
            <w:shd w:val="clear" w:color="auto" w:fill="auto"/>
          </w:tcPr>
          <w:p w:rsidR="00D247D0" w:rsidRPr="003B5EA4" w:rsidRDefault="00D247D0" w:rsidP="00E447E1">
            <w:pPr>
              <w:spacing w:before="40" w:after="120"/>
              <w:ind w:right="113"/>
            </w:pPr>
            <w:r w:rsidRPr="003B5EA4">
              <w:t>Fonds des Nations Unies pour la population</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GAVI</w:t>
            </w:r>
          </w:p>
        </w:tc>
        <w:tc>
          <w:tcPr>
            <w:tcW w:w="6040" w:type="dxa"/>
            <w:shd w:val="clear" w:color="auto" w:fill="auto"/>
          </w:tcPr>
          <w:p w:rsidR="00D247D0" w:rsidRPr="003B5EA4" w:rsidRDefault="00D247D0" w:rsidP="00E447E1">
            <w:pPr>
              <w:spacing w:before="40" w:after="120"/>
              <w:ind w:right="113"/>
            </w:pPr>
            <w:r w:rsidRPr="003B5EA4">
              <w:t>Alliance mondiale pour les vaccins et la vaccination</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HCR</w:t>
            </w:r>
          </w:p>
        </w:tc>
        <w:tc>
          <w:tcPr>
            <w:tcW w:w="6040" w:type="dxa"/>
            <w:shd w:val="clear" w:color="auto" w:fill="auto"/>
          </w:tcPr>
          <w:p w:rsidR="00D247D0" w:rsidRPr="003B5EA4" w:rsidRDefault="00D247D0" w:rsidP="00E447E1">
            <w:pPr>
              <w:spacing w:before="40" w:after="120"/>
              <w:ind w:right="113"/>
            </w:pPr>
            <w:r w:rsidRPr="003B5EA4">
              <w:t>Haut-Commissariat pour les réfugiés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IATA</w:t>
            </w:r>
          </w:p>
        </w:tc>
        <w:tc>
          <w:tcPr>
            <w:tcW w:w="6040" w:type="dxa"/>
            <w:shd w:val="clear" w:color="auto" w:fill="auto"/>
          </w:tcPr>
          <w:p w:rsidR="00D247D0" w:rsidRPr="003B5EA4" w:rsidRDefault="00D247D0" w:rsidP="00E447E1">
            <w:pPr>
              <w:spacing w:before="40" w:after="120"/>
              <w:ind w:right="113"/>
            </w:pPr>
            <w:r w:rsidRPr="003B5EA4">
              <w:t>Association du transport aérien international</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OACI</w:t>
            </w:r>
          </w:p>
        </w:tc>
        <w:tc>
          <w:tcPr>
            <w:tcW w:w="6040" w:type="dxa"/>
            <w:shd w:val="clear" w:color="auto" w:fill="auto"/>
          </w:tcPr>
          <w:p w:rsidR="00D247D0" w:rsidRPr="003B5EA4" w:rsidRDefault="00D247D0" w:rsidP="00E447E1">
            <w:pPr>
              <w:spacing w:before="40" w:after="120"/>
              <w:ind w:right="113"/>
            </w:pPr>
            <w:r w:rsidRPr="003B5EA4">
              <w:t>Organisation de l</w:t>
            </w:r>
            <w:r w:rsidR="00762E0A">
              <w:t>’</w:t>
            </w:r>
            <w:r w:rsidRPr="003B5EA4">
              <w:t>aviation civile internationale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OCDE</w:t>
            </w:r>
          </w:p>
        </w:tc>
        <w:tc>
          <w:tcPr>
            <w:tcW w:w="6040" w:type="dxa"/>
            <w:shd w:val="clear" w:color="auto" w:fill="auto"/>
          </w:tcPr>
          <w:p w:rsidR="00D247D0" w:rsidRPr="003B5EA4" w:rsidRDefault="00D247D0" w:rsidP="00E447E1">
            <w:pPr>
              <w:spacing w:before="40" w:after="120"/>
              <w:ind w:right="113"/>
            </w:pPr>
            <w:r w:rsidRPr="003B5EA4">
              <w:t>Organisation de coopération et de développement économiques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OIM</w:t>
            </w:r>
          </w:p>
        </w:tc>
        <w:tc>
          <w:tcPr>
            <w:tcW w:w="6040" w:type="dxa"/>
            <w:shd w:val="clear" w:color="auto" w:fill="auto"/>
          </w:tcPr>
          <w:p w:rsidR="00D247D0" w:rsidRPr="003B5EA4" w:rsidRDefault="00D247D0" w:rsidP="00E447E1">
            <w:pPr>
              <w:spacing w:before="40" w:after="120"/>
              <w:ind w:right="113"/>
            </w:pPr>
            <w:r w:rsidRPr="003B5EA4">
              <w:t>Organisation internationale pour les migrations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OIT</w:t>
            </w:r>
          </w:p>
        </w:tc>
        <w:tc>
          <w:tcPr>
            <w:tcW w:w="6040" w:type="dxa"/>
            <w:shd w:val="clear" w:color="auto" w:fill="auto"/>
          </w:tcPr>
          <w:p w:rsidR="00D247D0" w:rsidRPr="003B5EA4" w:rsidRDefault="00D247D0" w:rsidP="00E447E1">
            <w:pPr>
              <w:spacing w:before="40" w:after="120"/>
              <w:ind w:right="113"/>
            </w:pPr>
            <w:r w:rsidRPr="003B5EA4">
              <w:t>Organisation internationale du Travail</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OMC</w:t>
            </w:r>
          </w:p>
        </w:tc>
        <w:tc>
          <w:tcPr>
            <w:tcW w:w="6040" w:type="dxa"/>
            <w:shd w:val="clear" w:color="auto" w:fill="auto"/>
          </w:tcPr>
          <w:p w:rsidR="00D247D0" w:rsidRPr="003B5EA4" w:rsidRDefault="00D247D0" w:rsidP="00E447E1">
            <w:pPr>
              <w:spacing w:before="40" w:after="120"/>
              <w:ind w:right="113"/>
            </w:pPr>
            <w:r w:rsidRPr="003B5EA4">
              <w:t>Organisation mondiale du commerce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OMI</w:t>
            </w:r>
          </w:p>
        </w:tc>
        <w:tc>
          <w:tcPr>
            <w:tcW w:w="6040" w:type="dxa"/>
            <w:shd w:val="clear" w:color="auto" w:fill="auto"/>
          </w:tcPr>
          <w:p w:rsidR="00D247D0" w:rsidRPr="003B5EA4" w:rsidRDefault="00D247D0" w:rsidP="00E447E1">
            <w:pPr>
              <w:spacing w:before="40" w:after="120"/>
              <w:ind w:right="113"/>
            </w:pPr>
            <w:r w:rsidRPr="003B5EA4">
              <w:t>Organisation maritime internationale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OMM</w:t>
            </w:r>
          </w:p>
        </w:tc>
        <w:tc>
          <w:tcPr>
            <w:tcW w:w="6040" w:type="dxa"/>
            <w:shd w:val="clear" w:color="auto" w:fill="auto"/>
          </w:tcPr>
          <w:p w:rsidR="00D247D0" w:rsidRPr="003B5EA4" w:rsidRDefault="00D247D0" w:rsidP="00E447E1">
            <w:pPr>
              <w:spacing w:before="40" w:after="120"/>
              <w:ind w:right="113"/>
            </w:pPr>
            <w:r w:rsidRPr="003B5EA4">
              <w:t>Organisation météorologique mondiale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OMPI</w:t>
            </w:r>
          </w:p>
        </w:tc>
        <w:tc>
          <w:tcPr>
            <w:tcW w:w="6040" w:type="dxa"/>
            <w:shd w:val="clear" w:color="auto" w:fill="auto"/>
          </w:tcPr>
          <w:p w:rsidR="00D247D0" w:rsidRPr="003B5EA4" w:rsidRDefault="00D247D0" w:rsidP="00E447E1">
            <w:pPr>
              <w:spacing w:before="40" w:after="120"/>
              <w:ind w:right="113"/>
            </w:pPr>
            <w:r w:rsidRPr="003B5EA4">
              <w:t>Organisation mondiale de la propriété intellectuelle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OMS</w:t>
            </w:r>
          </w:p>
        </w:tc>
        <w:tc>
          <w:tcPr>
            <w:tcW w:w="6040" w:type="dxa"/>
            <w:shd w:val="clear" w:color="auto" w:fill="auto"/>
          </w:tcPr>
          <w:p w:rsidR="00D247D0" w:rsidRPr="003B5EA4" w:rsidRDefault="00D247D0" w:rsidP="00E447E1">
            <w:pPr>
              <w:spacing w:before="40" w:after="120"/>
              <w:ind w:right="113"/>
            </w:pPr>
            <w:r w:rsidRPr="003B5EA4">
              <w:t>Organisation mondiale de la Santé</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OMT</w:t>
            </w:r>
          </w:p>
        </w:tc>
        <w:tc>
          <w:tcPr>
            <w:tcW w:w="6040" w:type="dxa"/>
            <w:shd w:val="clear" w:color="auto" w:fill="auto"/>
          </w:tcPr>
          <w:p w:rsidR="00D247D0" w:rsidRPr="003B5EA4" w:rsidRDefault="00D247D0" w:rsidP="00E447E1">
            <w:pPr>
              <w:spacing w:before="40" w:after="120"/>
              <w:ind w:right="113"/>
            </w:pPr>
            <w:r w:rsidRPr="003B5EA4">
              <w:t>Organisation mondiale du tourisme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w:t>
            </w:r>
          </w:p>
        </w:tc>
        <w:tc>
          <w:tcPr>
            <w:tcW w:w="6040" w:type="dxa"/>
            <w:shd w:val="clear" w:color="auto" w:fill="auto"/>
          </w:tcPr>
          <w:p w:rsidR="00D247D0" w:rsidRPr="003B5EA4" w:rsidRDefault="00D247D0" w:rsidP="00E447E1">
            <w:pPr>
              <w:spacing w:before="40" w:after="120"/>
              <w:ind w:right="113"/>
            </w:pPr>
            <w:r w:rsidRPr="003B5EA4">
              <w:rPr>
                <w:iCs/>
              </w:rPr>
              <w:t>Organisation des Nations Unies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ONU-Femmes</w:t>
            </w:r>
          </w:p>
        </w:tc>
        <w:tc>
          <w:tcPr>
            <w:tcW w:w="6040" w:type="dxa"/>
            <w:shd w:val="clear" w:color="auto" w:fill="auto"/>
          </w:tcPr>
          <w:p w:rsidR="00D247D0" w:rsidRPr="003B5EA4" w:rsidRDefault="00D247D0" w:rsidP="00E447E1">
            <w:pPr>
              <w:spacing w:before="40" w:after="120"/>
              <w:ind w:right="113"/>
            </w:pPr>
            <w:r w:rsidRPr="003B5EA4">
              <w:t>Entité des Nations Unies pour l</w:t>
            </w:r>
            <w:r w:rsidR="00762E0A">
              <w:t>’</w:t>
            </w:r>
            <w:r w:rsidRPr="003B5EA4">
              <w:t>égalité des sexes et l</w:t>
            </w:r>
            <w:r w:rsidR="00762E0A">
              <w:t>’</w:t>
            </w:r>
            <w:r w:rsidRPr="003B5EA4">
              <w:t xml:space="preserve">autonomisation des femmes </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lastRenderedPageBreak/>
              <w:t>ONU-Habitat</w:t>
            </w:r>
          </w:p>
        </w:tc>
        <w:tc>
          <w:tcPr>
            <w:tcW w:w="6040" w:type="dxa"/>
            <w:shd w:val="clear" w:color="auto" w:fill="auto"/>
          </w:tcPr>
          <w:p w:rsidR="00D247D0" w:rsidRPr="003B5EA4" w:rsidRDefault="00D247D0" w:rsidP="00E447E1">
            <w:pPr>
              <w:spacing w:before="40" w:after="120"/>
              <w:ind w:right="113"/>
            </w:pPr>
            <w:r w:rsidRPr="003B5EA4">
              <w:t>Programme des Nations Unies pour les établissements humains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ONUDC</w:t>
            </w:r>
          </w:p>
        </w:tc>
        <w:tc>
          <w:tcPr>
            <w:tcW w:w="6040" w:type="dxa"/>
            <w:shd w:val="clear" w:color="auto" w:fill="auto"/>
          </w:tcPr>
          <w:p w:rsidR="00D247D0" w:rsidRPr="003B5EA4" w:rsidRDefault="00D247D0" w:rsidP="00E447E1">
            <w:pPr>
              <w:spacing w:before="40" w:after="120"/>
              <w:ind w:right="113"/>
            </w:pPr>
            <w:r w:rsidRPr="003B5EA4">
              <w:t>Office des Nations Unies contre la drogue et le crime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ONUDI</w:t>
            </w:r>
          </w:p>
        </w:tc>
        <w:tc>
          <w:tcPr>
            <w:tcW w:w="6040" w:type="dxa"/>
            <w:shd w:val="clear" w:color="auto" w:fill="auto"/>
          </w:tcPr>
          <w:p w:rsidR="00D247D0" w:rsidRPr="003B5EA4" w:rsidRDefault="00D247D0" w:rsidP="00E447E1">
            <w:pPr>
              <w:spacing w:before="40" w:after="120"/>
              <w:ind w:right="113"/>
            </w:pPr>
            <w:r w:rsidRPr="003B5EA4">
              <w:t>Organisation des Nations Unies pour le développement industriel</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ONUG</w:t>
            </w:r>
          </w:p>
        </w:tc>
        <w:tc>
          <w:tcPr>
            <w:tcW w:w="6040" w:type="dxa"/>
            <w:shd w:val="clear" w:color="auto" w:fill="auto"/>
          </w:tcPr>
          <w:p w:rsidR="00D247D0" w:rsidRPr="003B5EA4" w:rsidRDefault="00D247D0" w:rsidP="00E447E1">
            <w:pPr>
              <w:spacing w:before="40" w:after="120"/>
              <w:ind w:right="113"/>
            </w:pPr>
            <w:r w:rsidRPr="003B5EA4">
              <w:t>Office des Nations Unies à Genève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ONUN</w:t>
            </w:r>
          </w:p>
        </w:tc>
        <w:tc>
          <w:tcPr>
            <w:tcW w:w="6040" w:type="dxa"/>
            <w:shd w:val="clear" w:color="auto" w:fill="auto"/>
          </w:tcPr>
          <w:p w:rsidR="00D247D0" w:rsidRPr="003B5EA4" w:rsidRDefault="00D247D0" w:rsidP="00E447E1">
            <w:pPr>
              <w:spacing w:before="40" w:after="120"/>
              <w:ind w:right="113"/>
            </w:pPr>
            <w:r w:rsidRPr="003B5EA4">
              <w:t>Office des Nations Unies à Nairobi</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ONUSIDA</w:t>
            </w:r>
          </w:p>
        </w:tc>
        <w:tc>
          <w:tcPr>
            <w:tcW w:w="6040" w:type="dxa"/>
            <w:shd w:val="clear" w:color="auto" w:fill="auto"/>
          </w:tcPr>
          <w:p w:rsidR="00D247D0" w:rsidRPr="003B5EA4" w:rsidRDefault="00D247D0" w:rsidP="00E447E1">
            <w:pPr>
              <w:spacing w:before="40" w:after="120"/>
              <w:ind w:right="113"/>
            </w:pPr>
            <w:r w:rsidRPr="003B5EA4">
              <w:t>Programme commun des Nations Unies sur le VIH/sida</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ONUV</w:t>
            </w:r>
          </w:p>
        </w:tc>
        <w:tc>
          <w:tcPr>
            <w:tcW w:w="6040" w:type="dxa"/>
            <w:shd w:val="clear" w:color="auto" w:fill="auto"/>
          </w:tcPr>
          <w:p w:rsidR="00D247D0" w:rsidRPr="003B5EA4" w:rsidRDefault="00D247D0" w:rsidP="00E447E1">
            <w:pPr>
              <w:spacing w:before="40" w:after="120"/>
              <w:ind w:right="113"/>
            </w:pPr>
            <w:r w:rsidRPr="003B5EA4">
              <w:t>Office des Nations Unies à Vienne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PAM</w:t>
            </w:r>
          </w:p>
        </w:tc>
        <w:tc>
          <w:tcPr>
            <w:tcW w:w="6040" w:type="dxa"/>
            <w:shd w:val="clear" w:color="auto" w:fill="auto"/>
          </w:tcPr>
          <w:p w:rsidR="00D247D0" w:rsidRPr="003B5EA4" w:rsidRDefault="00D247D0" w:rsidP="00E447E1">
            <w:pPr>
              <w:spacing w:before="40" w:after="120"/>
              <w:ind w:right="113"/>
            </w:pPr>
            <w:r w:rsidRPr="003B5EA4">
              <w:t>Programme alimentaire mondial</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PNUD</w:t>
            </w:r>
          </w:p>
        </w:tc>
        <w:tc>
          <w:tcPr>
            <w:tcW w:w="6040" w:type="dxa"/>
            <w:shd w:val="clear" w:color="auto" w:fill="auto"/>
          </w:tcPr>
          <w:p w:rsidR="00D247D0" w:rsidRPr="003B5EA4" w:rsidRDefault="00D247D0" w:rsidP="00E447E1">
            <w:pPr>
              <w:spacing w:before="40" w:after="120"/>
              <w:ind w:right="113"/>
            </w:pPr>
            <w:r w:rsidRPr="003B5EA4">
              <w:t>Programme des Nations Unies pour le développement</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PNUE</w:t>
            </w:r>
          </w:p>
        </w:tc>
        <w:tc>
          <w:tcPr>
            <w:tcW w:w="6040" w:type="dxa"/>
            <w:shd w:val="clear" w:color="auto" w:fill="auto"/>
          </w:tcPr>
          <w:p w:rsidR="00D247D0" w:rsidRPr="003B5EA4" w:rsidRDefault="00D247D0" w:rsidP="00E447E1">
            <w:pPr>
              <w:spacing w:before="40" w:after="120"/>
              <w:ind w:right="113"/>
            </w:pPr>
            <w:r w:rsidRPr="003B5EA4">
              <w:t>Programme des Nations Unies pour l</w:t>
            </w:r>
            <w:r w:rsidR="00762E0A">
              <w:t>’</w:t>
            </w:r>
            <w:r w:rsidRPr="003B5EA4">
              <w:t>environnement</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TIC</w:t>
            </w:r>
          </w:p>
        </w:tc>
        <w:tc>
          <w:tcPr>
            <w:tcW w:w="6040" w:type="dxa"/>
            <w:shd w:val="clear" w:color="auto" w:fill="auto"/>
          </w:tcPr>
          <w:p w:rsidR="00D247D0" w:rsidRPr="003B5EA4" w:rsidRDefault="00D247D0" w:rsidP="00E447E1">
            <w:pPr>
              <w:spacing w:before="40" w:after="120"/>
              <w:ind w:right="113"/>
            </w:pPr>
            <w:r w:rsidRPr="003B5EA4">
              <w:t>Technologies de l</w:t>
            </w:r>
            <w:r w:rsidR="00762E0A">
              <w:t>’</w:t>
            </w:r>
            <w:r w:rsidRPr="003B5EA4">
              <w:t>information et de la communication</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TPIR</w:t>
            </w:r>
          </w:p>
        </w:tc>
        <w:tc>
          <w:tcPr>
            <w:tcW w:w="6040" w:type="dxa"/>
            <w:shd w:val="clear" w:color="auto" w:fill="auto"/>
          </w:tcPr>
          <w:p w:rsidR="00D247D0" w:rsidRPr="003B5EA4" w:rsidRDefault="00D247D0" w:rsidP="00E447E1">
            <w:pPr>
              <w:spacing w:before="40" w:after="120"/>
              <w:ind w:right="113"/>
            </w:pPr>
            <w:r w:rsidRPr="003B5EA4">
              <w:t>Tribunal pénal international pour le Rwanda</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TPIY</w:t>
            </w:r>
          </w:p>
        </w:tc>
        <w:tc>
          <w:tcPr>
            <w:tcW w:w="6040" w:type="dxa"/>
            <w:shd w:val="clear" w:color="auto" w:fill="auto"/>
          </w:tcPr>
          <w:p w:rsidR="00D247D0" w:rsidRPr="003B5EA4" w:rsidRDefault="00D247D0" w:rsidP="00E447E1">
            <w:pPr>
              <w:spacing w:before="40" w:after="120"/>
              <w:ind w:right="113"/>
            </w:pPr>
            <w:r w:rsidRPr="003B5EA4">
              <w:t>Tribunal pénal international pour l</w:t>
            </w:r>
            <w:r w:rsidR="00762E0A">
              <w:t>’</w:t>
            </w:r>
            <w:r w:rsidRPr="003B5EA4">
              <w:t>ex-Yougoslavie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UIT</w:t>
            </w:r>
          </w:p>
        </w:tc>
        <w:tc>
          <w:tcPr>
            <w:tcW w:w="6040" w:type="dxa"/>
            <w:shd w:val="clear" w:color="auto" w:fill="auto"/>
          </w:tcPr>
          <w:p w:rsidR="00D247D0" w:rsidRPr="003B5EA4" w:rsidRDefault="00D247D0" w:rsidP="00E447E1">
            <w:pPr>
              <w:spacing w:before="40" w:after="120"/>
              <w:ind w:right="113"/>
            </w:pPr>
            <w:r w:rsidRPr="003B5EA4">
              <w:t>Union internationale des télécommunications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UNESCO</w:t>
            </w:r>
          </w:p>
        </w:tc>
        <w:tc>
          <w:tcPr>
            <w:tcW w:w="6040" w:type="dxa"/>
            <w:shd w:val="clear" w:color="auto" w:fill="auto"/>
          </w:tcPr>
          <w:p w:rsidR="00D247D0" w:rsidRPr="003B5EA4" w:rsidRDefault="00D247D0" w:rsidP="00E447E1">
            <w:pPr>
              <w:spacing w:before="40" w:after="120"/>
              <w:ind w:right="113"/>
            </w:pPr>
            <w:r w:rsidRPr="003B5EA4">
              <w:t>Organisation des Nations Unies pour l</w:t>
            </w:r>
            <w:r w:rsidR="00762E0A">
              <w:t>’</w:t>
            </w:r>
            <w:r w:rsidRPr="003B5EA4">
              <w:t>éducation, la science et la culture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UNICEF</w:t>
            </w:r>
          </w:p>
        </w:tc>
        <w:tc>
          <w:tcPr>
            <w:tcW w:w="6040" w:type="dxa"/>
            <w:shd w:val="clear" w:color="auto" w:fill="auto"/>
          </w:tcPr>
          <w:p w:rsidR="00D247D0" w:rsidRPr="003B5EA4" w:rsidRDefault="00D247D0" w:rsidP="00E447E1">
            <w:pPr>
              <w:spacing w:before="40" w:after="120"/>
              <w:ind w:right="113"/>
            </w:pPr>
            <w:r w:rsidRPr="003B5EA4">
              <w:t>Fonds des Nations Unies pour l</w:t>
            </w:r>
            <w:r w:rsidR="00762E0A">
              <w:t>’</w:t>
            </w:r>
            <w:r w:rsidRPr="003B5EA4">
              <w:t>enfance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UNOPS</w:t>
            </w:r>
          </w:p>
        </w:tc>
        <w:tc>
          <w:tcPr>
            <w:tcW w:w="6040" w:type="dxa"/>
            <w:shd w:val="clear" w:color="auto" w:fill="auto"/>
          </w:tcPr>
          <w:p w:rsidR="00D247D0" w:rsidRPr="003B5EA4" w:rsidRDefault="00D247D0" w:rsidP="00E447E1">
            <w:pPr>
              <w:spacing w:before="40" w:after="120"/>
              <w:ind w:right="113"/>
            </w:pPr>
            <w:r w:rsidRPr="003B5EA4">
              <w:t>Bureau des Nations Unies pour les services d</w:t>
            </w:r>
            <w:r w:rsidR="00762E0A">
              <w:t>’</w:t>
            </w:r>
            <w:r w:rsidRPr="003B5EA4">
              <w:t>appui aux projets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UNRWA</w:t>
            </w:r>
          </w:p>
        </w:tc>
        <w:tc>
          <w:tcPr>
            <w:tcW w:w="6040" w:type="dxa"/>
            <w:shd w:val="clear" w:color="auto" w:fill="auto"/>
          </w:tcPr>
          <w:p w:rsidR="00D247D0" w:rsidRPr="003B5EA4" w:rsidRDefault="00D247D0" w:rsidP="00E447E1">
            <w:pPr>
              <w:spacing w:before="40" w:after="120"/>
              <w:ind w:right="113"/>
            </w:pPr>
            <w:r w:rsidRPr="003B5EA4">
              <w:rPr>
                <w:iCs/>
              </w:rPr>
              <w:t xml:space="preserve">Office de secours et de travaux des Nations Unies pour les réfugiés </w:t>
            </w:r>
            <w:r w:rsidRPr="003B5EA4">
              <w:rPr>
                <w:iCs/>
              </w:rPr>
              <w:br/>
              <w:t>de Palestine dans le Proche-Orient</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UNU</w:t>
            </w:r>
          </w:p>
        </w:tc>
        <w:tc>
          <w:tcPr>
            <w:tcW w:w="6040" w:type="dxa"/>
            <w:shd w:val="clear" w:color="auto" w:fill="auto"/>
          </w:tcPr>
          <w:p w:rsidR="00D247D0" w:rsidRPr="003B5EA4" w:rsidRDefault="00D247D0" w:rsidP="00E447E1">
            <w:pPr>
              <w:spacing w:before="40" w:after="120"/>
              <w:ind w:right="113"/>
              <w:rPr>
                <w:iCs/>
              </w:rPr>
            </w:pPr>
            <w:r w:rsidRPr="003B5EA4">
              <w:t>Université des Nations Unies</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UPU</w:t>
            </w:r>
          </w:p>
        </w:tc>
        <w:tc>
          <w:tcPr>
            <w:tcW w:w="6040" w:type="dxa"/>
            <w:shd w:val="clear" w:color="auto" w:fill="auto"/>
          </w:tcPr>
          <w:p w:rsidR="00D247D0" w:rsidRPr="003B5EA4" w:rsidRDefault="00D247D0" w:rsidP="00E447E1">
            <w:pPr>
              <w:spacing w:before="40" w:after="120"/>
              <w:ind w:right="113"/>
            </w:pPr>
            <w:r w:rsidRPr="003B5EA4">
              <w:t>Union postale universelle</w:t>
            </w:r>
          </w:p>
        </w:tc>
      </w:tr>
      <w:tr w:rsidR="00D247D0" w:rsidRPr="003B5EA4" w:rsidTr="00E447E1">
        <w:tc>
          <w:tcPr>
            <w:tcW w:w="1330" w:type="dxa"/>
            <w:shd w:val="clear" w:color="auto" w:fill="auto"/>
          </w:tcPr>
          <w:p w:rsidR="00D247D0" w:rsidRPr="003B5EA4" w:rsidRDefault="00D247D0" w:rsidP="00E447E1">
            <w:pPr>
              <w:spacing w:before="40" w:after="120"/>
              <w:ind w:right="113"/>
            </w:pPr>
            <w:r w:rsidRPr="003B5EA4">
              <w:t>VNA</w:t>
            </w:r>
          </w:p>
        </w:tc>
        <w:tc>
          <w:tcPr>
            <w:tcW w:w="6040" w:type="dxa"/>
            <w:shd w:val="clear" w:color="auto" w:fill="auto"/>
          </w:tcPr>
          <w:p w:rsidR="00D247D0" w:rsidRPr="003B5EA4" w:rsidRDefault="00D247D0" w:rsidP="00E447E1">
            <w:pPr>
              <w:spacing w:before="40" w:after="120"/>
              <w:ind w:right="113"/>
            </w:pPr>
            <w:r w:rsidRPr="003B5EA4">
              <w:t>Volontaires des Nations Unies</w:t>
            </w:r>
          </w:p>
        </w:tc>
      </w:tr>
    </w:tbl>
    <w:p w:rsidR="008536FA" w:rsidRPr="003B5EA4" w:rsidRDefault="00D247D0" w:rsidP="00D247D0">
      <w:pPr>
        <w:pStyle w:val="SingleTxtG"/>
        <w:spacing w:before="120"/>
        <w:ind w:firstLine="170"/>
        <w:jc w:val="left"/>
        <w:rPr>
          <w:sz w:val="18"/>
          <w:szCs w:val="18"/>
        </w:rPr>
      </w:pPr>
      <w:r w:rsidRPr="003B5EA4">
        <w:rPr>
          <w:sz w:val="18"/>
          <w:szCs w:val="18"/>
        </w:rPr>
        <w:t>*  Pour les besoins du présent rapport, l</w:t>
      </w:r>
      <w:r w:rsidR="00762E0A">
        <w:rPr>
          <w:sz w:val="18"/>
          <w:szCs w:val="18"/>
        </w:rPr>
        <w:t>’</w:t>
      </w:r>
      <w:r w:rsidRPr="003B5EA4">
        <w:rPr>
          <w:sz w:val="18"/>
          <w:szCs w:val="18"/>
        </w:rPr>
        <w:t>astérisque distingue le sigle du Centre du commerce international de celui du Corps commun d</w:t>
      </w:r>
      <w:r w:rsidR="00762E0A">
        <w:rPr>
          <w:sz w:val="18"/>
          <w:szCs w:val="18"/>
        </w:rPr>
        <w:t>’</w:t>
      </w:r>
      <w:r w:rsidRPr="003B5EA4">
        <w:rPr>
          <w:sz w:val="18"/>
          <w:szCs w:val="18"/>
        </w:rPr>
        <w:t>inspection.</w:t>
      </w:r>
    </w:p>
    <w:p w:rsidR="00BA31FC" w:rsidRPr="003B5EA4" w:rsidRDefault="00BA31FC" w:rsidP="001E48D6"/>
    <w:p w:rsidR="00BA31FC" w:rsidRPr="003B5EA4" w:rsidRDefault="00BA31FC" w:rsidP="00AF6E88">
      <w:pPr>
        <w:jc w:val="center"/>
        <w:sectPr w:rsidR="00BA31FC" w:rsidRPr="003B5EA4" w:rsidSect="00BA31FC">
          <w:headerReference w:type="first" r:id="rId17"/>
          <w:footerReference w:type="first" r:id="rId18"/>
          <w:endnotePr>
            <w:numFmt w:val="decimal"/>
          </w:endnotePr>
          <w:type w:val="oddPage"/>
          <w:pgSz w:w="11906" w:h="16838" w:code="9"/>
          <w:pgMar w:top="1417" w:right="1134" w:bottom="1134" w:left="1134" w:header="850" w:footer="567" w:gutter="0"/>
          <w:pgNumType w:fmt="lowerRoman"/>
          <w:cols w:space="708"/>
          <w:titlePg/>
          <w:docGrid w:linePitch="360"/>
        </w:sectPr>
      </w:pPr>
    </w:p>
    <w:p w:rsidR="00E447E1" w:rsidRPr="003B5EA4" w:rsidRDefault="008A3303" w:rsidP="008A3303">
      <w:pPr>
        <w:pStyle w:val="HChG"/>
      </w:pPr>
      <w:r w:rsidRPr="003B5EA4">
        <w:lastRenderedPageBreak/>
        <w:tab/>
      </w:r>
      <w:r w:rsidR="00E447E1" w:rsidRPr="003B5EA4">
        <w:t>I.</w:t>
      </w:r>
      <w:r w:rsidRPr="003B5EA4">
        <w:tab/>
      </w:r>
      <w:r w:rsidR="00E447E1" w:rsidRPr="003B5EA4">
        <w:t>I</w:t>
      </w:r>
      <w:r w:rsidRPr="003B5EA4">
        <w:t>ntroduction</w:t>
      </w:r>
    </w:p>
    <w:p w:rsidR="00E447E1" w:rsidRPr="003B5EA4" w:rsidRDefault="008A3303" w:rsidP="008A3303">
      <w:pPr>
        <w:pStyle w:val="H1G"/>
      </w:pPr>
      <w:r w:rsidRPr="003B5EA4">
        <w:tab/>
      </w:r>
      <w:r w:rsidR="00E447E1" w:rsidRPr="003B5EA4">
        <w:t>A.</w:t>
      </w:r>
      <w:r w:rsidR="00E447E1" w:rsidRPr="003B5EA4">
        <w:tab/>
        <w:t>Contexte</w:t>
      </w:r>
    </w:p>
    <w:p w:rsidR="00E447E1" w:rsidRPr="003B5EA4" w:rsidRDefault="00E75DD9" w:rsidP="00E75DD9">
      <w:pPr>
        <w:pStyle w:val="SingleTxtG"/>
      </w:pPr>
      <w:r w:rsidRPr="003B5EA4">
        <w:t>1.</w:t>
      </w:r>
      <w:r w:rsidRPr="003B5EA4">
        <w:tab/>
      </w:r>
      <w:r w:rsidR="00E447E1" w:rsidRPr="003B5EA4">
        <w:t>La question des voyages en avion a été inscrite au programme de travail du CCI pour 2016 sur proposition du Programme alimentaire mondial (PAM). Les organes délibérants, et l</w:t>
      </w:r>
      <w:r w:rsidR="00762E0A">
        <w:t>’</w:t>
      </w:r>
      <w:r w:rsidR="00E447E1" w:rsidRPr="003B5EA4">
        <w:t>Assemblée générale en particulier, n</w:t>
      </w:r>
      <w:r w:rsidR="00762E0A">
        <w:t>’</w:t>
      </w:r>
      <w:r w:rsidR="00E447E1" w:rsidRPr="003B5EA4">
        <w:t>ont eu de cesse depuis de nombreuses années de souligner la nécessité d</w:t>
      </w:r>
      <w:r w:rsidR="00762E0A">
        <w:t>’</w:t>
      </w:r>
      <w:r w:rsidR="00E447E1" w:rsidRPr="003B5EA4">
        <w:t>assurer une utilisation efficace et efficiente des ressources consacrées aux voyages en avion, de limiter le nombre d</w:t>
      </w:r>
      <w:r w:rsidR="00762E0A">
        <w:t>’</w:t>
      </w:r>
      <w:r w:rsidR="00E447E1" w:rsidRPr="003B5EA4">
        <w:t>exceptions faites aux conditions de voyage en avion prévues par un contrôle strict de l</w:t>
      </w:r>
      <w:r w:rsidR="00762E0A">
        <w:t>’</w:t>
      </w:r>
      <w:r w:rsidR="00E447E1" w:rsidRPr="003B5EA4">
        <w:t>application des politiques et règles régissant les activités de voyage, d</w:t>
      </w:r>
      <w:r w:rsidR="00762E0A">
        <w:t>’</w:t>
      </w:r>
      <w:r w:rsidR="00E447E1" w:rsidRPr="003B5EA4">
        <w:t>améliorer et de moderniser les méthodes et outils de travail, notamment de faire le meilleur usage possible des technologies de l</w:t>
      </w:r>
      <w:r w:rsidR="00762E0A">
        <w:t>’</w:t>
      </w:r>
      <w:r w:rsidR="00E447E1" w:rsidRPr="003B5EA4">
        <w:t>information et de la communication (TIC), de renforcer la coordination, la coopération et la mise en commun des connaissances au sein du système des Nations Unies, et de promouvoir l</w:t>
      </w:r>
      <w:r w:rsidR="00762E0A">
        <w:t>’</w:t>
      </w:r>
      <w:r w:rsidR="00E447E1" w:rsidRPr="003B5EA4">
        <w:t>harmonisation des normes applicables aux voyages en avion dans l</w:t>
      </w:r>
      <w:r w:rsidR="00762E0A">
        <w:t>’</w:t>
      </w:r>
      <w:r w:rsidR="00E447E1" w:rsidRPr="003B5EA4">
        <w:t>ensemble du système des Nations Unies.</w:t>
      </w:r>
    </w:p>
    <w:p w:rsidR="00E447E1" w:rsidRPr="003B5EA4" w:rsidRDefault="00E75DD9" w:rsidP="008A3303">
      <w:pPr>
        <w:pStyle w:val="SingleTxtG"/>
      </w:pPr>
      <w:r w:rsidRPr="003B5EA4">
        <w:t>2.</w:t>
      </w:r>
      <w:r w:rsidRPr="003B5EA4">
        <w:tab/>
      </w:r>
      <w:r w:rsidR="00E447E1" w:rsidRPr="003B5EA4">
        <w:t>Pour les organismes des Nations Unies, dont les membres, bureaux et programmes divers se répartissent à travers le monde, les voyages font naturellement partie des moyens essentiels qui leur permettent d</w:t>
      </w:r>
      <w:r w:rsidR="00762E0A">
        <w:t>’</w:t>
      </w:r>
      <w:r w:rsidR="00E447E1" w:rsidRPr="003B5EA4">
        <w:t>exécuter leurs mandats. Cela étant, il importe de garantir l</w:t>
      </w:r>
      <w:r w:rsidR="00762E0A">
        <w:t>’</w:t>
      </w:r>
      <w:r w:rsidR="00E447E1" w:rsidRPr="003B5EA4">
        <w:t>utilisation judicieuse des ressources de sorte que les dépenses engagées au titre des voyages soient maintenues au niveau minimum requis pour répondre à ces exigences. Vu la dépense que représente ce poste pour les organismes, les États Membres se sont préoccupés du coût des voyages en avion ainsi que de la coordination et de l</w:t>
      </w:r>
      <w:r w:rsidR="00762E0A">
        <w:t>’</w:t>
      </w:r>
      <w:r w:rsidR="00E447E1" w:rsidRPr="003B5EA4">
        <w:t>harmonisation des pratiques en la matière, et ont demandé aux organismes concernés de contrôler strictement leurs dépenses de voyage</w:t>
      </w:r>
      <w:r w:rsidR="00E447E1" w:rsidRPr="003B5EA4">
        <w:rPr>
          <w:rStyle w:val="Appelnotedebasdep"/>
        </w:rPr>
        <w:footnoteReference w:id="3"/>
      </w:r>
      <w:r w:rsidR="00E447E1" w:rsidRPr="003B5EA4">
        <w:t>. Pour pertinentes que soient ces préoccupations au regard des effets que la récente crise financière a eus sur les économies de la plupart des pays, il importe que toutes mesures prises à cet égard continuent de préserver, par l</w:t>
      </w:r>
      <w:r w:rsidR="00762E0A">
        <w:t>’</w:t>
      </w:r>
      <w:r w:rsidR="00E447E1" w:rsidRPr="003B5EA4">
        <w:t>adéquation des conditions de voyage en avion prévues, la santé et la sûreté des fonctionnaires en voyage ainsi que leur capacité d</w:t>
      </w:r>
      <w:r w:rsidR="00762E0A">
        <w:t>’</w:t>
      </w:r>
      <w:r w:rsidR="00E447E1" w:rsidRPr="003B5EA4">
        <w:t>accomplir en toute efficacité et efficience les tâches qui leur reviennent.</w:t>
      </w:r>
    </w:p>
    <w:p w:rsidR="00E447E1" w:rsidRPr="003B5EA4" w:rsidRDefault="00E75DD9" w:rsidP="008A3303">
      <w:pPr>
        <w:pStyle w:val="SingleTxtG"/>
      </w:pPr>
      <w:r w:rsidRPr="003B5EA4">
        <w:t>3.</w:t>
      </w:r>
      <w:r w:rsidRPr="003B5EA4">
        <w:tab/>
      </w:r>
      <w:r w:rsidR="00E447E1" w:rsidRPr="003B5EA4">
        <w:t>Plusieurs études et examens relatifs aux voyages ont été menés au fil des ans par certains organismes et organes de contrôle du système des Nations Unies, dont le CCI. Les examens antérieurs effectués par le CCI dans le domaine des voyages portaient sur des questions relatives à certains organismes comme le Secrétariat de l</w:t>
      </w:r>
      <w:r w:rsidR="00762E0A">
        <w:t>’</w:t>
      </w:r>
      <w:r w:rsidR="00E447E1" w:rsidRPr="003B5EA4">
        <w:t>OMS</w:t>
      </w:r>
      <w:r w:rsidR="00E447E1" w:rsidRPr="003B5EA4">
        <w:rPr>
          <w:rStyle w:val="Appelnotedebasdep"/>
        </w:rPr>
        <w:footnoteReference w:id="4"/>
      </w:r>
      <w:r w:rsidR="00E447E1" w:rsidRPr="003B5EA4">
        <w:t>, l</w:t>
      </w:r>
      <w:r w:rsidR="00762E0A">
        <w:t>’</w:t>
      </w:r>
      <w:r w:rsidR="00E447E1" w:rsidRPr="003B5EA4">
        <w:t>ONU, l</w:t>
      </w:r>
      <w:r w:rsidR="00762E0A">
        <w:t>’</w:t>
      </w:r>
      <w:r w:rsidR="00E447E1" w:rsidRPr="003B5EA4">
        <w:t>Organisation des Nations Unies pour l</w:t>
      </w:r>
      <w:r w:rsidR="00762E0A">
        <w:t>’</w:t>
      </w:r>
      <w:r w:rsidR="00E447E1" w:rsidRPr="003B5EA4">
        <w:t>alimentation et l</w:t>
      </w:r>
      <w:r w:rsidR="00762E0A">
        <w:t>’</w:t>
      </w:r>
      <w:r w:rsidR="00E447E1" w:rsidRPr="003B5EA4">
        <w:t>agriculture (FAO)</w:t>
      </w:r>
      <w:r w:rsidR="00E447E1" w:rsidRPr="003B5EA4">
        <w:rPr>
          <w:rStyle w:val="Appelnotedebasdep"/>
        </w:rPr>
        <w:footnoteReference w:id="5"/>
      </w:r>
      <w:r w:rsidR="00E447E1" w:rsidRPr="003B5EA4">
        <w:t xml:space="preserve"> et l</w:t>
      </w:r>
      <w:r w:rsidR="00762E0A">
        <w:t>’</w:t>
      </w:r>
      <w:r w:rsidR="00E447E1" w:rsidRPr="003B5EA4">
        <w:t>Organisation des Nations Unies pour l</w:t>
      </w:r>
      <w:r w:rsidR="00762E0A">
        <w:t>’</w:t>
      </w:r>
      <w:r w:rsidR="00E447E1" w:rsidRPr="003B5EA4">
        <w:t>éducation, la science et la culture (UNESCO)</w:t>
      </w:r>
      <w:r w:rsidR="00E447E1" w:rsidRPr="003B5EA4">
        <w:rPr>
          <w:rStyle w:val="Appelnotedebasdep"/>
        </w:rPr>
        <w:footnoteReference w:id="6"/>
      </w:r>
      <w:r w:rsidR="00E447E1" w:rsidRPr="003B5EA4">
        <w:t>, ou sur des question spécifiques relatives à l</w:t>
      </w:r>
      <w:r w:rsidR="00762E0A">
        <w:t>’</w:t>
      </w:r>
      <w:r w:rsidR="00E447E1" w:rsidRPr="003B5EA4">
        <w:t>ensemble du système, comme les voyages en première classe</w:t>
      </w:r>
      <w:r w:rsidR="00E447E1" w:rsidRPr="003B5EA4">
        <w:rPr>
          <w:rStyle w:val="Appelnotedebasdep"/>
        </w:rPr>
        <w:footnoteReference w:id="7"/>
      </w:r>
      <w:r w:rsidR="00E447E1" w:rsidRPr="003B5EA4">
        <w:t>, le</w:t>
      </w:r>
      <w:r w:rsidR="007B6D46">
        <w:t>s</w:t>
      </w:r>
      <w:r w:rsidR="00E447E1" w:rsidRPr="003B5EA4">
        <w:t xml:space="preserve"> voyages officiels</w:t>
      </w:r>
      <w:r w:rsidR="00E447E1" w:rsidRPr="003B5EA4">
        <w:rPr>
          <w:rStyle w:val="Appelnotedebasdep"/>
        </w:rPr>
        <w:footnoteReference w:id="8"/>
      </w:r>
      <w:r w:rsidR="00E447E1" w:rsidRPr="003B5EA4">
        <w:t>, les mesures d</w:t>
      </w:r>
      <w:r w:rsidR="00762E0A">
        <w:t>’</w:t>
      </w:r>
      <w:r w:rsidR="00E447E1" w:rsidRPr="003B5EA4">
        <w:t>efficience et d</w:t>
      </w:r>
      <w:r w:rsidR="00762E0A">
        <w:t>’</w:t>
      </w:r>
      <w:r w:rsidR="00E447E1" w:rsidRPr="003B5EA4">
        <w:t>économie</w:t>
      </w:r>
      <w:r w:rsidR="00E447E1" w:rsidRPr="003B5EA4">
        <w:rPr>
          <w:rStyle w:val="Appelnotedebasdep"/>
        </w:rPr>
        <w:footnoteReference w:id="9"/>
      </w:r>
      <w:r w:rsidR="00E447E1" w:rsidRPr="003B5EA4">
        <w:t>, l</w:t>
      </w:r>
      <w:r w:rsidR="00762E0A">
        <w:t>’</w:t>
      </w:r>
      <w:r w:rsidR="00E447E1" w:rsidRPr="003B5EA4">
        <w:t>harmonisation des conditions de voyage en avion</w:t>
      </w:r>
      <w:r w:rsidR="00E447E1" w:rsidRPr="003B5EA4">
        <w:rPr>
          <w:rStyle w:val="Appelnotedebasdep"/>
        </w:rPr>
        <w:footnoteReference w:id="10"/>
      </w:r>
      <w:r w:rsidR="00E447E1" w:rsidRPr="003B5EA4">
        <w:t>, l</w:t>
      </w:r>
      <w:r w:rsidR="00762E0A">
        <w:t>’</w:t>
      </w:r>
      <w:r w:rsidR="00E447E1" w:rsidRPr="003B5EA4">
        <w:t>organisation des voyages</w:t>
      </w:r>
      <w:r w:rsidR="00E447E1" w:rsidRPr="003B5EA4">
        <w:rPr>
          <w:rStyle w:val="Appelnotedebasdep"/>
        </w:rPr>
        <w:footnoteReference w:id="11"/>
      </w:r>
      <w:r w:rsidR="00E447E1" w:rsidRPr="003B5EA4">
        <w:t xml:space="preserve"> et les sommes forfaitaires</w:t>
      </w:r>
      <w:r w:rsidR="00E447E1" w:rsidRPr="003B5EA4">
        <w:rPr>
          <w:rStyle w:val="Appelnotedebasdep"/>
        </w:rPr>
        <w:footnoteReference w:id="12"/>
      </w:r>
      <w:r w:rsidR="00E447E1" w:rsidRPr="003B5EA4">
        <w:t>.</w:t>
      </w:r>
    </w:p>
    <w:p w:rsidR="00E447E1" w:rsidRPr="003B5EA4" w:rsidRDefault="00E75DD9" w:rsidP="008A3303">
      <w:pPr>
        <w:pStyle w:val="SingleTxtG"/>
      </w:pPr>
      <w:r w:rsidRPr="003B5EA4">
        <w:t>4.</w:t>
      </w:r>
      <w:r w:rsidRPr="003B5EA4">
        <w:tab/>
      </w:r>
      <w:r w:rsidR="00E447E1" w:rsidRPr="003B5EA4">
        <w:t>L</w:t>
      </w:r>
      <w:r w:rsidR="00762E0A">
        <w:t>’</w:t>
      </w:r>
      <w:r w:rsidR="00E447E1" w:rsidRPr="003B5EA4">
        <w:t>utilisation efficace et efficiente des ressources consacrées aux voyages en avion dans l</w:t>
      </w:r>
      <w:r w:rsidR="00762E0A">
        <w:t>’</w:t>
      </w:r>
      <w:r w:rsidR="00E447E1" w:rsidRPr="003B5EA4">
        <w:t>ensemble du système des Nations Unies appelle un changement de culture, de la part des chefs de secrétariat et des hauts fonctionnaires pour commencer, en faveur d</w:t>
      </w:r>
      <w:r w:rsidR="00762E0A">
        <w:t>’</w:t>
      </w:r>
      <w:r w:rsidR="00E447E1" w:rsidRPr="003B5EA4">
        <w:t>une responsabilisation, d</w:t>
      </w:r>
      <w:r w:rsidR="00762E0A">
        <w:t>’</w:t>
      </w:r>
      <w:r w:rsidR="00E447E1" w:rsidRPr="003B5EA4">
        <w:t>une coordination et d</w:t>
      </w:r>
      <w:r w:rsidR="00762E0A">
        <w:t>’</w:t>
      </w:r>
      <w:r w:rsidR="00E447E1" w:rsidRPr="003B5EA4">
        <w:t xml:space="preserve">une transparence accrues dans la gestion des </w:t>
      </w:r>
      <w:r w:rsidR="00E447E1" w:rsidRPr="003B5EA4">
        <w:lastRenderedPageBreak/>
        <w:t>voyages, et d</w:t>
      </w:r>
      <w:r w:rsidR="00762E0A">
        <w:t>’</w:t>
      </w:r>
      <w:r w:rsidR="00E447E1" w:rsidRPr="003B5EA4">
        <w:t>une innovation capable de moderniser et d</w:t>
      </w:r>
      <w:r w:rsidR="00762E0A">
        <w:t>’</w:t>
      </w:r>
      <w:r w:rsidR="00E447E1" w:rsidRPr="003B5EA4">
        <w:t>améliorer les modes de fonctionnement en la matière.</w:t>
      </w:r>
    </w:p>
    <w:p w:rsidR="00BA31FC" w:rsidRPr="00053CDB" w:rsidRDefault="000E613A" w:rsidP="008A3303">
      <w:pPr>
        <w:pStyle w:val="SingleTxtG"/>
        <w:rPr>
          <w:spacing w:val="3"/>
        </w:rPr>
      </w:pPr>
      <w:r w:rsidRPr="003B5EA4">
        <w:t>5.</w:t>
      </w:r>
      <w:r w:rsidRPr="003B5EA4">
        <w:tab/>
      </w:r>
      <w:r w:rsidR="00E447E1" w:rsidRPr="003B5EA4">
        <w:t>Après les dépenses de personnel, les voyages représentent l</w:t>
      </w:r>
      <w:r w:rsidR="00762E0A">
        <w:t>’</w:t>
      </w:r>
      <w:r w:rsidR="00E447E1" w:rsidRPr="003B5EA4">
        <w:t>un des plus gros postes budgétaires des organismes des Nations Unies</w:t>
      </w:r>
      <w:r w:rsidR="00E447E1" w:rsidRPr="003B5EA4">
        <w:rPr>
          <w:rStyle w:val="Appelnotedebasdep"/>
        </w:rPr>
        <w:footnoteReference w:id="13"/>
      </w:r>
      <w:r w:rsidR="00E447E1" w:rsidRPr="003B5EA4">
        <w:t>. Dans le cas des organismes qui on</w:t>
      </w:r>
      <w:r w:rsidR="00321169">
        <w:t>t</w:t>
      </w:r>
      <w:r w:rsidR="00E447E1" w:rsidRPr="003B5EA4">
        <w:t xml:space="preserve"> répondu au questionnaire du CCI et fourni des informations financières</w:t>
      </w:r>
      <w:r w:rsidR="00E447E1" w:rsidRPr="003B5EA4">
        <w:rPr>
          <w:rStyle w:val="Appelnotedebasdep"/>
        </w:rPr>
        <w:footnoteReference w:id="14"/>
      </w:r>
      <w:r w:rsidR="00E447E1" w:rsidRPr="003B5EA4">
        <w:t>, le total des dépenses consenties pendant la période 2012-2015 à raison de toutes les catégories de voyages officiels effectués par les fonctionnaires et les non-fonctionnaires s</w:t>
      </w:r>
      <w:r w:rsidR="00762E0A">
        <w:t>’</w:t>
      </w:r>
      <w:r w:rsidR="00E447E1" w:rsidRPr="003B5EA4">
        <w:t xml:space="preserve">est élevé à environ 4,01 milliards de dollars des États-Unis. Ce chiffre aurait été plus élevé si tous les </w:t>
      </w:r>
      <w:r w:rsidR="00E447E1" w:rsidRPr="00053CDB">
        <w:rPr>
          <w:spacing w:val="3"/>
        </w:rPr>
        <w:t>organismes des Nations Unies visés par l</w:t>
      </w:r>
      <w:r w:rsidR="00762E0A">
        <w:rPr>
          <w:spacing w:val="3"/>
        </w:rPr>
        <w:t>’</w:t>
      </w:r>
      <w:r w:rsidR="00E447E1" w:rsidRPr="00053CDB">
        <w:rPr>
          <w:spacing w:val="3"/>
        </w:rPr>
        <w:t>examen avaient fourni des données complètes au</w:t>
      </w:r>
      <w:r w:rsidR="00053CDB" w:rsidRPr="00053CDB">
        <w:rPr>
          <w:spacing w:val="3"/>
        </w:rPr>
        <w:t xml:space="preserve"> </w:t>
      </w:r>
      <w:r w:rsidR="00E447E1" w:rsidRPr="00053CDB">
        <w:rPr>
          <w:spacing w:val="3"/>
        </w:rPr>
        <w:t>CCI.</w:t>
      </w:r>
    </w:p>
    <w:p w:rsidR="001411EA" w:rsidRPr="003B5EA4" w:rsidRDefault="001411EA" w:rsidP="001E1344">
      <w:pPr>
        <w:pStyle w:val="H1G"/>
        <w:spacing w:before="320" w:after="200"/>
      </w:pPr>
      <w:r w:rsidRPr="003B5EA4">
        <w:tab/>
        <w:t>B.</w:t>
      </w:r>
      <w:r w:rsidRPr="003B5EA4">
        <w:tab/>
        <w:t>Objectif de l</w:t>
      </w:r>
      <w:r w:rsidR="00762E0A">
        <w:t>’</w:t>
      </w:r>
      <w:r w:rsidRPr="003B5EA4">
        <w:t>examen</w:t>
      </w:r>
    </w:p>
    <w:p w:rsidR="0087522D" w:rsidRPr="003B5EA4" w:rsidRDefault="00E447E1" w:rsidP="0087522D">
      <w:pPr>
        <w:pStyle w:val="SingleTxtG"/>
        <w:rPr>
          <w:b/>
        </w:rPr>
      </w:pPr>
      <w:r w:rsidRPr="003B5EA4">
        <w:t>6.</w:t>
      </w:r>
      <w:r w:rsidRPr="003B5EA4">
        <w:tab/>
      </w:r>
      <w:r w:rsidRPr="003B5EA4">
        <w:rPr>
          <w:b/>
        </w:rPr>
        <w:t>L</w:t>
      </w:r>
      <w:r w:rsidR="00762E0A">
        <w:rPr>
          <w:b/>
        </w:rPr>
        <w:t>’</w:t>
      </w:r>
      <w:r w:rsidRPr="003B5EA4">
        <w:rPr>
          <w:b/>
        </w:rPr>
        <w:t>objectif du présent rapport est de relever et d</w:t>
      </w:r>
      <w:r w:rsidR="00762E0A">
        <w:rPr>
          <w:b/>
        </w:rPr>
        <w:t>’</w:t>
      </w:r>
      <w:r w:rsidRPr="003B5EA4">
        <w:rPr>
          <w:b/>
        </w:rPr>
        <w:t>évaluer les règlements, politiques et pratiques régissant l</w:t>
      </w:r>
      <w:r w:rsidR="00762E0A">
        <w:rPr>
          <w:b/>
        </w:rPr>
        <w:t>’</w:t>
      </w:r>
      <w:r w:rsidRPr="003B5EA4">
        <w:rPr>
          <w:b/>
        </w:rPr>
        <w:t>administration des voyages en avion dans les organismes des Nations Unies et d</w:t>
      </w:r>
      <w:r w:rsidR="00762E0A">
        <w:rPr>
          <w:b/>
        </w:rPr>
        <w:t>’</w:t>
      </w:r>
      <w:r w:rsidRPr="003B5EA4">
        <w:rPr>
          <w:b/>
        </w:rPr>
        <w:t>en examiner la mise en œuvre aux fins suivantes :</w:t>
      </w:r>
    </w:p>
    <w:p w:rsidR="00E447E1" w:rsidRPr="00123EAB" w:rsidRDefault="00E447E1" w:rsidP="00053CDB">
      <w:pPr>
        <w:pStyle w:val="Bullet1G"/>
        <w:spacing w:line="220" w:lineRule="atLeast"/>
        <w:rPr>
          <w:b/>
        </w:rPr>
      </w:pPr>
      <w:r w:rsidRPr="00123EAB">
        <w:rPr>
          <w:b/>
        </w:rPr>
        <w:t>Renforcer l</w:t>
      </w:r>
      <w:r w:rsidR="00762E0A">
        <w:rPr>
          <w:b/>
        </w:rPr>
        <w:t>’</w:t>
      </w:r>
      <w:r w:rsidRPr="00123EAB">
        <w:rPr>
          <w:b/>
        </w:rPr>
        <w:t>efficience et l</w:t>
      </w:r>
      <w:r w:rsidR="00762E0A">
        <w:rPr>
          <w:b/>
        </w:rPr>
        <w:t>’</w:t>
      </w:r>
      <w:r w:rsidRPr="00123EAB">
        <w:rPr>
          <w:b/>
        </w:rPr>
        <w:t>efficacité de la gestion des voyages entre les organismes participants du CCI ;</w:t>
      </w:r>
    </w:p>
    <w:p w:rsidR="00E447E1" w:rsidRPr="00123EAB" w:rsidRDefault="00E447E1" w:rsidP="00053CDB">
      <w:pPr>
        <w:pStyle w:val="Bullet1G"/>
        <w:spacing w:line="220" w:lineRule="atLeast"/>
        <w:rPr>
          <w:b/>
        </w:rPr>
      </w:pPr>
      <w:r w:rsidRPr="00123EAB">
        <w:rPr>
          <w:b/>
        </w:rPr>
        <w:t>Accroître la responsabilisation et la transparence du processus d</w:t>
      </w:r>
      <w:r w:rsidR="00762E0A">
        <w:rPr>
          <w:b/>
        </w:rPr>
        <w:t>’</w:t>
      </w:r>
      <w:r w:rsidRPr="00123EAB">
        <w:rPr>
          <w:b/>
        </w:rPr>
        <w:t>autorisation des voyages par les administrateurs, compte tenu de la productivité, de la sûreté et de la sécurité des voyageurs ;</w:t>
      </w:r>
    </w:p>
    <w:p w:rsidR="00E447E1" w:rsidRPr="00123EAB" w:rsidRDefault="00E447E1" w:rsidP="00053CDB">
      <w:pPr>
        <w:pStyle w:val="Bullet1G"/>
        <w:spacing w:line="220" w:lineRule="atLeast"/>
        <w:rPr>
          <w:b/>
        </w:rPr>
      </w:pPr>
      <w:r w:rsidRPr="00123EAB">
        <w:rPr>
          <w:b/>
        </w:rPr>
        <w:t>Promouvoir et accroître la coordination et la coopération entre les organismes des Nations Unies ;</w:t>
      </w:r>
    </w:p>
    <w:p w:rsidR="00E447E1" w:rsidRPr="00123EAB" w:rsidRDefault="00E447E1" w:rsidP="00053CDB">
      <w:pPr>
        <w:pStyle w:val="Bullet1G"/>
        <w:spacing w:line="220" w:lineRule="atLeast"/>
        <w:rPr>
          <w:b/>
        </w:rPr>
      </w:pPr>
      <w:r w:rsidRPr="00123EAB">
        <w:rPr>
          <w:b/>
        </w:rPr>
        <w:t>Relever les bonnes pratiques et les enseignements tirés afin de promouvoir, le cas échéant, le degré voulu d</w:t>
      </w:r>
      <w:r w:rsidR="00762E0A">
        <w:rPr>
          <w:b/>
        </w:rPr>
        <w:t>’</w:t>
      </w:r>
      <w:r w:rsidRPr="00123EAB">
        <w:rPr>
          <w:b/>
        </w:rPr>
        <w:t>harmonisation.</w:t>
      </w:r>
    </w:p>
    <w:p w:rsidR="00E447E1" w:rsidRPr="003B5EA4" w:rsidRDefault="00E447E1" w:rsidP="001E1344">
      <w:pPr>
        <w:pStyle w:val="H1G"/>
        <w:spacing w:before="320" w:after="200"/>
      </w:pPr>
      <w:r w:rsidRPr="003B5EA4">
        <w:tab/>
        <w:t>C.</w:t>
      </w:r>
      <w:r w:rsidRPr="003B5EA4">
        <w:tab/>
        <w:t>Portée</w:t>
      </w:r>
    </w:p>
    <w:p w:rsidR="00E447E1" w:rsidRPr="003B5EA4" w:rsidRDefault="004B6854" w:rsidP="00E447E1">
      <w:pPr>
        <w:pStyle w:val="SingleTxtG"/>
      </w:pPr>
      <w:r w:rsidRPr="003B5EA4">
        <w:t>7.</w:t>
      </w:r>
      <w:r w:rsidRPr="003B5EA4">
        <w:tab/>
        <w:t>Le présent examen porte sur les aspects suivant</w:t>
      </w:r>
      <w:r w:rsidR="00B00BEA">
        <w:t>s</w:t>
      </w:r>
      <w:r w:rsidRPr="003B5EA4">
        <w:t xml:space="preserve"> de l</w:t>
      </w:r>
      <w:r w:rsidR="00762E0A">
        <w:t>’</w:t>
      </w:r>
      <w:r w:rsidRPr="003B5EA4">
        <w:t>administration des voyages en avion au sein du Secrétariat de l</w:t>
      </w:r>
      <w:r w:rsidR="00762E0A">
        <w:t>’</w:t>
      </w:r>
      <w:r w:rsidRPr="003B5EA4">
        <w:t>Organisation des Nations Unies (ONU), ainsi que des fonds, programmes et institutions spécialisées des Nations Unies, et de l</w:t>
      </w:r>
      <w:r w:rsidR="00762E0A">
        <w:t>’</w:t>
      </w:r>
      <w:r w:rsidRPr="003B5EA4">
        <w:t>Agence internationale de l</w:t>
      </w:r>
      <w:r w:rsidR="00762E0A">
        <w:t>’</w:t>
      </w:r>
      <w:r w:rsidRPr="003B5EA4">
        <w:t>énergie atomique (AIEA), à savoir : le coût des voyages en avion et des prestations connexes</w:t>
      </w:r>
      <w:r w:rsidR="007959C4">
        <w:t> ;</w:t>
      </w:r>
      <w:r w:rsidRPr="003B5EA4">
        <w:t xml:space="preserve"> les conditions de voyage en avion</w:t>
      </w:r>
      <w:r w:rsidR="007959C4">
        <w:t> ;</w:t>
      </w:r>
      <w:r w:rsidRPr="003B5EA4">
        <w:t xml:space="preserve"> les politiques et pratiques régissant l</w:t>
      </w:r>
      <w:r w:rsidR="00762E0A">
        <w:t>’</w:t>
      </w:r>
      <w:r w:rsidRPr="003B5EA4">
        <w:t>administration des voyages en avion</w:t>
      </w:r>
      <w:r w:rsidR="007959C4">
        <w:t> ;</w:t>
      </w:r>
      <w:r w:rsidRPr="003B5EA4">
        <w:t xml:space="preserve"> la responsabilisation, la surveillance et le contrôle</w:t>
      </w:r>
      <w:r w:rsidR="007959C4">
        <w:t> ;</w:t>
      </w:r>
      <w:r w:rsidRPr="003B5EA4">
        <w:t xml:space="preserve"> la planification, les réservations et les achats anticipés</w:t>
      </w:r>
      <w:r w:rsidR="007959C4">
        <w:t> ;</w:t>
      </w:r>
      <w:r w:rsidRPr="003B5EA4">
        <w:t xml:space="preserve"> les possibilités de remplacement des voyages en avion</w:t>
      </w:r>
      <w:r w:rsidR="007959C4">
        <w:t> ;</w:t>
      </w:r>
      <w:r w:rsidRPr="003B5EA4">
        <w:t xml:space="preserve"> les outils de gestion des voyages en avion</w:t>
      </w:r>
      <w:r w:rsidR="007959C4">
        <w:t> ;</w:t>
      </w:r>
      <w:r w:rsidRPr="003B5EA4">
        <w:t xml:space="preserve"> les relations avec les sociétés de gestion de voyages et les compagnies aériennes</w:t>
      </w:r>
      <w:r w:rsidR="007959C4">
        <w:t> ;</w:t>
      </w:r>
      <w:r w:rsidRPr="003B5EA4">
        <w:t xml:space="preserve"> les mesures d</w:t>
      </w:r>
      <w:r w:rsidR="00762E0A">
        <w:t>’</w:t>
      </w:r>
      <w:r w:rsidRPr="003B5EA4">
        <w:t>économie</w:t>
      </w:r>
      <w:r w:rsidR="007959C4">
        <w:t> ;</w:t>
      </w:r>
      <w:r w:rsidRPr="003B5EA4">
        <w:t xml:space="preserve"> l</w:t>
      </w:r>
      <w:r w:rsidR="00762E0A">
        <w:t>’</w:t>
      </w:r>
      <w:r w:rsidRPr="003B5EA4">
        <w:t>harmonisation à l</w:t>
      </w:r>
      <w:r w:rsidR="00762E0A">
        <w:t>’</w:t>
      </w:r>
      <w:r w:rsidRPr="003B5EA4">
        <w:t>échelle du système.</w:t>
      </w:r>
    </w:p>
    <w:p w:rsidR="004B6854" w:rsidRPr="003B5EA4" w:rsidRDefault="004B6854" w:rsidP="00E447E1">
      <w:pPr>
        <w:pStyle w:val="SingleTxtG"/>
      </w:pPr>
      <w:r w:rsidRPr="003B5EA4">
        <w:t>8.</w:t>
      </w:r>
      <w:r w:rsidRPr="003B5EA4">
        <w:tab/>
      </w:r>
      <w:r w:rsidR="002D13DD" w:rsidRPr="003B5EA4">
        <w:t>Étant l</w:t>
      </w:r>
      <w:r w:rsidR="00762E0A">
        <w:t>’</w:t>
      </w:r>
      <w:r w:rsidR="002D13DD" w:rsidRPr="003B5EA4">
        <w:t>envergure des activités relatives aux voyages en avion au sein du système des Nations Unies, le présent examen se distingue par les questions qu</w:t>
      </w:r>
      <w:r w:rsidR="00762E0A">
        <w:t>’</w:t>
      </w:r>
      <w:r w:rsidR="002D13DD" w:rsidRPr="003B5EA4">
        <w:t>il aborde, sa complexité et son exhaustivité des précédents travaux du CCI en la matière. L</w:t>
      </w:r>
      <w:r w:rsidR="00762E0A">
        <w:t>’</w:t>
      </w:r>
      <w:r w:rsidR="002D13DD" w:rsidRPr="003B5EA4">
        <w:t xml:space="preserve">Inspectrice </w:t>
      </w:r>
      <w:r w:rsidR="002D13DD" w:rsidRPr="003B5EA4">
        <w:lastRenderedPageBreak/>
        <w:t>n</w:t>
      </w:r>
      <w:r w:rsidR="00762E0A">
        <w:t>’</w:t>
      </w:r>
      <w:r w:rsidR="002D13DD" w:rsidRPr="003B5EA4">
        <w:t>entend pas proposer un modèle passe-partout, mais relever les enseignements tirés et les bonnes pratiques établies à reproduire dans l</w:t>
      </w:r>
      <w:r w:rsidR="00762E0A">
        <w:t>’</w:t>
      </w:r>
      <w:r w:rsidR="002D13DD" w:rsidRPr="003B5EA4">
        <w:t>ensemble du système des Nations Unies dans un cadre cohérent et axé sur les résultats, tout en renforçant, le cas échéant, la coordination, la coopération et l</w:t>
      </w:r>
      <w:r w:rsidR="00762E0A">
        <w:t>’</w:t>
      </w:r>
      <w:r w:rsidR="002D13DD" w:rsidRPr="003B5EA4">
        <w:t>harmonisation.</w:t>
      </w:r>
    </w:p>
    <w:p w:rsidR="004B6854" w:rsidRPr="003B5EA4" w:rsidRDefault="004B6854" w:rsidP="004B6854">
      <w:pPr>
        <w:pStyle w:val="SingleTxtG"/>
      </w:pPr>
      <w:r w:rsidRPr="003B5EA4">
        <w:t>9.</w:t>
      </w:r>
      <w:r w:rsidRPr="003B5EA4">
        <w:tab/>
      </w:r>
      <w:r w:rsidR="002D13DD" w:rsidRPr="003B5EA4">
        <w:t>Les opérations de maintien de la paix et les missions politiques spéciales ne sont pas concernées par cet examen faute de temps et de ressources financières.</w:t>
      </w:r>
    </w:p>
    <w:p w:rsidR="004B6854" w:rsidRPr="003B5EA4" w:rsidRDefault="004B6854" w:rsidP="004B6854">
      <w:pPr>
        <w:pStyle w:val="H1G"/>
      </w:pPr>
      <w:r w:rsidRPr="003B5EA4">
        <w:tab/>
        <w:t>D.</w:t>
      </w:r>
      <w:r w:rsidRPr="003B5EA4">
        <w:tab/>
        <w:t>Limites et difficultés</w:t>
      </w:r>
    </w:p>
    <w:p w:rsidR="004B6854" w:rsidRPr="003B5EA4" w:rsidRDefault="004B6854" w:rsidP="004B6854">
      <w:pPr>
        <w:pStyle w:val="SingleTxtG"/>
      </w:pPr>
      <w:r w:rsidRPr="003B5EA4">
        <w:t>10.</w:t>
      </w:r>
      <w:r w:rsidRPr="003B5EA4">
        <w:tab/>
        <w:t>Le coût total des voyages en avion n</w:t>
      </w:r>
      <w:r w:rsidR="00762E0A">
        <w:t>’</w:t>
      </w:r>
      <w:r w:rsidRPr="003B5EA4">
        <w:t>a pas pu être calculé parce que certaines organisations ont fourni des données incomplètes ou n</w:t>
      </w:r>
      <w:r w:rsidR="00762E0A">
        <w:t>’</w:t>
      </w:r>
      <w:r w:rsidRPr="003B5EA4">
        <w:t>ont fourni aucun élément concernant les dépenses relatives aux voyages en avion et les dérogations octroyées. Certaines organisations n</w:t>
      </w:r>
      <w:r w:rsidR="00762E0A">
        <w:t>’</w:t>
      </w:r>
      <w:r w:rsidRPr="003B5EA4">
        <w:t>ont pas été en mesure de ventiler leurs données entre fonctionnaires et non</w:t>
      </w:r>
      <w:r w:rsidR="001E1344">
        <w:noBreakHyphen/>
      </w:r>
      <w:r w:rsidRPr="003B5EA4">
        <w:t>fonctionnaires, ou selon les classes de voyage (première, affaires et économique). En outre, le rapport ne comptabilise que les dépenses consenties pendant la période de quatre ans allant de 2012 à 2015, certaines organisations ayant indiqué qu</w:t>
      </w:r>
      <w:r w:rsidR="00762E0A">
        <w:t>’</w:t>
      </w:r>
      <w:r w:rsidRPr="003B5EA4">
        <w:t>elles ne disposaient pas avant 2012 de progiciels de gestion intégrés pour les voyages</w:t>
      </w:r>
      <w:r w:rsidRPr="003B5EA4">
        <w:rPr>
          <w:rStyle w:val="Appelnotedebasdep"/>
        </w:rPr>
        <w:footnoteReference w:id="15"/>
      </w:r>
      <w:r w:rsidRPr="003B5EA4">
        <w:t>. Plusieurs organisations ont aussi fourni des réponses insuffisantes aux demandes d</w:t>
      </w:r>
      <w:r w:rsidR="00762E0A">
        <w:t>’</w:t>
      </w:r>
      <w:r w:rsidRPr="003B5EA4">
        <w:t>informations qualitatives figurant dans le questionnaire du CCI destiné aux organismes.</w:t>
      </w:r>
    </w:p>
    <w:p w:rsidR="004B6854" w:rsidRPr="003B5EA4" w:rsidRDefault="004B6854" w:rsidP="004B6854">
      <w:pPr>
        <w:pStyle w:val="H1G"/>
      </w:pPr>
      <w:r w:rsidRPr="003B5EA4">
        <w:tab/>
        <w:t>E.</w:t>
      </w:r>
      <w:r w:rsidRPr="003B5EA4">
        <w:tab/>
        <w:t>Méthodologie</w:t>
      </w:r>
    </w:p>
    <w:p w:rsidR="004B6854" w:rsidRPr="003B5EA4" w:rsidRDefault="004B6854" w:rsidP="004B6854">
      <w:pPr>
        <w:pStyle w:val="SingleTxtG"/>
      </w:pPr>
      <w:r w:rsidRPr="003B5EA4">
        <w:t>11.</w:t>
      </w:r>
      <w:r w:rsidRPr="003B5EA4">
        <w:tab/>
      </w:r>
      <w:r w:rsidR="002D13DD" w:rsidRPr="003B5EA4">
        <w:t>L</w:t>
      </w:r>
      <w:r w:rsidR="00762E0A">
        <w:t>’</w:t>
      </w:r>
      <w:r w:rsidR="002D13DD" w:rsidRPr="003B5EA4">
        <w:t>examen des politiques d</w:t>
      </w:r>
      <w:r w:rsidR="00762E0A">
        <w:t>’</w:t>
      </w:r>
      <w:r w:rsidR="002D13DD" w:rsidRPr="003B5EA4">
        <w:t>administration des voyages s</w:t>
      </w:r>
      <w:r w:rsidR="00762E0A">
        <w:t>’</w:t>
      </w:r>
      <w:r w:rsidR="002D13DD" w:rsidRPr="003B5EA4">
        <w:t>est déroulé de février</w:t>
      </w:r>
      <w:r w:rsidRPr="003B5EA4">
        <w:t xml:space="preserve"> </w:t>
      </w:r>
      <w:r w:rsidR="002D13DD" w:rsidRPr="003B5EA4">
        <w:t>2016 à mai</w:t>
      </w:r>
      <w:r w:rsidRPr="003B5EA4">
        <w:t xml:space="preserve"> </w:t>
      </w:r>
      <w:r w:rsidR="002D13DD" w:rsidRPr="003B5EA4">
        <w:t>2017. Conformément aux normes, directives et procédures internes du CCI, la méthodologie suivie pour établir le rapport a comporté un examen approfondi sur dossiers et une analyse quantitative et qualitative des données provenant de la documentation reçue ou recueillie, des réponses au questionnaire et des notes d</w:t>
      </w:r>
      <w:r w:rsidR="00762E0A">
        <w:t>’</w:t>
      </w:r>
      <w:r w:rsidR="002D13DD" w:rsidRPr="003B5EA4">
        <w:t>entretiens, moyennant recoupement et validation des renseignements obtenus</w:t>
      </w:r>
      <w:r w:rsidRPr="003B5EA4">
        <w:t>.</w:t>
      </w:r>
    </w:p>
    <w:p w:rsidR="00435311" w:rsidRPr="003B5EA4" w:rsidRDefault="00435311" w:rsidP="004B6854">
      <w:pPr>
        <w:pStyle w:val="SingleTxtG"/>
      </w:pPr>
      <w:r w:rsidRPr="003B5EA4">
        <w:t>12.</w:t>
      </w:r>
      <w:r w:rsidRPr="003B5EA4">
        <w:tab/>
      </w:r>
      <w:r w:rsidR="002D13DD" w:rsidRPr="003B5EA4">
        <w:t>Les avis des 26 organismes participants sur 28</w:t>
      </w:r>
      <w:r w:rsidR="002D13DD" w:rsidRPr="003B5EA4">
        <w:rPr>
          <w:rStyle w:val="Appelnotedebasdep"/>
        </w:rPr>
        <w:footnoteReference w:id="16"/>
      </w:r>
      <w:r w:rsidR="002D13DD" w:rsidRPr="003B5EA4">
        <w:t xml:space="preserve"> qui ont répondu au questionnaire du CCI destiné aux organismes ont été recueillis, après quoi des entretiens ont eu lieu aux sièges concernés à Genève, New York, Washington, Rome, Paris, Bruxelles et Vienne. Ces entretiens ont été menés avec des administrateurs responsables des voyages, des représentants du personnel, divers autres groupes, des fonctionnaires d</w:t>
      </w:r>
      <w:r w:rsidR="00762E0A">
        <w:t>’</w:t>
      </w:r>
      <w:r w:rsidR="002D13DD" w:rsidRPr="003B5EA4">
        <w:t>organes de contrôle et de coordination, le Service médical commun et des représentants de deux États Membres ainsi que de l</w:t>
      </w:r>
      <w:r w:rsidR="00762E0A">
        <w:t>’</w:t>
      </w:r>
      <w:r w:rsidR="002D13DD" w:rsidRPr="003B5EA4">
        <w:t>Union européenne</w:t>
      </w:r>
      <w:r w:rsidR="002D13DD" w:rsidRPr="003B5EA4">
        <w:rPr>
          <w:rStyle w:val="Appelnotedebasdep"/>
        </w:rPr>
        <w:footnoteReference w:id="17"/>
      </w:r>
      <w:r w:rsidR="002D13DD" w:rsidRPr="003B5EA4">
        <w:t>.</w:t>
      </w:r>
    </w:p>
    <w:p w:rsidR="00435311" w:rsidRPr="003B5EA4" w:rsidRDefault="00435311" w:rsidP="004B6854">
      <w:pPr>
        <w:pStyle w:val="SingleTxtG"/>
      </w:pPr>
      <w:r w:rsidRPr="003B5EA4">
        <w:t>13.</w:t>
      </w:r>
      <w:r w:rsidRPr="003B5EA4">
        <w:tab/>
      </w:r>
      <w:r w:rsidR="002D13DD" w:rsidRPr="003B5EA4">
        <w:t>Des entretiens ont également été menés avec des représentants d</w:t>
      </w:r>
      <w:r w:rsidR="00762E0A">
        <w:t>’</w:t>
      </w:r>
      <w:r w:rsidR="002D13DD" w:rsidRPr="003B5EA4">
        <w:t>autres organisations internationales, à savoir le Groupe de la Banque mondiale, le Fonds monétaire international, la Banque interaméricaine de développement (BID),</w:t>
      </w:r>
      <w:r w:rsidR="00A73C41" w:rsidRPr="003B5EA4">
        <w:t xml:space="preserve"> </w:t>
      </w:r>
      <w:r w:rsidR="002D13DD" w:rsidRPr="003B5EA4">
        <w:t>l</w:t>
      </w:r>
      <w:r w:rsidR="00762E0A">
        <w:t>’</w:t>
      </w:r>
      <w:r w:rsidR="002D13DD" w:rsidRPr="003B5EA4">
        <w:t>Organisation internationale pour les migrations (OIM), l</w:t>
      </w:r>
      <w:r w:rsidR="00762E0A">
        <w:t>’</w:t>
      </w:r>
      <w:r w:rsidR="002D13DD" w:rsidRPr="003B5EA4">
        <w:t>Alliance mondiale pour les vaccins et la vaccination (GAVI), l</w:t>
      </w:r>
      <w:r w:rsidR="00762E0A">
        <w:t>’</w:t>
      </w:r>
      <w:r w:rsidR="002D13DD" w:rsidRPr="003B5EA4">
        <w:t>Organisation de coopération et de développement économiques (OCDE) et le Fonds mondial. Ont également été interrogés dans le cadre d</w:t>
      </w:r>
      <w:r w:rsidR="00762E0A">
        <w:t>’</w:t>
      </w:r>
      <w:r w:rsidR="002D13DD" w:rsidRPr="003B5EA4">
        <w:t>un entretien, trois sociétés du secteur privé (Nestlé, Proctor and Gamble et Japan Tobacco International), le groupe Lufthansa, l</w:t>
      </w:r>
      <w:r w:rsidR="00762E0A">
        <w:t>’</w:t>
      </w:r>
      <w:r w:rsidR="002D13DD" w:rsidRPr="003B5EA4">
        <w:t>IATA et deux sociétés de gestion de voyages (American Express et Carlson Wagonlit Travel). Des questions de suivi ont été envoyées à certaines de ces entités à la suite des entretiens. Le nombre de déplacements a été réduit en faisant appel à la téléconférence.</w:t>
      </w:r>
    </w:p>
    <w:p w:rsidR="00435311" w:rsidRPr="003B5EA4" w:rsidRDefault="00435311" w:rsidP="004B6854">
      <w:pPr>
        <w:pStyle w:val="SingleTxtG"/>
        <w:rPr>
          <w:szCs w:val="22"/>
        </w:rPr>
      </w:pPr>
      <w:r w:rsidRPr="003B5EA4">
        <w:lastRenderedPageBreak/>
        <w:t>14.</w:t>
      </w:r>
      <w:r w:rsidRPr="003B5EA4">
        <w:tab/>
      </w:r>
      <w:r w:rsidRPr="003B5EA4">
        <w:rPr>
          <w:szCs w:val="22"/>
        </w:rPr>
        <w:t>Les informations et les opinions recueillies au moyen des réponses au questionnaire et des entretiens ont été traitées dans le respect de la confidentialité qui caractérise le travail du CCI. Les réponses sont essentiellement présentées sous forme agrégée dans le rapport et lorsque celui-ci fait usage de citations à titre d</w:t>
      </w:r>
      <w:r w:rsidR="00762E0A">
        <w:rPr>
          <w:szCs w:val="22"/>
        </w:rPr>
        <w:t>’</w:t>
      </w:r>
      <w:r w:rsidRPr="003B5EA4">
        <w:rPr>
          <w:szCs w:val="22"/>
        </w:rPr>
        <w:t>illustration, la ou les sources ne sont jamais mentionnées.</w:t>
      </w:r>
    </w:p>
    <w:p w:rsidR="00435311" w:rsidRPr="003B5EA4" w:rsidRDefault="00435311" w:rsidP="004B6854">
      <w:pPr>
        <w:pStyle w:val="SingleTxtG"/>
        <w:rPr>
          <w:szCs w:val="22"/>
        </w:rPr>
      </w:pPr>
      <w:r w:rsidRPr="003B5EA4">
        <w:rPr>
          <w:szCs w:val="22"/>
        </w:rPr>
        <w:t>15.</w:t>
      </w:r>
      <w:r w:rsidRPr="003B5EA4">
        <w:rPr>
          <w:szCs w:val="22"/>
        </w:rPr>
        <w:tab/>
      </w:r>
      <w:r w:rsidR="002D13DD" w:rsidRPr="003B5EA4">
        <w:rPr>
          <w:szCs w:val="22"/>
        </w:rPr>
        <w:t>En application du paragraphe 2 de l</w:t>
      </w:r>
      <w:r w:rsidR="00762E0A">
        <w:rPr>
          <w:szCs w:val="22"/>
        </w:rPr>
        <w:t>’</w:t>
      </w:r>
      <w:r w:rsidR="002D13DD" w:rsidRPr="003B5EA4">
        <w:rPr>
          <w:szCs w:val="22"/>
        </w:rPr>
        <w:t>article 11 du Statut du CCI, une procédure d</w:t>
      </w:r>
      <w:r w:rsidR="00762E0A">
        <w:rPr>
          <w:szCs w:val="22"/>
        </w:rPr>
        <w:t>’</w:t>
      </w:r>
      <w:r w:rsidR="002D13DD" w:rsidRPr="003B5EA4">
        <w:rPr>
          <w:szCs w:val="22"/>
        </w:rPr>
        <w:t>examen par les pairs a été suivie afin de soumettre le rapport au jugement collectif des inspecteurs du CCI avant sa finalisation. Le projet de rapport a été distribué aux organismes participants aux fins de correction d</w:t>
      </w:r>
      <w:r w:rsidR="00762E0A">
        <w:rPr>
          <w:szCs w:val="22"/>
        </w:rPr>
        <w:t>’</w:t>
      </w:r>
      <w:r w:rsidR="002D13DD" w:rsidRPr="003B5EA4">
        <w:rPr>
          <w:szCs w:val="22"/>
        </w:rPr>
        <w:t>erreurs de fait et de commentaires relatifs aux constatations, conclusions et recommandations. Les recommandations sont au nombre de neuf. Trois s</w:t>
      </w:r>
      <w:r w:rsidR="00762E0A">
        <w:rPr>
          <w:szCs w:val="22"/>
        </w:rPr>
        <w:t>’</w:t>
      </w:r>
      <w:r w:rsidR="002D13DD" w:rsidRPr="003B5EA4">
        <w:rPr>
          <w:szCs w:val="22"/>
        </w:rPr>
        <w:t xml:space="preserve">adressent aux chefs de secrétariat et six aux organes délibérants des organismes participants, </w:t>
      </w:r>
      <w:r w:rsidR="0055478D">
        <w:rPr>
          <w:szCs w:val="22"/>
        </w:rPr>
        <w:t>y compris</w:t>
      </w:r>
      <w:r w:rsidR="002D13DD" w:rsidRPr="003B5EA4">
        <w:rPr>
          <w:szCs w:val="22"/>
        </w:rPr>
        <w:t xml:space="preserve"> l</w:t>
      </w:r>
      <w:r w:rsidR="00762E0A">
        <w:rPr>
          <w:szCs w:val="22"/>
        </w:rPr>
        <w:t>’</w:t>
      </w:r>
      <w:r w:rsidR="002D13DD" w:rsidRPr="003B5EA4">
        <w:rPr>
          <w:szCs w:val="22"/>
        </w:rPr>
        <w:t>Assemblée générale.</w:t>
      </w:r>
    </w:p>
    <w:p w:rsidR="00435311" w:rsidRPr="003B5EA4" w:rsidRDefault="00435311" w:rsidP="00435311">
      <w:pPr>
        <w:pStyle w:val="SingleTxtG"/>
      </w:pPr>
      <w:r w:rsidRPr="003B5EA4">
        <w:t>16.</w:t>
      </w:r>
      <w:r w:rsidRPr="003B5EA4">
        <w:tab/>
      </w:r>
      <w:r w:rsidR="002D13DD" w:rsidRPr="003B5EA4">
        <w:t>Afin de faciliter la suite à donner au présent rapport, la mise en œuvre de ses recommandation</w:t>
      </w:r>
      <w:r w:rsidR="00353607">
        <w:t>s</w:t>
      </w:r>
      <w:r w:rsidR="002D13DD" w:rsidRPr="003B5EA4">
        <w:t xml:space="preserve"> et le suivi de cette mise en œuvre, l</w:t>
      </w:r>
      <w:r w:rsidR="00762E0A">
        <w:t>’</w:t>
      </w:r>
      <w:r w:rsidR="002D13DD" w:rsidRPr="003B5EA4">
        <w:t>annexe XIII contient un tableau indiquant si le rapport a été soumis aux organisations intéressées pour suite à donner ou pour information. Il précise également si les recommandations s</w:t>
      </w:r>
      <w:r w:rsidR="00762E0A">
        <w:t>’</w:t>
      </w:r>
      <w:r w:rsidR="002D13DD" w:rsidRPr="003B5EA4">
        <w:t>adressent à leurs organes délibérants ou à leurs chefs de secrétariat.</w:t>
      </w:r>
    </w:p>
    <w:p w:rsidR="005A2D7B" w:rsidRDefault="004425E0" w:rsidP="00435311">
      <w:pPr>
        <w:pStyle w:val="SingleTxtG"/>
      </w:pPr>
      <w:r w:rsidRPr="003B5EA4">
        <w:t>17.</w:t>
      </w:r>
      <w:r w:rsidRPr="003B5EA4">
        <w:tab/>
      </w:r>
      <w:r w:rsidR="002D13DD" w:rsidRPr="003B5EA4">
        <w:t>L</w:t>
      </w:r>
      <w:r w:rsidR="00762E0A">
        <w:t>’</w:t>
      </w:r>
      <w:r w:rsidR="002D13DD" w:rsidRPr="003B5EA4">
        <w:t>Inspectrice tient à exprimer sa gratitude à tous les fonctionnaires des organismes des Nations Unies et représentants d</w:t>
      </w:r>
      <w:r w:rsidR="00762E0A">
        <w:t>’</w:t>
      </w:r>
      <w:r w:rsidR="002D13DD" w:rsidRPr="003B5EA4">
        <w:t>autres entités qui ont concouru à l</w:t>
      </w:r>
      <w:r w:rsidR="00762E0A">
        <w:t>’</w:t>
      </w:r>
      <w:r w:rsidR="002D13DD" w:rsidRPr="003B5EA4">
        <w:t>établissement du présent rapport, en particulier à ceux qui se sont prêtés aux entretiens et ont si volontiers partagé leurs connaissances et leur expertise</w:t>
      </w:r>
      <w:r w:rsidRPr="003B5EA4">
        <w:t>.</w:t>
      </w:r>
    </w:p>
    <w:p w:rsidR="004425E0" w:rsidRPr="003B5EA4" w:rsidRDefault="005A2D7B" w:rsidP="005A2D7B">
      <w:pPr>
        <w:pStyle w:val="HChG"/>
      </w:pPr>
      <w:r>
        <w:br w:type="page"/>
      </w:r>
      <w:r w:rsidR="0063426E" w:rsidRPr="003B5EA4">
        <w:lastRenderedPageBreak/>
        <w:tab/>
        <w:t>II.</w:t>
      </w:r>
      <w:r w:rsidR="0063426E" w:rsidRPr="003B5EA4">
        <w:tab/>
      </w:r>
      <w:r w:rsidR="006103C4" w:rsidRPr="003B5EA4">
        <w:t xml:space="preserve">Dépenses totales engagées au titre des voyages en avion </w:t>
      </w:r>
      <w:r w:rsidR="006103C4" w:rsidRPr="003B5EA4">
        <w:br/>
        <w:t xml:space="preserve">et des prestations connexes au sein du système </w:t>
      </w:r>
      <w:r w:rsidR="006103C4" w:rsidRPr="003B5EA4">
        <w:br/>
        <w:t>des Nations Unies</w:t>
      </w:r>
    </w:p>
    <w:p w:rsidR="006103C4" w:rsidRPr="003B5EA4" w:rsidRDefault="006103C4" w:rsidP="006103C4">
      <w:pPr>
        <w:pStyle w:val="SingleTxtG"/>
      </w:pPr>
      <w:r w:rsidRPr="003B5EA4">
        <w:t>18.</w:t>
      </w:r>
      <w:r w:rsidRPr="003B5EA4">
        <w:tab/>
      </w:r>
      <w:r w:rsidR="002D13DD" w:rsidRPr="003B5EA4">
        <w:t>L</w:t>
      </w:r>
      <w:r w:rsidR="00762E0A">
        <w:t>’</w:t>
      </w:r>
      <w:r w:rsidR="002D13DD" w:rsidRPr="003B5EA4">
        <w:t>implantation de ses bureaux et programmes à travers le monde fait du système des Nations Unies l</w:t>
      </w:r>
      <w:r w:rsidR="00762E0A">
        <w:t>’</w:t>
      </w:r>
      <w:r w:rsidR="002D13DD" w:rsidRPr="003B5EA4">
        <w:t>un des plus grands consommateurs de services de voyages parmi les organisations internationales. Les dépenses de voyage constituent une part importante des dépenses de fonctionnement des organismes des Nations Unies et elles ont augmenté au cours de la décennie écoulée en dépit des mesures d</w:t>
      </w:r>
      <w:r w:rsidR="00762E0A">
        <w:t>’</w:t>
      </w:r>
      <w:r w:rsidR="002D13DD" w:rsidRPr="003B5EA4">
        <w:t>économie et des nouvelle technologies mises en œuvre. Le présent chapitre fournit des informations sur l</w:t>
      </w:r>
      <w:r w:rsidR="00762E0A">
        <w:t>’</w:t>
      </w:r>
      <w:r w:rsidR="002D13DD" w:rsidRPr="003B5EA4">
        <w:t>évolution de ces dépenses dans les organismes des Nations Unies qui ont répondu au questionnaire du CCI en la matière</w:t>
      </w:r>
      <w:r w:rsidRPr="003B5EA4">
        <w:t>.</w:t>
      </w:r>
    </w:p>
    <w:p w:rsidR="006103C4" w:rsidRPr="003B5EA4" w:rsidRDefault="006103C4" w:rsidP="006103C4">
      <w:pPr>
        <w:pStyle w:val="H1G"/>
      </w:pPr>
      <w:r w:rsidRPr="003B5EA4">
        <w:tab/>
        <w:t>A.</w:t>
      </w:r>
      <w:r w:rsidRPr="003B5EA4">
        <w:tab/>
        <w:t>Évolution des dépenses engagées par les organismes au titre des voyages en avion et des prestations connexes</w:t>
      </w:r>
    </w:p>
    <w:p w:rsidR="00B06780" w:rsidRPr="003B5EA4" w:rsidRDefault="00B06780" w:rsidP="00932B5D">
      <w:pPr>
        <w:pStyle w:val="Titre1"/>
        <w:ind w:left="0"/>
        <w:rPr>
          <w:b/>
          <w:lang w:eastAsia="zh-CN"/>
        </w:rPr>
      </w:pPr>
      <w:r w:rsidRPr="003B5EA4">
        <w:rPr>
          <w:lang w:eastAsia="zh-CN"/>
        </w:rPr>
        <w:t xml:space="preserve">Tableau 1 </w:t>
      </w:r>
      <w:r w:rsidRPr="003B5EA4">
        <w:rPr>
          <w:lang w:eastAsia="zh-CN"/>
        </w:rPr>
        <w:br/>
      </w:r>
      <w:r w:rsidRPr="003B5EA4">
        <w:rPr>
          <w:b/>
          <w:lang w:eastAsia="zh-CN"/>
        </w:rPr>
        <w:t>Dépenses au titre des voyages en avion et des prestations connexes en proportion des dépenses totales de chaque organisme pour la période 2012-2015</w:t>
      </w:r>
    </w:p>
    <w:p w:rsidR="00B06780" w:rsidRPr="003B5EA4" w:rsidRDefault="00615525" w:rsidP="00932B5D">
      <w:pPr>
        <w:pStyle w:val="SingleTxtG"/>
        <w:ind w:left="0" w:right="0"/>
        <w:jc w:val="left"/>
        <w:rPr>
          <w:bCs/>
          <w:color w:val="000000"/>
          <w:sz w:val="16"/>
          <w:szCs w:val="16"/>
          <w:lang w:eastAsia="zh-CN"/>
        </w:rPr>
      </w:pPr>
      <w:r w:rsidRPr="003B5EA4">
        <w:rPr>
          <w:bCs/>
          <w:color w:val="000000"/>
          <w:sz w:val="16"/>
          <w:szCs w:val="16"/>
          <w:lang w:eastAsia="zh-CN"/>
        </w:rPr>
        <w:t>(En millions de dollars des États-Unis (inscrites au budget ordinaire et de sources extrabudgétaires)</w:t>
      </w:r>
      <w:r w:rsidR="00BC30E1" w:rsidRPr="003B5EA4">
        <w:rPr>
          <w:bCs/>
          <w:color w:val="000000"/>
          <w:sz w:val="16"/>
          <w:szCs w:val="16"/>
          <w:lang w:eastAsia="zh-CN"/>
        </w:rPr>
        <w:t>)</w:t>
      </w:r>
    </w:p>
    <w:tbl>
      <w:tblPr>
        <w:tblW w:w="9637" w:type="dxa"/>
        <w:tblLayout w:type="fixed"/>
        <w:tblCellMar>
          <w:left w:w="0" w:type="dxa"/>
          <w:right w:w="0" w:type="dxa"/>
        </w:tblCellMar>
        <w:tblLook w:val="04A0" w:firstRow="1" w:lastRow="0" w:firstColumn="1" w:lastColumn="0" w:noHBand="0" w:noVBand="1"/>
      </w:tblPr>
      <w:tblGrid>
        <w:gridCol w:w="1260"/>
        <w:gridCol w:w="1694"/>
        <w:gridCol w:w="1806"/>
        <w:gridCol w:w="2071"/>
        <w:gridCol w:w="966"/>
        <w:gridCol w:w="1840"/>
      </w:tblGrid>
      <w:tr w:rsidR="00932B5D" w:rsidRPr="003B5EA4" w:rsidTr="00B26714">
        <w:trPr>
          <w:tblHeader/>
        </w:trPr>
        <w:tc>
          <w:tcPr>
            <w:tcW w:w="1260" w:type="dxa"/>
            <w:tcBorders>
              <w:top w:val="single" w:sz="4" w:space="0" w:color="auto"/>
              <w:bottom w:val="single" w:sz="12" w:space="0" w:color="auto"/>
            </w:tcBorders>
            <w:shd w:val="clear" w:color="auto" w:fill="auto"/>
            <w:vAlign w:val="bottom"/>
            <w:hideMark/>
          </w:tcPr>
          <w:p w:rsidR="00DE3193" w:rsidRPr="003B5EA4" w:rsidRDefault="00DE3193" w:rsidP="00DA6EA8">
            <w:pPr>
              <w:suppressAutoHyphens w:val="0"/>
              <w:spacing w:before="80" w:after="80" w:line="200" w:lineRule="exact"/>
              <w:rPr>
                <w:i/>
                <w:sz w:val="16"/>
                <w:lang w:eastAsia="zh-CN"/>
              </w:rPr>
            </w:pPr>
            <w:r w:rsidRPr="003B5EA4">
              <w:rPr>
                <w:i/>
                <w:sz w:val="16"/>
                <w:lang w:eastAsia="zh-CN"/>
              </w:rPr>
              <w:t>Entité</w:t>
            </w:r>
          </w:p>
        </w:tc>
        <w:tc>
          <w:tcPr>
            <w:tcW w:w="1694" w:type="dxa"/>
            <w:tcBorders>
              <w:top w:val="single" w:sz="4" w:space="0" w:color="auto"/>
              <w:bottom w:val="single" w:sz="12" w:space="0" w:color="auto"/>
            </w:tcBorders>
            <w:shd w:val="clear" w:color="auto" w:fill="auto"/>
            <w:vAlign w:val="bottom"/>
            <w:hideMark/>
          </w:tcPr>
          <w:p w:rsidR="00DE3193" w:rsidRPr="003B5EA4" w:rsidRDefault="00DE3193" w:rsidP="008931B7">
            <w:pPr>
              <w:suppressAutoHyphens w:val="0"/>
              <w:spacing w:before="80" w:after="80" w:line="200" w:lineRule="exact"/>
              <w:jc w:val="right"/>
              <w:rPr>
                <w:i/>
                <w:sz w:val="16"/>
                <w:lang w:eastAsia="zh-CN"/>
              </w:rPr>
            </w:pPr>
            <w:r w:rsidRPr="003B5EA4">
              <w:rPr>
                <w:i/>
                <w:sz w:val="16"/>
                <w:lang w:eastAsia="zh-CN"/>
              </w:rPr>
              <w:t xml:space="preserve">Dépenses totales </w:t>
            </w:r>
            <w:r w:rsidR="008E0218" w:rsidRPr="003B5EA4">
              <w:rPr>
                <w:i/>
                <w:sz w:val="16"/>
                <w:lang w:eastAsia="zh-CN"/>
              </w:rPr>
              <w:br/>
            </w:r>
            <w:r w:rsidRPr="003B5EA4">
              <w:rPr>
                <w:i/>
                <w:sz w:val="16"/>
                <w:lang w:eastAsia="zh-CN"/>
              </w:rPr>
              <w:t xml:space="preserve">au titre des voyages </w:t>
            </w:r>
            <w:r w:rsidR="008E0218" w:rsidRPr="003B5EA4">
              <w:rPr>
                <w:i/>
                <w:sz w:val="16"/>
                <w:lang w:eastAsia="zh-CN"/>
              </w:rPr>
              <w:br/>
            </w:r>
            <w:r w:rsidRPr="003B5EA4">
              <w:rPr>
                <w:i/>
                <w:spacing w:val="-2"/>
                <w:sz w:val="16"/>
                <w:lang w:eastAsia="zh-CN"/>
              </w:rPr>
              <w:t>en avion et des</w:t>
            </w:r>
            <w:r w:rsidR="008931B7" w:rsidRPr="003B5EA4">
              <w:rPr>
                <w:i/>
                <w:spacing w:val="-2"/>
                <w:sz w:val="16"/>
                <w:lang w:eastAsia="zh-CN"/>
              </w:rPr>
              <w:t xml:space="preserve"> </w:t>
            </w:r>
            <w:r w:rsidRPr="003B5EA4">
              <w:rPr>
                <w:i/>
                <w:spacing w:val="-2"/>
                <w:sz w:val="16"/>
                <w:lang w:eastAsia="zh-CN"/>
              </w:rPr>
              <w:t>prestations</w:t>
            </w:r>
            <w:r w:rsidRPr="003B5EA4">
              <w:rPr>
                <w:i/>
                <w:sz w:val="16"/>
                <w:lang w:eastAsia="zh-CN"/>
              </w:rPr>
              <w:t xml:space="preserve"> connexes</w:t>
            </w:r>
            <w:r w:rsidR="008931B7" w:rsidRPr="003B5EA4">
              <w:rPr>
                <w:i/>
                <w:sz w:val="16"/>
                <w:lang w:eastAsia="zh-CN"/>
              </w:rPr>
              <w:t xml:space="preserve"> : </w:t>
            </w:r>
            <w:r w:rsidRPr="003B5EA4">
              <w:rPr>
                <w:i/>
                <w:sz w:val="16"/>
                <w:lang w:eastAsia="zh-CN"/>
              </w:rPr>
              <w:t xml:space="preserve">fonctionnaires </w:t>
            </w:r>
            <w:r w:rsidR="00405513" w:rsidRPr="003B5EA4">
              <w:rPr>
                <w:i/>
                <w:sz w:val="16"/>
                <w:lang w:eastAsia="zh-CN"/>
              </w:rPr>
              <w:br/>
            </w:r>
            <w:r w:rsidRPr="003B5EA4">
              <w:rPr>
                <w:i/>
                <w:sz w:val="16"/>
                <w:lang w:eastAsia="zh-CN"/>
              </w:rPr>
              <w:t>et non-fonctionnaires</w:t>
            </w:r>
            <w:r w:rsidRPr="003B5EA4">
              <w:rPr>
                <w:i/>
                <w:sz w:val="16"/>
                <w:szCs w:val="16"/>
                <w:lang w:eastAsia="zh-CN"/>
              </w:rPr>
              <w:t>*</w:t>
            </w:r>
          </w:p>
        </w:tc>
        <w:tc>
          <w:tcPr>
            <w:tcW w:w="1806" w:type="dxa"/>
            <w:tcBorders>
              <w:top w:val="single" w:sz="4" w:space="0" w:color="auto"/>
              <w:bottom w:val="single" w:sz="12" w:space="0" w:color="auto"/>
            </w:tcBorders>
            <w:shd w:val="clear" w:color="auto" w:fill="auto"/>
            <w:vAlign w:val="bottom"/>
            <w:hideMark/>
          </w:tcPr>
          <w:p w:rsidR="00DE3193" w:rsidRPr="003B5EA4" w:rsidRDefault="00DE3193" w:rsidP="00932B5D">
            <w:pPr>
              <w:suppressAutoHyphens w:val="0"/>
              <w:spacing w:before="80" w:after="80" w:line="200" w:lineRule="exact"/>
              <w:jc w:val="right"/>
              <w:rPr>
                <w:i/>
                <w:sz w:val="16"/>
                <w:lang w:eastAsia="zh-CN"/>
              </w:rPr>
            </w:pPr>
            <w:r w:rsidRPr="003B5EA4">
              <w:rPr>
                <w:i/>
                <w:sz w:val="16"/>
                <w:lang w:eastAsia="zh-CN"/>
              </w:rPr>
              <w:t xml:space="preserve">Dépenses totales </w:t>
            </w:r>
            <w:r w:rsidR="008E0218" w:rsidRPr="003B5EA4">
              <w:rPr>
                <w:i/>
                <w:sz w:val="16"/>
                <w:lang w:eastAsia="zh-CN"/>
              </w:rPr>
              <w:br/>
            </w:r>
            <w:r w:rsidRPr="003B5EA4">
              <w:rPr>
                <w:i/>
                <w:sz w:val="16"/>
                <w:lang w:eastAsia="zh-CN"/>
              </w:rPr>
              <w:t xml:space="preserve">au titre des voyages </w:t>
            </w:r>
            <w:r w:rsidR="007C208A" w:rsidRPr="003B5EA4">
              <w:rPr>
                <w:i/>
                <w:sz w:val="16"/>
                <w:lang w:eastAsia="zh-CN"/>
              </w:rPr>
              <w:br/>
            </w:r>
            <w:r w:rsidRPr="003B5EA4">
              <w:rPr>
                <w:i/>
                <w:spacing w:val="-2"/>
                <w:sz w:val="16"/>
                <w:lang w:eastAsia="zh-CN"/>
              </w:rPr>
              <w:t>en avion et des</w:t>
            </w:r>
            <w:r w:rsidR="00932B5D" w:rsidRPr="003B5EA4">
              <w:rPr>
                <w:i/>
                <w:spacing w:val="-2"/>
                <w:sz w:val="16"/>
                <w:lang w:eastAsia="zh-CN"/>
              </w:rPr>
              <w:t xml:space="preserve"> </w:t>
            </w:r>
            <w:r w:rsidRPr="003B5EA4">
              <w:rPr>
                <w:i/>
                <w:spacing w:val="-2"/>
                <w:sz w:val="16"/>
                <w:lang w:eastAsia="zh-CN"/>
              </w:rPr>
              <w:t>prestations</w:t>
            </w:r>
            <w:r w:rsidRPr="003B5EA4">
              <w:rPr>
                <w:i/>
                <w:sz w:val="16"/>
                <w:lang w:eastAsia="zh-CN"/>
              </w:rPr>
              <w:t xml:space="preserve"> connexes</w:t>
            </w:r>
            <w:r w:rsidR="00932B5D" w:rsidRPr="003B5EA4">
              <w:rPr>
                <w:i/>
                <w:sz w:val="16"/>
                <w:lang w:eastAsia="zh-CN"/>
              </w:rPr>
              <w:t> :</w:t>
            </w:r>
            <w:r w:rsidR="007C208A" w:rsidRPr="003B5EA4">
              <w:rPr>
                <w:i/>
                <w:sz w:val="16"/>
                <w:lang w:eastAsia="zh-CN"/>
              </w:rPr>
              <w:t xml:space="preserve"> </w:t>
            </w:r>
            <w:r w:rsidRPr="003B5EA4">
              <w:rPr>
                <w:i/>
                <w:sz w:val="16"/>
                <w:lang w:eastAsia="zh-CN"/>
              </w:rPr>
              <w:t>fonctionnaires</w:t>
            </w:r>
          </w:p>
        </w:tc>
        <w:tc>
          <w:tcPr>
            <w:tcW w:w="2071" w:type="dxa"/>
            <w:tcBorders>
              <w:top w:val="single" w:sz="4" w:space="0" w:color="auto"/>
              <w:bottom w:val="single" w:sz="12" w:space="0" w:color="auto"/>
            </w:tcBorders>
            <w:shd w:val="clear" w:color="auto" w:fill="auto"/>
            <w:vAlign w:val="bottom"/>
            <w:hideMark/>
          </w:tcPr>
          <w:p w:rsidR="00DE3193" w:rsidRPr="003B5EA4" w:rsidRDefault="00DE3193" w:rsidP="00405513">
            <w:pPr>
              <w:suppressAutoHyphens w:val="0"/>
              <w:spacing w:before="80" w:after="80" w:line="200" w:lineRule="exact"/>
              <w:jc w:val="right"/>
              <w:rPr>
                <w:i/>
                <w:sz w:val="16"/>
                <w:lang w:eastAsia="zh-CN"/>
              </w:rPr>
            </w:pPr>
            <w:r w:rsidRPr="003B5EA4">
              <w:rPr>
                <w:i/>
                <w:sz w:val="16"/>
                <w:lang w:eastAsia="zh-CN"/>
              </w:rPr>
              <w:t xml:space="preserve">Dépenses totales </w:t>
            </w:r>
            <w:r w:rsidR="008E0218" w:rsidRPr="003B5EA4">
              <w:rPr>
                <w:i/>
                <w:sz w:val="16"/>
                <w:lang w:eastAsia="zh-CN"/>
              </w:rPr>
              <w:br/>
            </w:r>
            <w:r w:rsidRPr="003B5EA4">
              <w:rPr>
                <w:i/>
                <w:sz w:val="16"/>
                <w:lang w:eastAsia="zh-CN"/>
              </w:rPr>
              <w:t xml:space="preserve">au titre des voyages </w:t>
            </w:r>
            <w:r w:rsidR="00446E17" w:rsidRPr="003B5EA4">
              <w:rPr>
                <w:i/>
                <w:sz w:val="16"/>
                <w:lang w:eastAsia="zh-CN"/>
              </w:rPr>
              <w:br/>
            </w:r>
            <w:r w:rsidRPr="003B5EA4">
              <w:rPr>
                <w:i/>
                <w:sz w:val="16"/>
                <w:lang w:eastAsia="zh-CN"/>
              </w:rPr>
              <w:t>en avion et des prestations connexes</w:t>
            </w:r>
            <w:r w:rsidR="00405513" w:rsidRPr="003B5EA4">
              <w:rPr>
                <w:i/>
                <w:sz w:val="16"/>
                <w:lang w:eastAsia="zh-CN"/>
              </w:rPr>
              <w:t> :</w:t>
            </w:r>
            <w:r w:rsidRPr="003B5EA4">
              <w:rPr>
                <w:i/>
                <w:sz w:val="16"/>
                <w:lang w:eastAsia="zh-CN"/>
              </w:rPr>
              <w:t xml:space="preserve"> non</w:t>
            </w:r>
            <w:r w:rsidR="00B26714" w:rsidRPr="003B5EA4">
              <w:rPr>
                <w:i/>
                <w:sz w:val="16"/>
                <w:lang w:eastAsia="zh-CN"/>
              </w:rPr>
              <w:t xml:space="preserve"> </w:t>
            </w:r>
            <w:r w:rsidRPr="003B5EA4">
              <w:rPr>
                <w:i/>
                <w:sz w:val="16"/>
                <w:lang w:eastAsia="zh-CN"/>
              </w:rPr>
              <w:t>-fonctionnaires</w:t>
            </w:r>
          </w:p>
        </w:tc>
        <w:tc>
          <w:tcPr>
            <w:tcW w:w="966" w:type="dxa"/>
            <w:tcBorders>
              <w:top w:val="single" w:sz="4" w:space="0" w:color="auto"/>
              <w:bottom w:val="single" w:sz="12" w:space="0" w:color="auto"/>
            </w:tcBorders>
            <w:shd w:val="clear" w:color="auto" w:fill="auto"/>
            <w:vAlign w:val="bottom"/>
            <w:hideMark/>
          </w:tcPr>
          <w:p w:rsidR="00DE3193" w:rsidRPr="003B5EA4" w:rsidRDefault="00DE3193" w:rsidP="00DA6EA8">
            <w:pPr>
              <w:suppressAutoHyphens w:val="0"/>
              <w:spacing w:before="80" w:after="80" w:line="200" w:lineRule="exact"/>
              <w:jc w:val="right"/>
              <w:rPr>
                <w:i/>
                <w:sz w:val="16"/>
                <w:lang w:eastAsia="zh-CN"/>
              </w:rPr>
            </w:pPr>
            <w:r w:rsidRPr="003B5EA4">
              <w:rPr>
                <w:i/>
                <w:sz w:val="16"/>
                <w:lang w:eastAsia="zh-CN"/>
              </w:rPr>
              <w:t xml:space="preserve">Dépenses totales </w:t>
            </w:r>
            <w:r w:rsidR="007731BC" w:rsidRPr="003B5EA4">
              <w:rPr>
                <w:i/>
                <w:sz w:val="16"/>
                <w:lang w:eastAsia="zh-CN"/>
              </w:rPr>
              <w:br/>
            </w:r>
            <w:r w:rsidRPr="003B5EA4">
              <w:rPr>
                <w:i/>
                <w:sz w:val="16"/>
                <w:lang w:eastAsia="zh-CN"/>
              </w:rPr>
              <w:t>de chaque organisme</w:t>
            </w:r>
          </w:p>
        </w:tc>
        <w:tc>
          <w:tcPr>
            <w:tcW w:w="1840" w:type="dxa"/>
            <w:tcBorders>
              <w:top w:val="single" w:sz="4" w:space="0" w:color="auto"/>
              <w:bottom w:val="single" w:sz="12" w:space="0" w:color="auto"/>
            </w:tcBorders>
            <w:shd w:val="clear" w:color="auto" w:fill="auto"/>
            <w:vAlign w:val="bottom"/>
            <w:hideMark/>
          </w:tcPr>
          <w:p w:rsidR="00DE3193" w:rsidRPr="003B5EA4" w:rsidRDefault="00DE3193" w:rsidP="00DA6EA8">
            <w:pPr>
              <w:suppressAutoHyphens w:val="0"/>
              <w:spacing w:before="80" w:after="80" w:line="200" w:lineRule="exact"/>
              <w:jc w:val="right"/>
              <w:rPr>
                <w:i/>
                <w:sz w:val="16"/>
                <w:lang w:eastAsia="zh-CN"/>
              </w:rPr>
            </w:pPr>
            <w:r w:rsidRPr="003B5EA4">
              <w:rPr>
                <w:i/>
                <w:sz w:val="16"/>
                <w:lang w:eastAsia="zh-CN"/>
              </w:rPr>
              <w:t xml:space="preserve">Dépenses totales </w:t>
            </w:r>
            <w:r w:rsidR="008E0218" w:rsidRPr="003B5EA4">
              <w:rPr>
                <w:i/>
                <w:sz w:val="16"/>
                <w:lang w:eastAsia="zh-CN"/>
              </w:rPr>
              <w:br/>
            </w:r>
            <w:r w:rsidRPr="003B5EA4">
              <w:rPr>
                <w:i/>
                <w:sz w:val="16"/>
                <w:lang w:eastAsia="zh-CN"/>
              </w:rPr>
              <w:t xml:space="preserve">au titre des voyages </w:t>
            </w:r>
            <w:r w:rsidR="008E0218" w:rsidRPr="003B5EA4">
              <w:rPr>
                <w:i/>
                <w:sz w:val="16"/>
                <w:lang w:eastAsia="zh-CN"/>
              </w:rPr>
              <w:br/>
            </w:r>
            <w:r w:rsidRPr="003B5EA4">
              <w:rPr>
                <w:i/>
                <w:sz w:val="16"/>
                <w:lang w:eastAsia="zh-CN"/>
              </w:rPr>
              <w:t xml:space="preserve">en avion et des prestations connexes en pourcentage </w:t>
            </w:r>
            <w:r w:rsidR="00AD3E69" w:rsidRPr="003B5EA4">
              <w:rPr>
                <w:i/>
                <w:sz w:val="16"/>
                <w:lang w:eastAsia="zh-CN"/>
              </w:rPr>
              <w:br/>
            </w:r>
            <w:r w:rsidRPr="003B5EA4">
              <w:rPr>
                <w:i/>
                <w:sz w:val="16"/>
                <w:lang w:eastAsia="zh-CN"/>
              </w:rPr>
              <w:t xml:space="preserve">des dépenses totales </w:t>
            </w:r>
            <w:r w:rsidR="008E0218" w:rsidRPr="003B5EA4">
              <w:rPr>
                <w:i/>
                <w:sz w:val="16"/>
                <w:lang w:eastAsia="zh-CN"/>
              </w:rPr>
              <w:br/>
            </w:r>
            <w:r w:rsidRPr="003B5EA4">
              <w:rPr>
                <w:i/>
                <w:sz w:val="16"/>
                <w:lang w:eastAsia="zh-CN"/>
              </w:rPr>
              <w:t>de chaque organisme</w:t>
            </w:r>
          </w:p>
        </w:tc>
      </w:tr>
      <w:tr w:rsidR="00994DE3" w:rsidRPr="003B5EA4" w:rsidTr="00994DE3">
        <w:tc>
          <w:tcPr>
            <w:tcW w:w="1260" w:type="dxa"/>
            <w:shd w:val="clear" w:color="auto" w:fill="auto"/>
            <w:noWrap/>
          </w:tcPr>
          <w:p w:rsidR="00994DE3" w:rsidRPr="003B5EA4" w:rsidRDefault="00994DE3" w:rsidP="00994DE3">
            <w:pPr>
              <w:suppressAutoHyphens w:val="0"/>
              <w:spacing w:before="40" w:after="40" w:line="220" w:lineRule="exact"/>
              <w:rPr>
                <w:sz w:val="18"/>
                <w:szCs w:val="16"/>
                <w:lang w:eastAsia="zh-CN"/>
              </w:rPr>
            </w:pPr>
            <w:r w:rsidRPr="003B5EA4">
              <w:rPr>
                <w:sz w:val="18"/>
                <w:szCs w:val="16"/>
                <w:lang w:eastAsia="zh-CN"/>
              </w:rPr>
              <w:t>AIEA</w:t>
            </w:r>
            <w:r w:rsidRPr="003B5EA4">
              <w:rPr>
                <w:i/>
                <w:sz w:val="18"/>
                <w:szCs w:val="16"/>
                <w:vertAlign w:val="superscript"/>
              </w:rPr>
              <w:t>a</w:t>
            </w:r>
          </w:p>
        </w:tc>
        <w:tc>
          <w:tcPr>
            <w:tcW w:w="1694" w:type="dxa"/>
            <w:shd w:val="clear" w:color="auto" w:fill="auto"/>
            <w:noWrap/>
            <w:vAlign w:val="bottom"/>
          </w:tcPr>
          <w:p w:rsidR="00994DE3" w:rsidRPr="003B5EA4" w:rsidRDefault="00994DE3" w:rsidP="00994DE3">
            <w:pPr>
              <w:suppressAutoHyphens w:val="0"/>
              <w:spacing w:before="40" w:after="40" w:line="220" w:lineRule="exact"/>
              <w:jc w:val="right"/>
              <w:rPr>
                <w:sz w:val="18"/>
                <w:szCs w:val="16"/>
                <w:lang w:eastAsia="zh-CN"/>
              </w:rPr>
            </w:pPr>
            <w:r w:rsidRPr="003B5EA4">
              <w:rPr>
                <w:sz w:val="18"/>
                <w:szCs w:val="16"/>
                <w:lang w:eastAsia="zh-CN"/>
              </w:rPr>
              <w:t>282,58</w:t>
            </w:r>
          </w:p>
        </w:tc>
        <w:tc>
          <w:tcPr>
            <w:tcW w:w="1806" w:type="dxa"/>
            <w:shd w:val="clear" w:color="auto" w:fill="auto"/>
            <w:noWrap/>
            <w:vAlign w:val="bottom"/>
          </w:tcPr>
          <w:p w:rsidR="00994DE3" w:rsidRPr="003B5EA4" w:rsidRDefault="00994DE3" w:rsidP="00994DE3">
            <w:pPr>
              <w:suppressAutoHyphens w:val="0"/>
              <w:spacing w:before="40" w:after="40" w:line="220" w:lineRule="exact"/>
              <w:jc w:val="right"/>
              <w:rPr>
                <w:sz w:val="18"/>
                <w:szCs w:val="16"/>
                <w:lang w:eastAsia="zh-CN"/>
              </w:rPr>
            </w:pPr>
            <w:r w:rsidRPr="003B5EA4">
              <w:rPr>
                <w:sz w:val="18"/>
                <w:szCs w:val="16"/>
                <w:lang w:eastAsia="zh-CN"/>
              </w:rPr>
              <w:t>108,61</w:t>
            </w:r>
          </w:p>
        </w:tc>
        <w:tc>
          <w:tcPr>
            <w:tcW w:w="2071" w:type="dxa"/>
            <w:shd w:val="clear" w:color="auto" w:fill="auto"/>
            <w:noWrap/>
            <w:vAlign w:val="bottom"/>
          </w:tcPr>
          <w:p w:rsidR="00994DE3" w:rsidRPr="003B5EA4" w:rsidRDefault="00994DE3" w:rsidP="00994DE3">
            <w:pPr>
              <w:suppressAutoHyphens w:val="0"/>
              <w:spacing w:before="40" w:after="40" w:line="220" w:lineRule="exact"/>
              <w:jc w:val="right"/>
              <w:rPr>
                <w:sz w:val="18"/>
                <w:szCs w:val="16"/>
                <w:lang w:eastAsia="zh-CN"/>
              </w:rPr>
            </w:pPr>
            <w:r w:rsidRPr="003B5EA4">
              <w:rPr>
                <w:sz w:val="18"/>
                <w:szCs w:val="16"/>
                <w:lang w:eastAsia="zh-CN"/>
              </w:rPr>
              <w:t>173,96</w:t>
            </w:r>
          </w:p>
        </w:tc>
        <w:tc>
          <w:tcPr>
            <w:tcW w:w="966" w:type="dxa"/>
            <w:shd w:val="clear" w:color="auto" w:fill="auto"/>
            <w:noWrap/>
            <w:vAlign w:val="bottom"/>
          </w:tcPr>
          <w:p w:rsidR="00994DE3" w:rsidRPr="003B5EA4" w:rsidRDefault="00994DE3" w:rsidP="00994DE3">
            <w:pPr>
              <w:suppressAutoHyphens w:val="0"/>
              <w:spacing w:before="40" w:after="40" w:line="220" w:lineRule="exact"/>
              <w:jc w:val="right"/>
              <w:rPr>
                <w:sz w:val="18"/>
                <w:szCs w:val="16"/>
                <w:lang w:eastAsia="zh-CN"/>
              </w:rPr>
            </w:pPr>
            <w:r w:rsidRPr="003B5EA4">
              <w:rPr>
                <w:sz w:val="18"/>
                <w:szCs w:val="16"/>
                <w:lang w:eastAsia="zh-CN"/>
              </w:rPr>
              <w:t>2 346,87</w:t>
            </w:r>
          </w:p>
        </w:tc>
        <w:tc>
          <w:tcPr>
            <w:tcW w:w="1840" w:type="dxa"/>
            <w:shd w:val="clear" w:color="auto" w:fill="auto"/>
            <w:noWrap/>
            <w:vAlign w:val="bottom"/>
          </w:tcPr>
          <w:p w:rsidR="00994DE3" w:rsidRPr="003B5EA4" w:rsidRDefault="00994DE3" w:rsidP="00994DE3">
            <w:pPr>
              <w:suppressAutoHyphens w:val="0"/>
              <w:spacing w:before="40" w:after="40" w:line="220" w:lineRule="exact"/>
              <w:jc w:val="right"/>
              <w:rPr>
                <w:sz w:val="18"/>
                <w:szCs w:val="16"/>
                <w:lang w:eastAsia="zh-CN"/>
              </w:rPr>
            </w:pPr>
            <w:r w:rsidRPr="003B5EA4">
              <w:rPr>
                <w:sz w:val="18"/>
                <w:szCs w:val="16"/>
                <w:lang w:eastAsia="zh-CN"/>
              </w:rPr>
              <w:t>12,04 %</w:t>
            </w:r>
          </w:p>
        </w:tc>
      </w:tr>
      <w:tr w:rsidR="0062470E" w:rsidRPr="003B5EA4" w:rsidTr="00994DE3">
        <w:tc>
          <w:tcPr>
            <w:tcW w:w="1260" w:type="dxa"/>
            <w:shd w:val="clear" w:color="auto" w:fill="auto"/>
            <w:noWrap/>
          </w:tcPr>
          <w:p w:rsidR="0062470E" w:rsidRPr="003B5EA4" w:rsidRDefault="0062470E" w:rsidP="0062470E">
            <w:pPr>
              <w:suppressAutoHyphens w:val="0"/>
              <w:spacing w:before="40" w:after="40" w:line="220" w:lineRule="exact"/>
              <w:rPr>
                <w:sz w:val="18"/>
                <w:szCs w:val="16"/>
                <w:lang w:eastAsia="zh-CN"/>
              </w:rPr>
            </w:pPr>
            <w:r w:rsidRPr="003B5EA4">
              <w:rPr>
                <w:sz w:val="18"/>
                <w:szCs w:val="16"/>
                <w:lang w:eastAsia="zh-CN"/>
              </w:rPr>
              <w:t>CCI*</w:t>
            </w:r>
            <w:r w:rsidRPr="003B5EA4">
              <w:rPr>
                <w:i/>
                <w:sz w:val="18"/>
                <w:szCs w:val="16"/>
                <w:vertAlign w:val="superscript"/>
              </w:rPr>
              <w:t>a</w:t>
            </w:r>
          </w:p>
        </w:tc>
        <w:tc>
          <w:tcPr>
            <w:tcW w:w="1694"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17,04</w:t>
            </w:r>
          </w:p>
        </w:tc>
        <w:tc>
          <w:tcPr>
            <w:tcW w:w="1806"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9,49</w:t>
            </w:r>
          </w:p>
        </w:tc>
        <w:tc>
          <w:tcPr>
            <w:tcW w:w="2071"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7,55</w:t>
            </w:r>
          </w:p>
        </w:tc>
        <w:tc>
          <w:tcPr>
            <w:tcW w:w="966"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360,10</w:t>
            </w:r>
          </w:p>
        </w:tc>
        <w:tc>
          <w:tcPr>
            <w:tcW w:w="1840"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4,73 %</w:t>
            </w:r>
          </w:p>
        </w:tc>
      </w:tr>
      <w:tr w:rsidR="0062470E" w:rsidRPr="003B5EA4" w:rsidTr="00994DE3">
        <w:tc>
          <w:tcPr>
            <w:tcW w:w="1260" w:type="dxa"/>
            <w:shd w:val="clear" w:color="auto" w:fill="auto"/>
            <w:noWrap/>
          </w:tcPr>
          <w:p w:rsidR="0062470E" w:rsidRPr="003B5EA4" w:rsidRDefault="0062470E" w:rsidP="0062470E">
            <w:pPr>
              <w:suppressAutoHyphens w:val="0"/>
              <w:spacing w:before="40" w:after="40" w:line="220" w:lineRule="exact"/>
              <w:rPr>
                <w:sz w:val="18"/>
                <w:szCs w:val="16"/>
                <w:lang w:eastAsia="zh-CN"/>
              </w:rPr>
            </w:pPr>
            <w:r w:rsidRPr="003B5EA4">
              <w:rPr>
                <w:sz w:val="18"/>
                <w:szCs w:val="16"/>
                <w:lang w:eastAsia="zh-CN"/>
              </w:rPr>
              <w:t>FAO</w:t>
            </w:r>
          </w:p>
        </w:tc>
        <w:tc>
          <w:tcPr>
            <w:tcW w:w="1694"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460,15</w:t>
            </w:r>
          </w:p>
        </w:tc>
        <w:tc>
          <w:tcPr>
            <w:tcW w:w="1806"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142,52</w:t>
            </w:r>
          </w:p>
        </w:tc>
        <w:tc>
          <w:tcPr>
            <w:tcW w:w="2071"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317,63</w:t>
            </w:r>
          </w:p>
        </w:tc>
        <w:tc>
          <w:tcPr>
            <w:tcW w:w="966"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5 188,14</w:t>
            </w:r>
          </w:p>
        </w:tc>
        <w:tc>
          <w:tcPr>
            <w:tcW w:w="1840"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8,87 %</w:t>
            </w:r>
          </w:p>
        </w:tc>
      </w:tr>
      <w:tr w:rsidR="00434820" w:rsidRPr="003B5EA4" w:rsidTr="00994DE3">
        <w:tc>
          <w:tcPr>
            <w:tcW w:w="1260" w:type="dxa"/>
            <w:shd w:val="clear" w:color="auto" w:fill="auto"/>
            <w:noWrap/>
          </w:tcPr>
          <w:p w:rsidR="00434820" w:rsidRPr="003B5EA4" w:rsidRDefault="00434820" w:rsidP="00434820">
            <w:pPr>
              <w:suppressAutoHyphens w:val="0"/>
              <w:spacing w:before="40" w:after="40" w:line="220" w:lineRule="exact"/>
              <w:rPr>
                <w:sz w:val="18"/>
                <w:szCs w:val="16"/>
                <w:lang w:eastAsia="zh-CN"/>
              </w:rPr>
            </w:pPr>
            <w:r w:rsidRPr="003B5EA4">
              <w:rPr>
                <w:sz w:val="18"/>
                <w:szCs w:val="16"/>
                <w:lang w:eastAsia="zh-CN"/>
              </w:rPr>
              <w:t>FNUAP</w:t>
            </w:r>
            <w:r w:rsidRPr="003B5EA4">
              <w:rPr>
                <w:i/>
                <w:sz w:val="18"/>
                <w:szCs w:val="16"/>
                <w:vertAlign w:val="superscript"/>
              </w:rPr>
              <w:t>a</w:t>
            </w:r>
          </w:p>
        </w:tc>
        <w:tc>
          <w:tcPr>
            <w:tcW w:w="1694"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316,49</w:t>
            </w:r>
          </w:p>
        </w:tc>
        <w:tc>
          <w:tcPr>
            <w:tcW w:w="180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3 703,54</w:t>
            </w:r>
          </w:p>
        </w:tc>
        <w:tc>
          <w:tcPr>
            <w:tcW w:w="1840"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8,55 %</w:t>
            </w:r>
          </w:p>
        </w:tc>
      </w:tr>
      <w:tr w:rsidR="0062470E" w:rsidRPr="003B5EA4" w:rsidTr="00994DE3">
        <w:tc>
          <w:tcPr>
            <w:tcW w:w="1260" w:type="dxa"/>
            <w:shd w:val="clear" w:color="auto" w:fill="auto"/>
            <w:noWrap/>
          </w:tcPr>
          <w:p w:rsidR="0062470E" w:rsidRPr="003B5EA4" w:rsidRDefault="0062470E" w:rsidP="0062470E">
            <w:pPr>
              <w:suppressAutoHyphens w:val="0"/>
              <w:spacing w:before="40" w:after="40" w:line="220" w:lineRule="exact"/>
              <w:rPr>
                <w:sz w:val="18"/>
                <w:szCs w:val="16"/>
                <w:lang w:eastAsia="zh-CN"/>
              </w:rPr>
            </w:pPr>
            <w:r w:rsidRPr="003B5EA4">
              <w:rPr>
                <w:sz w:val="18"/>
                <w:szCs w:val="16"/>
                <w:lang w:eastAsia="zh-CN"/>
              </w:rPr>
              <w:t>HCR</w:t>
            </w:r>
          </w:p>
        </w:tc>
        <w:tc>
          <w:tcPr>
            <w:tcW w:w="1694"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223,26</w:t>
            </w:r>
          </w:p>
        </w:tc>
        <w:tc>
          <w:tcPr>
            <w:tcW w:w="1806"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214,26</w:t>
            </w:r>
          </w:p>
        </w:tc>
        <w:tc>
          <w:tcPr>
            <w:tcW w:w="2071"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8,99</w:t>
            </w:r>
          </w:p>
        </w:tc>
        <w:tc>
          <w:tcPr>
            <w:tcW w:w="966"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11 649,48</w:t>
            </w:r>
          </w:p>
        </w:tc>
        <w:tc>
          <w:tcPr>
            <w:tcW w:w="1840" w:type="dxa"/>
            <w:shd w:val="clear" w:color="auto" w:fill="auto"/>
            <w:noWrap/>
            <w:vAlign w:val="bottom"/>
          </w:tcPr>
          <w:p w:rsidR="0062470E" w:rsidRPr="003B5EA4" w:rsidRDefault="0062470E" w:rsidP="0062470E">
            <w:pPr>
              <w:suppressAutoHyphens w:val="0"/>
              <w:spacing w:before="40" w:after="40" w:line="220" w:lineRule="exact"/>
              <w:jc w:val="right"/>
              <w:rPr>
                <w:sz w:val="18"/>
                <w:szCs w:val="16"/>
                <w:lang w:eastAsia="zh-CN"/>
              </w:rPr>
            </w:pPr>
            <w:r w:rsidRPr="003B5EA4">
              <w:rPr>
                <w:sz w:val="18"/>
                <w:szCs w:val="16"/>
                <w:lang w:eastAsia="zh-CN"/>
              </w:rPr>
              <w:t>1,92 %</w:t>
            </w:r>
          </w:p>
        </w:tc>
      </w:tr>
      <w:tr w:rsidR="00932B5D" w:rsidRPr="003B5EA4" w:rsidTr="00B26714">
        <w:tc>
          <w:tcPr>
            <w:tcW w:w="1260" w:type="dxa"/>
            <w:shd w:val="clear" w:color="auto" w:fill="auto"/>
            <w:noWrap/>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OACI</w:t>
            </w:r>
          </w:p>
        </w:tc>
        <w:tc>
          <w:tcPr>
            <w:tcW w:w="1694"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52,00</w:t>
            </w:r>
          </w:p>
        </w:tc>
        <w:tc>
          <w:tcPr>
            <w:tcW w:w="180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886,16</w:t>
            </w:r>
          </w:p>
        </w:tc>
        <w:tc>
          <w:tcPr>
            <w:tcW w:w="1840"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5,87 %</w:t>
            </w:r>
          </w:p>
        </w:tc>
      </w:tr>
      <w:tr w:rsidR="00932B5D" w:rsidRPr="003B5EA4" w:rsidTr="00B26714">
        <w:tc>
          <w:tcPr>
            <w:tcW w:w="1260" w:type="dxa"/>
            <w:shd w:val="clear" w:color="auto" w:fill="auto"/>
            <w:noWrap/>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OIT</w:t>
            </w:r>
          </w:p>
        </w:tc>
        <w:tc>
          <w:tcPr>
            <w:tcW w:w="1694"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118,17</w:t>
            </w:r>
          </w:p>
        </w:tc>
        <w:tc>
          <w:tcPr>
            <w:tcW w:w="180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96,44</w:t>
            </w:r>
          </w:p>
        </w:tc>
        <w:tc>
          <w:tcPr>
            <w:tcW w:w="2071"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21,72</w:t>
            </w:r>
          </w:p>
        </w:tc>
        <w:tc>
          <w:tcPr>
            <w:tcW w:w="96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2 624,14</w:t>
            </w:r>
          </w:p>
        </w:tc>
        <w:tc>
          <w:tcPr>
            <w:tcW w:w="1840"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4,50 %</w:t>
            </w:r>
          </w:p>
        </w:tc>
      </w:tr>
      <w:tr w:rsidR="00932B5D" w:rsidRPr="003B5EA4" w:rsidTr="00B26714">
        <w:tc>
          <w:tcPr>
            <w:tcW w:w="1260" w:type="dxa"/>
            <w:shd w:val="clear" w:color="auto" w:fill="auto"/>
            <w:noWrap/>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OMI</w:t>
            </w:r>
            <w:r w:rsidRPr="003B5EA4">
              <w:rPr>
                <w:i/>
                <w:sz w:val="18"/>
                <w:szCs w:val="16"/>
                <w:vertAlign w:val="superscript"/>
              </w:rPr>
              <w:t>a</w:t>
            </w:r>
          </w:p>
        </w:tc>
        <w:tc>
          <w:tcPr>
            <w:tcW w:w="1694"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12,64</w:t>
            </w:r>
          </w:p>
        </w:tc>
        <w:tc>
          <w:tcPr>
            <w:tcW w:w="180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7,39</w:t>
            </w:r>
          </w:p>
        </w:tc>
        <w:tc>
          <w:tcPr>
            <w:tcW w:w="2071"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5,24</w:t>
            </w:r>
          </w:p>
        </w:tc>
        <w:tc>
          <w:tcPr>
            <w:tcW w:w="96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294,86</w:t>
            </w:r>
          </w:p>
        </w:tc>
        <w:tc>
          <w:tcPr>
            <w:tcW w:w="1840"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4,29 %</w:t>
            </w:r>
          </w:p>
        </w:tc>
      </w:tr>
      <w:tr w:rsidR="00434820" w:rsidRPr="003B5EA4" w:rsidTr="0062470E">
        <w:tc>
          <w:tcPr>
            <w:tcW w:w="1260" w:type="dxa"/>
            <w:shd w:val="clear" w:color="auto" w:fill="auto"/>
            <w:noWrap/>
          </w:tcPr>
          <w:p w:rsidR="00434820" w:rsidRPr="003B5EA4" w:rsidRDefault="00434820" w:rsidP="00434820">
            <w:pPr>
              <w:suppressAutoHyphens w:val="0"/>
              <w:spacing w:before="40" w:after="40" w:line="220" w:lineRule="exact"/>
              <w:rPr>
                <w:sz w:val="18"/>
                <w:szCs w:val="16"/>
                <w:lang w:eastAsia="zh-CN"/>
              </w:rPr>
            </w:pPr>
            <w:r w:rsidRPr="003B5EA4">
              <w:rPr>
                <w:sz w:val="18"/>
                <w:szCs w:val="16"/>
                <w:lang w:eastAsia="zh-CN"/>
              </w:rPr>
              <w:t>OMPI</w:t>
            </w:r>
            <w:r w:rsidRPr="003B5EA4">
              <w:rPr>
                <w:i/>
                <w:sz w:val="18"/>
                <w:szCs w:val="16"/>
                <w:vertAlign w:val="superscript"/>
              </w:rPr>
              <w:t>a</w:t>
            </w:r>
          </w:p>
        </w:tc>
        <w:tc>
          <w:tcPr>
            <w:tcW w:w="1694"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78,80</w:t>
            </w:r>
          </w:p>
        </w:tc>
        <w:tc>
          <w:tcPr>
            <w:tcW w:w="180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39,92</w:t>
            </w:r>
          </w:p>
        </w:tc>
        <w:tc>
          <w:tcPr>
            <w:tcW w:w="2071"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38,88</w:t>
            </w:r>
          </w:p>
        </w:tc>
        <w:tc>
          <w:tcPr>
            <w:tcW w:w="96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1 411,46</w:t>
            </w:r>
          </w:p>
        </w:tc>
        <w:tc>
          <w:tcPr>
            <w:tcW w:w="1840"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5,58 %</w:t>
            </w:r>
          </w:p>
        </w:tc>
      </w:tr>
      <w:tr w:rsidR="00434820" w:rsidRPr="003B5EA4" w:rsidTr="0062470E">
        <w:tc>
          <w:tcPr>
            <w:tcW w:w="1260" w:type="dxa"/>
            <w:shd w:val="clear" w:color="auto" w:fill="auto"/>
            <w:noWrap/>
          </w:tcPr>
          <w:p w:rsidR="00434820" w:rsidRPr="003B5EA4" w:rsidRDefault="00434820" w:rsidP="00434820">
            <w:pPr>
              <w:suppressAutoHyphens w:val="0"/>
              <w:spacing w:before="40" w:after="40" w:line="220" w:lineRule="exact"/>
              <w:rPr>
                <w:sz w:val="18"/>
                <w:szCs w:val="16"/>
                <w:lang w:eastAsia="zh-CN"/>
              </w:rPr>
            </w:pPr>
            <w:r w:rsidRPr="003B5EA4">
              <w:rPr>
                <w:sz w:val="18"/>
                <w:szCs w:val="16"/>
                <w:lang w:eastAsia="zh-CN"/>
              </w:rPr>
              <w:t>OMS</w:t>
            </w:r>
          </w:p>
        </w:tc>
        <w:tc>
          <w:tcPr>
            <w:tcW w:w="1694"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721,05</w:t>
            </w:r>
          </w:p>
        </w:tc>
        <w:tc>
          <w:tcPr>
            <w:tcW w:w="180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334,69</w:t>
            </w:r>
          </w:p>
        </w:tc>
        <w:tc>
          <w:tcPr>
            <w:tcW w:w="2071"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386,35</w:t>
            </w:r>
          </w:p>
        </w:tc>
        <w:tc>
          <w:tcPr>
            <w:tcW w:w="96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14 399,54</w:t>
            </w:r>
          </w:p>
        </w:tc>
        <w:tc>
          <w:tcPr>
            <w:tcW w:w="1840"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5,01 %</w:t>
            </w:r>
          </w:p>
        </w:tc>
      </w:tr>
      <w:tr w:rsidR="00434820" w:rsidRPr="003B5EA4" w:rsidTr="0062470E">
        <w:tc>
          <w:tcPr>
            <w:tcW w:w="1260" w:type="dxa"/>
            <w:shd w:val="clear" w:color="auto" w:fill="auto"/>
            <w:noWrap/>
          </w:tcPr>
          <w:p w:rsidR="00434820" w:rsidRPr="003B5EA4" w:rsidRDefault="00434820" w:rsidP="00434820">
            <w:pPr>
              <w:suppressAutoHyphens w:val="0"/>
              <w:spacing w:before="40" w:after="40" w:line="220" w:lineRule="exact"/>
              <w:rPr>
                <w:sz w:val="18"/>
                <w:szCs w:val="16"/>
                <w:lang w:eastAsia="zh-CN"/>
              </w:rPr>
            </w:pPr>
            <w:r w:rsidRPr="003B5EA4">
              <w:rPr>
                <w:sz w:val="18"/>
                <w:szCs w:val="16"/>
                <w:lang w:eastAsia="zh-CN"/>
              </w:rPr>
              <w:t>OMT</w:t>
            </w:r>
            <w:r w:rsidRPr="003B5EA4">
              <w:rPr>
                <w:i/>
                <w:sz w:val="18"/>
                <w:szCs w:val="16"/>
                <w:vertAlign w:val="superscript"/>
              </w:rPr>
              <w:t>a</w:t>
            </w:r>
          </w:p>
        </w:tc>
        <w:tc>
          <w:tcPr>
            <w:tcW w:w="1694"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5,88</w:t>
            </w:r>
          </w:p>
        </w:tc>
        <w:tc>
          <w:tcPr>
            <w:tcW w:w="180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99,82</w:t>
            </w:r>
          </w:p>
        </w:tc>
        <w:tc>
          <w:tcPr>
            <w:tcW w:w="1840" w:type="dxa"/>
            <w:shd w:val="clear" w:color="auto" w:fill="auto"/>
            <w:noWrap/>
            <w:vAlign w:val="bottom"/>
          </w:tcPr>
          <w:p w:rsidR="00434820" w:rsidRPr="003B5EA4" w:rsidRDefault="00434820" w:rsidP="00434820">
            <w:pPr>
              <w:suppressAutoHyphens w:val="0"/>
              <w:spacing w:before="40" w:after="40" w:line="220" w:lineRule="exact"/>
              <w:jc w:val="right"/>
              <w:rPr>
                <w:sz w:val="18"/>
                <w:szCs w:val="16"/>
                <w:lang w:eastAsia="zh-CN"/>
              </w:rPr>
            </w:pPr>
            <w:r w:rsidRPr="003B5EA4">
              <w:rPr>
                <w:sz w:val="18"/>
                <w:szCs w:val="16"/>
                <w:lang w:eastAsia="zh-CN"/>
              </w:rPr>
              <w:t>5,89 %</w:t>
            </w:r>
          </w:p>
        </w:tc>
      </w:tr>
      <w:tr w:rsidR="00093BC5" w:rsidRPr="003B5EA4" w:rsidTr="0062470E">
        <w:tc>
          <w:tcPr>
            <w:tcW w:w="1260" w:type="dxa"/>
            <w:shd w:val="clear" w:color="auto" w:fill="auto"/>
            <w:noWrap/>
          </w:tcPr>
          <w:p w:rsidR="00093BC5" w:rsidRPr="003B5EA4" w:rsidRDefault="00093BC5" w:rsidP="00093BC5">
            <w:pPr>
              <w:suppressAutoHyphens w:val="0"/>
              <w:spacing w:before="40" w:after="40" w:line="220" w:lineRule="exact"/>
              <w:rPr>
                <w:sz w:val="18"/>
                <w:szCs w:val="16"/>
                <w:lang w:eastAsia="zh-CN"/>
              </w:rPr>
            </w:pPr>
            <w:r w:rsidRPr="003B5EA4">
              <w:rPr>
                <w:sz w:val="18"/>
                <w:szCs w:val="16"/>
                <w:lang w:eastAsia="zh-CN"/>
              </w:rPr>
              <w:t>ONU-Femmes</w:t>
            </w:r>
          </w:p>
        </w:tc>
        <w:tc>
          <w:tcPr>
            <w:tcW w:w="1694"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23,15</w:t>
            </w:r>
          </w:p>
        </w:tc>
        <w:tc>
          <w:tcPr>
            <w:tcW w:w="180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11,74</w:t>
            </w:r>
          </w:p>
        </w:tc>
        <w:tc>
          <w:tcPr>
            <w:tcW w:w="2071"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11,41</w:t>
            </w:r>
          </w:p>
        </w:tc>
        <w:tc>
          <w:tcPr>
            <w:tcW w:w="96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849,61</w:t>
            </w:r>
          </w:p>
        </w:tc>
        <w:tc>
          <w:tcPr>
            <w:tcW w:w="1840"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2,73 %</w:t>
            </w:r>
          </w:p>
        </w:tc>
      </w:tr>
      <w:tr w:rsidR="00093BC5" w:rsidRPr="003B5EA4" w:rsidTr="0062470E">
        <w:tc>
          <w:tcPr>
            <w:tcW w:w="1260" w:type="dxa"/>
            <w:shd w:val="clear" w:color="auto" w:fill="auto"/>
            <w:noWrap/>
          </w:tcPr>
          <w:p w:rsidR="00093BC5" w:rsidRPr="003B5EA4" w:rsidRDefault="00093BC5" w:rsidP="00093BC5">
            <w:pPr>
              <w:suppressAutoHyphens w:val="0"/>
              <w:spacing w:before="40" w:after="40" w:line="220" w:lineRule="exact"/>
              <w:rPr>
                <w:sz w:val="18"/>
                <w:szCs w:val="16"/>
                <w:lang w:eastAsia="zh-CN"/>
              </w:rPr>
            </w:pPr>
            <w:r w:rsidRPr="003B5EA4">
              <w:rPr>
                <w:sz w:val="18"/>
                <w:szCs w:val="16"/>
                <w:lang w:eastAsia="zh-CN"/>
              </w:rPr>
              <w:t>ONUDC</w:t>
            </w:r>
          </w:p>
        </w:tc>
        <w:tc>
          <w:tcPr>
            <w:tcW w:w="1694"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16,05</w:t>
            </w:r>
          </w:p>
        </w:tc>
        <w:tc>
          <w:tcPr>
            <w:tcW w:w="180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1 127,59</w:t>
            </w:r>
          </w:p>
        </w:tc>
        <w:tc>
          <w:tcPr>
            <w:tcW w:w="1840"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1,42 %</w:t>
            </w:r>
          </w:p>
        </w:tc>
      </w:tr>
      <w:tr w:rsidR="00093BC5" w:rsidRPr="003B5EA4" w:rsidTr="0062470E">
        <w:tc>
          <w:tcPr>
            <w:tcW w:w="1260" w:type="dxa"/>
            <w:shd w:val="clear" w:color="auto" w:fill="auto"/>
            <w:noWrap/>
          </w:tcPr>
          <w:p w:rsidR="00093BC5" w:rsidRPr="003B5EA4" w:rsidRDefault="00093BC5" w:rsidP="00093BC5">
            <w:pPr>
              <w:suppressAutoHyphens w:val="0"/>
              <w:spacing w:before="40" w:after="40" w:line="220" w:lineRule="exact"/>
              <w:rPr>
                <w:sz w:val="18"/>
                <w:szCs w:val="16"/>
                <w:lang w:eastAsia="zh-CN"/>
              </w:rPr>
            </w:pPr>
            <w:r w:rsidRPr="003B5EA4">
              <w:rPr>
                <w:sz w:val="18"/>
                <w:szCs w:val="16"/>
                <w:lang w:eastAsia="zh-CN"/>
              </w:rPr>
              <w:t>ONUDI</w:t>
            </w:r>
            <w:r w:rsidRPr="003B5EA4">
              <w:rPr>
                <w:i/>
                <w:sz w:val="18"/>
                <w:szCs w:val="16"/>
                <w:vertAlign w:val="superscript"/>
              </w:rPr>
              <w:t>a</w:t>
            </w:r>
          </w:p>
        </w:tc>
        <w:tc>
          <w:tcPr>
            <w:tcW w:w="1694"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rFonts w:eastAsiaTheme="minorEastAsia"/>
                <w:sz w:val="18"/>
                <w:szCs w:val="16"/>
              </w:rPr>
              <w:t>74,85</w:t>
            </w:r>
          </w:p>
        </w:tc>
        <w:tc>
          <w:tcPr>
            <w:tcW w:w="180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rFonts w:eastAsiaTheme="minorEastAsia"/>
                <w:sz w:val="18"/>
                <w:szCs w:val="16"/>
              </w:rPr>
              <w:t>23,65</w:t>
            </w:r>
          </w:p>
        </w:tc>
        <w:tc>
          <w:tcPr>
            <w:tcW w:w="2071"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rFonts w:eastAsiaTheme="minorEastAsia"/>
                <w:sz w:val="18"/>
                <w:szCs w:val="16"/>
              </w:rPr>
              <w:t>30,07</w:t>
            </w:r>
          </w:p>
        </w:tc>
        <w:tc>
          <w:tcPr>
            <w:tcW w:w="96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rFonts w:eastAsiaTheme="minorEastAsia"/>
                <w:sz w:val="18"/>
                <w:szCs w:val="16"/>
              </w:rPr>
              <w:t>1 110,25</w:t>
            </w:r>
          </w:p>
        </w:tc>
        <w:tc>
          <w:tcPr>
            <w:tcW w:w="1840"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rFonts w:eastAsiaTheme="minorEastAsia"/>
                <w:sz w:val="18"/>
                <w:szCs w:val="16"/>
              </w:rPr>
              <w:t>6,74 %</w:t>
            </w:r>
          </w:p>
        </w:tc>
      </w:tr>
      <w:tr w:rsidR="00093BC5" w:rsidRPr="003B5EA4" w:rsidTr="0062470E">
        <w:tc>
          <w:tcPr>
            <w:tcW w:w="1260" w:type="dxa"/>
            <w:shd w:val="clear" w:color="auto" w:fill="auto"/>
            <w:noWrap/>
          </w:tcPr>
          <w:p w:rsidR="00093BC5" w:rsidRPr="003B5EA4" w:rsidRDefault="00093BC5" w:rsidP="00093BC5">
            <w:pPr>
              <w:suppressAutoHyphens w:val="0"/>
              <w:spacing w:before="40" w:after="40" w:line="220" w:lineRule="exact"/>
              <w:rPr>
                <w:sz w:val="18"/>
                <w:szCs w:val="16"/>
                <w:lang w:eastAsia="zh-CN"/>
              </w:rPr>
            </w:pPr>
            <w:r w:rsidRPr="003B5EA4">
              <w:rPr>
                <w:sz w:val="18"/>
                <w:szCs w:val="16"/>
                <w:lang w:eastAsia="zh-CN"/>
              </w:rPr>
              <w:t>ONUSIDA</w:t>
            </w:r>
          </w:p>
        </w:tc>
        <w:tc>
          <w:tcPr>
            <w:tcW w:w="1694"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40,84</w:t>
            </w:r>
          </w:p>
        </w:tc>
        <w:tc>
          <w:tcPr>
            <w:tcW w:w="180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26,97</w:t>
            </w:r>
          </w:p>
        </w:tc>
        <w:tc>
          <w:tcPr>
            <w:tcW w:w="2071"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13,86</w:t>
            </w:r>
          </w:p>
        </w:tc>
        <w:tc>
          <w:tcPr>
            <w:tcW w:w="96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1 164,77</w:t>
            </w:r>
          </w:p>
        </w:tc>
        <w:tc>
          <w:tcPr>
            <w:tcW w:w="1840"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3,51 %</w:t>
            </w:r>
          </w:p>
        </w:tc>
      </w:tr>
      <w:tr w:rsidR="003B2819" w:rsidRPr="003B5EA4" w:rsidTr="00093BC5">
        <w:tc>
          <w:tcPr>
            <w:tcW w:w="1260" w:type="dxa"/>
            <w:shd w:val="clear" w:color="auto" w:fill="auto"/>
            <w:noWrap/>
          </w:tcPr>
          <w:p w:rsidR="003B2819" w:rsidRPr="003B5EA4" w:rsidRDefault="003B2819" w:rsidP="003B2819">
            <w:pPr>
              <w:suppressAutoHyphens w:val="0"/>
              <w:spacing w:before="40" w:after="40" w:line="220" w:lineRule="exact"/>
              <w:rPr>
                <w:sz w:val="18"/>
                <w:szCs w:val="16"/>
                <w:lang w:eastAsia="zh-CN"/>
              </w:rPr>
            </w:pPr>
            <w:r w:rsidRPr="003B5EA4">
              <w:rPr>
                <w:sz w:val="18"/>
                <w:szCs w:val="16"/>
                <w:lang w:eastAsia="zh-CN"/>
              </w:rPr>
              <w:t>PAM</w:t>
            </w:r>
            <w:r w:rsidRPr="003B5EA4">
              <w:rPr>
                <w:i/>
                <w:sz w:val="18"/>
                <w:szCs w:val="16"/>
                <w:vertAlign w:val="superscript"/>
              </w:rPr>
              <w:t>a</w:t>
            </w:r>
          </w:p>
        </w:tc>
        <w:tc>
          <w:tcPr>
            <w:tcW w:w="1694"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392,89</w:t>
            </w:r>
          </w:p>
        </w:tc>
        <w:tc>
          <w:tcPr>
            <w:tcW w:w="1806"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192,54</w:t>
            </w:r>
          </w:p>
        </w:tc>
        <w:tc>
          <w:tcPr>
            <w:tcW w:w="2071"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200,34</w:t>
            </w:r>
          </w:p>
        </w:tc>
        <w:tc>
          <w:tcPr>
            <w:tcW w:w="966"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19 107,95</w:t>
            </w:r>
          </w:p>
        </w:tc>
        <w:tc>
          <w:tcPr>
            <w:tcW w:w="1840"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2,06 %</w:t>
            </w:r>
          </w:p>
        </w:tc>
      </w:tr>
      <w:tr w:rsidR="003B2819" w:rsidRPr="003B5EA4" w:rsidTr="00093BC5">
        <w:tc>
          <w:tcPr>
            <w:tcW w:w="1260" w:type="dxa"/>
            <w:shd w:val="clear" w:color="auto" w:fill="auto"/>
            <w:noWrap/>
          </w:tcPr>
          <w:p w:rsidR="003B2819" w:rsidRPr="003B5EA4" w:rsidRDefault="003B2819" w:rsidP="003B2819">
            <w:pPr>
              <w:suppressAutoHyphens w:val="0"/>
              <w:spacing w:before="40" w:after="40" w:line="220" w:lineRule="exact"/>
              <w:rPr>
                <w:sz w:val="18"/>
                <w:szCs w:val="16"/>
                <w:lang w:eastAsia="zh-CN"/>
              </w:rPr>
            </w:pPr>
            <w:r w:rsidRPr="003B5EA4">
              <w:rPr>
                <w:sz w:val="18"/>
                <w:szCs w:val="16"/>
                <w:lang w:eastAsia="zh-CN"/>
              </w:rPr>
              <w:t>PNUD</w:t>
            </w:r>
            <w:r w:rsidRPr="003B5EA4">
              <w:rPr>
                <w:i/>
                <w:sz w:val="18"/>
                <w:szCs w:val="16"/>
                <w:vertAlign w:val="superscript"/>
              </w:rPr>
              <w:t>a</w:t>
            </w:r>
          </w:p>
        </w:tc>
        <w:tc>
          <w:tcPr>
            <w:tcW w:w="1694"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93,26</w:t>
            </w:r>
          </w:p>
        </w:tc>
        <w:tc>
          <w:tcPr>
            <w:tcW w:w="1806"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20 860,60</w:t>
            </w:r>
          </w:p>
        </w:tc>
        <w:tc>
          <w:tcPr>
            <w:tcW w:w="1840" w:type="dxa"/>
            <w:shd w:val="clear" w:color="auto" w:fill="auto"/>
            <w:noWrap/>
            <w:vAlign w:val="bottom"/>
          </w:tcPr>
          <w:p w:rsidR="003B2819" w:rsidRPr="003B5EA4" w:rsidRDefault="003B2819" w:rsidP="003B2819">
            <w:pPr>
              <w:suppressAutoHyphens w:val="0"/>
              <w:spacing w:before="40" w:after="40" w:line="220" w:lineRule="exact"/>
              <w:jc w:val="right"/>
              <w:rPr>
                <w:sz w:val="18"/>
                <w:szCs w:val="16"/>
                <w:lang w:eastAsia="zh-CN"/>
              </w:rPr>
            </w:pPr>
            <w:r w:rsidRPr="003B5EA4">
              <w:rPr>
                <w:sz w:val="18"/>
                <w:szCs w:val="16"/>
                <w:lang w:eastAsia="zh-CN"/>
              </w:rPr>
              <w:t>0,45 %</w:t>
            </w:r>
          </w:p>
        </w:tc>
      </w:tr>
      <w:tr w:rsidR="00932B5D" w:rsidRPr="003B5EA4" w:rsidTr="00B26714">
        <w:tc>
          <w:tcPr>
            <w:tcW w:w="1260" w:type="dxa"/>
            <w:shd w:val="clear" w:color="auto" w:fill="auto"/>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 xml:space="preserve">Siège </w:t>
            </w:r>
            <w:r w:rsidR="0012476F" w:rsidRPr="003B5EA4">
              <w:rPr>
                <w:sz w:val="18"/>
                <w:szCs w:val="16"/>
                <w:lang w:eastAsia="zh-CN"/>
              </w:rPr>
              <w:br/>
            </w:r>
            <w:r w:rsidRPr="003B5EA4">
              <w:rPr>
                <w:sz w:val="18"/>
                <w:szCs w:val="16"/>
                <w:lang w:eastAsia="zh-CN"/>
              </w:rPr>
              <w:t xml:space="preserve">et bureaux </w:t>
            </w:r>
            <w:r w:rsidR="0012476F" w:rsidRPr="003B5EA4">
              <w:rPr>
                <w:sz w:val="18"/>
                <w:szCs w:val="16"/>
                <w:lang w:eastAsia="zh-CN"/>
              </w:rPr>
              <w:br/>
            </w:r>
            <w:r w:rsidRPr="003B5EA4">
              <w:rPr>
                <w:sz w:val="18"/>
                <w:szCs w:val="16"/>
                <w:lang w:eastAsia="zh-CN"/>
              </w:rPr>
              <w:t xml:space="preserve">hors Siège </w:t>
            </w:r>
            <w:r w:rsidR="004D2DC7" w:rsidRPr="003B5EA4">
              <w:rPr>
                <w:sz w:val="18"/>
                <w:szCs w:val="16"/>
                <w:lang w:eastAsia="zh-CN"/>
              </w:rPr>
              <w:br/>
            </w:r>
            <w:r w:rsidRPr="003B5EA4">
              <w:rPr>
                <w:sz w:val="18"/>
                <w:szCs w:val="16"/>
                <w:lang w:eastAsia="zh-CN"/>
              </w:rPr>
              <w:t>de l</w:t>
            </w:r>
            <w:r w:rsidR="00762E0A">
              <w:rPr>
                <w:sz w:val="18"/>
                <w:szCs w:val="16"/>
                <w:lang w:eastAsia="zh-CN"/>
              </w:rPr>
              <w:t>’</w:t>
            </w:r>
            <w:r w:rsidRPr="003B5EA4">
              <w:rPr>
                <w:sz w:val="18"/>
                <w:szCs w:val="16"/>
                <w:lang w:eastAsia="zh-CN"/>
              </w:rPr>
              <w:t>ONU</w:t>
            </w:r>
          </w:p>
        </w:tc>
        <w:tc>
          <w:tcPr>
            <w:tcW w:w="1694"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310,94</w:t>
            </w:r>
          </w:p>
        </w:tc>
        <w:tc>
          <w:tcPr>
            <w:tcW w:w="180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19 272,90</w:t>
            </w:r>
          </w:p>
        </w:tc>
        <w:tc>
          <w:tcPr>
            <w:tcW w:w="1840"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1,61 %</w:t>
            </w:r>
          </w:p>
        </w:tc>
      </w:tr>
      <w:tr w:rsidR="00093BC5" w:rsidRPr="003B5EA4" w:rsidTr="00093BC5">
        <w:tc>
          <w:tcPr>
            <w:tcW w:w="1260" w:type="dxa"/>
            <w:shd w:val="clear" w:color="auto" w:fill="auto"/>
          </w:tcPr>
          <w:p w:rsidR="00093BC5" w:rsidRPr="003B5EA4" w:rsidRDefault="00093BC5" w:rsidP="00093BC5">
            <w:pPr>
              <w:suppressAutoHyphens w:val="0"/>
              <w:spacing w:before="40" w:after="40" w:line="220" w:lineRule="exact"/>
              <w:rPr>
                <w:sz w:val="18"/>
                <w:szCs w:val="16"/>
                <w:lang w:eastAsia="zh-CN"/>
              </w:rPr>
            </w:pPr>
            <w:r w:rsidRPr="003B5EA4">
              <w:rPr>
                <w:sz w:val="18"/>
                <w:szCs w:val="16"/>
                <w:lang w:eastAsia="zh-CN"/>
              </w:rPr>
              <w:t>UIT</w:t>
            </w:r>
            <w:r w:rsidRPr="003B5EA4">
              <w:rPr>
                <w:i/>
                <w:sz w:val="18"/>
                <w:szCs w:val="16"/>
                <w:vertAlign w:val="superscript"/>
              </w:rPr>
              <w:t>a</w:t>
            </w:r>
          </w:p>
        </w:tc>
        <w:tc>
          <w:tcPr>
            <w:tcW w:w="1694"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32,84</w:t>
            </w:r>
          </w:p>
        </w:tc>
        <w:tc>
          <w:tcPr>
            <w:tcW w:w="180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24,94</w:t>
            </w:r>
          </w:p>
        </w:tc>
        <w:tc>
          <w:tcPr>
            <w:tcW w:w="2071"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15,58</w:t>
            </w:r>
          </w:p>
        </w:tc>
        <w:tc>
          <w:tcPr>
            <w:tcW w:w="966"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808,29</w:t>
            </w:r>
          </w:p>
        </w:tc>
        <w:tc>
          <w:tcPr>
            <w:tcW w:w="1840" w:type="dxa"/>
            <w:shd w:val="clear" w:color="auto" w:fill="auto"/>
            <w:noWrap/>
            <w:vAlign w:val="bottom"/>
          </w:tcPr>
          <w:p w:rsidR="00093BC5" w:rsidRPr="003B5EA4" w:rsidRDefault="00093BC5" w:rsidP="00093BC5">
            <w:pPr>
              <w:suppressAutoHyphens w:val="0"/>
              <w:spacing w:before="40" w:after="40" w:line="220" w:lineRule="exact"/>
              <w:jc w:val="right"/>
              <w:rPr>
                <w:sz w:val="18"/>
                <w:szCs w:val="16"/>
                <w:lang w:eastAsia="zh-CN"/>
              </w:rPr>
            </w:pPr>
            <w:r w:rsidRPr="003B5EA4">
              <w:rPr>
                <w:sz w:val="18"/>
                <w:szCs w:val="16"/>
                <w:lang w:eastAsia="zh-CN"/>
              </w:rPr>
              <w:t>4,06 %</w:t>
            </w:r>
          </w:p>
        </w:tc>
      </w:tr>
      <w:tr w:rsidR="00932B5D" w:rsidRPr="003B5EA4" w:rsidTr="00B26714">
        <w:tc>
          <w:tcPr>
            <w:tcW w:w="1260" w:type="dxa"/>
            <w:shd w:val="clear" w:color="auto" w:fill="auto"/>
            <w:noWrap/>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UNESCO</w:t>
            </w:r>
          </w:p>
        </w:tc>
        <w:tc>
          <w:tcPr>
            <w:tcW w:w="1694"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69,39</w:t>
            </w:r>
          </w:p>
        </w:tc>
        <w:tc>
          <w:tcPr>
            <w:tcW w:w="180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50,62</w:t>
            </w:r>
          </w:p>
        </w:tc>
        <w:tc>
          <w:tcPr>
            <w:tcW w:w="2071"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18,76</w:t>
            </w:r>
          </w:p>
        </w:tc>
        <w:tc>
          <w:tcPr>
            <w:tcW w:w="96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3 184,69</w:t>
            </w:r>
          </w:p>
        </w:tc>
        <w:tc>
          <w:tcPr>
            <w:tcW w:w="1840"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2,18 %</w:t>
            </w:r>
          </w:p>
        </w:tc>
      </w:tr>
      <w:tr w:rsidR="00932B5D" w:rsidRPr="003B5EA4" w:rsidTr="00B26714">
        <w:tc>
          <w:tcPr>
            <w:tcW w:w="1260" w:type="dxa"/>
            <w:shd w:val="clear" w:color="auto" w:fill="auto"/>
            <w:noWrap/>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UNICEF</w:t>
            </w:r>
            <w:r w:rsidRPr="003B5EA4">
              <w:rPr>
                <w:i/>
                <w:sz w:val="18"/>
                <w:szCs w:val="16"/>
                <w:vertAlign w:val="superscript"/>
              </w:rPr>
              <w:t>a</w:t>
            </w:r>
          </w:p>
        </w:tc>
        <w:tc>
          <w:tcPr>
            <w:tcW w:w="1694"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555,60</w:t>
            </w:r>
          </w:p>
        </w:tc>
        <w:tc>
          <w:tcPr>
            <w:tcW w:w="180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452,90</w:t>
            </w:r>
          </w:p>
        </w:tc>
        <w:tc>
          <w:tcPr>
            <w:tcW w:w="2071"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102,70</w:t>
            </w:r>
          </w:p>
        </w:tc>
        <w:tc>
          <w:tcPr>
            <w:tcW w:w="96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17 313,32</w:t>
            </w:r>
          </w:p>
        </w:tc>
        <w:tc>
          <w:tcPr>
            <w:tcW w:w="1840"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3,21 %</w:t>
            </w:r>
          </w:p>
        </w:tc>
      </w:tr>
      <w:tr w:rsidR="00932B5D" w:rsidRPr="003B5EA4" w:rsidTr="0082221E">
        <w:trPr>
          <w:cantSplit/>
        </w:trPr>
        <w:tc>
          <w:tcPr>
            <w:tcW w:w="1260" w:type="dxa"/>
            <w:shd w:val="clear" w:color="auto" w:fill="auto"/>
            <w:hideMark/>
          </w:tcPr>
          <w:p w:rsidR="00DE3193" w:rsidRPr="003B5EA4" w:rsidRDefault="00DE3193" w:rsidP="0082221E">
            <w:pPr>
              <w:keepNext/>
              <w:suppressAutoHyphens w:val="0"/>
              <w:spacing w:before="40" w:after="40" w:line="220" w:lineRule="exact"/>
              <w:rPr>
                <w:sz w:val="18"/>
                <w:szCs w:val="16"/>
                <w:lang w:eastAsia="zh-CN"/>
              </w:rPr>
            </w:pPr>
            <w:r w:rsidRPr="003B5EA4">
              <w:rPr>
                <w:sz w:val="18"/>
                <w:szCs w:val="16"/>
                <w:lang w:eastAsia="zh-CN"/>
              </w:rPr>
              <w:lastRenderedPageBreak/>
              <w:t>UNOPS</w:t>
            </w:r>
          </w:p>
        </w:tc>
        <w:tc>
          <w:tcPr>
            <w:tcW w:w="1694" w:type="dxa"/>
            <w:shd w:val="clear" w:color="auto" w:fill="auto"/>
            <w:noWrap/>
            <w:vAlign w:val="bottom"/>
            <w:hideMark/>
          </w:tcPr>
          <w:p w:rsidR="00DE3193" w:rsidRPr="003B5EA4" w:rsidRDefault="00DE3193" w:rsidP="0082221E">
            <w:pPr>
              <w:keepNext/>
              <w:suppressAutoHyphens w:val="0"/>
              <w:spacing w:before="40" w:after="40" w:line="220" w:lineRule="exact"/>
              <w:jc w:val="right"/>
              <w:rPr>
                <w:sz w:val="18"/>
                <w:szCs w:val="16"/>
                <w:lang w:eastAsia="zh-CN"/>
              </w:rPr>
            </w:pPr>
            <w:r w:rsidRPr="003B5EA4">
              <w:rPr>
                <w:sz w:val="18"/>
                <w:szCs w:val="16"/>
                <w:lang w:eastAsia="zh-CN"/>
              </w:rPr>
              <w:t>102,59</w:t>
            </w:r>
          </w:p>
        </w:tc>
        <w:tc>
          <w:tcPr>
            <w:tcW w:w="1806" w:type="dxa"/>
            <w:shd w:val="clear" w:color="auto" w:fill="auto"/>
            <w:noWrap/>
            <w:vAlign w:val="bottom"/>
            <w:hideMark/>
          </w:tcPr>
          <w:p w:rsidR="00DE3193" w:rsidRPr="003B5EA4" w:rsidRDefault="00DE3193" w:rsidP="0082221E">
            <w:pPr>
              <w:keepNext/>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hideMark/>
          </w:tcPr>
          <w:p w:rsidR="00DE3193" w:rsidRPr="003B5EA4" w:rsidRDefault="00DE3193" w:rsidP="0082221E">
            <w:pPr>
              <w:keepNext/>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hideMark/>
          </w:tcPr>
          <w:p w:rsidR="00DE3193" w:rsidRPr="003B5EA4" w:rsidRDefault="00DE3193" w:rsidP="0082221E">
            <w:pPr>
              <w:keepNext/>
              <w:suppressAutoHyphens w:val="0"/>
              <w:spacing w:before="40" w:after="40" w:line="220" w:lineRule="exact"/>
              <w:jc w:val="right"/>
              <w:rPr>
                <w:sz w:val="18"/>
                <w:szCs w:val="16"/>
                <w:lang w:eastAsia="zh-CN"/>
              </w:rPr>
            </w:pPr>
            <w:r w:rsidRPr="003B5EA4">
              <w:rPr>
                <w:sz w:val="18"/>
                <w:szCs w:val="16"/>
                <w:lang w:eastAsia="zh-CN"/>
              </w:rPr>
              <w:t>4 930,70</w:t>
            </w:r>
          </w:p>
        </w:tc>
        <w:tc>
          <w:tcPr>
            <w:tcW w:w="1840" w:type="dxa"/>
            <w:shd w:val="clear" w:color="auto" w:fill="auto"/>
            <w:noWrap/>
            <w:vAlign w:val="bottom"/>
            <w:hideMark/>
          </w:tcPr>
          <w:p w:rsidR="00DE3193" w:rsidRPr="003B5EA4" w:rsidRDefault="00DE3193" w:rsidP="0082221E">
            <w:pPr>
              <w:keepNext/>
              <w:suppressAutoHyphens w:val="0"/>
              <w:spacing w:before="40" w:after="40" w:line="220" w:lineRule="exact"/>
              <w:jc w:val="right"/>
              <w:rPr>
                <w:sz w:val="18"/>
                <w:szCs w:val="16"/>
                <w:lang w:eastAsia="zh-CN"/>
              </w:rPr>
            </w:pPr>
            <w:r w:rsidRPr="003B5EA4">
              <w:rPr>
                <w:sz w:val="18"/>
                <w:szCs w:val="16"/>
                <w:lang w:eastAsia="zh-CN"/>
              </w:rPr>
              <w:t>2,08 %</w:t>
            </w:r>
          </w:p>
        </w:tc>
      </w:tr>
      <w:tr w:rsidR="00932B5D" w:rsidRPr="003B5EA4" w:rsidTr="00B26714">
        <w:tc>
          <w:tcPr>
            <w:tcW w:w="1260" w:type="dxa"/>
            <w:shd w:val="clear" w:color="auto" w:fill="auto"/>
            <w:noWrap/>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UNRWA</w:t>
            </w:r>
          </w:p>
        </w:tc>
        <w:tc>
          <w:tcPr>
            <w:tcW w:w="1694"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10,93</w:t>
            </w:r>
          </w:p>
        </w:tc>
        <w:tc>
          <w:tcPr>
            <w:tcW w:w="180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w:t>
            </w:r>
          </w:p>
        </w:tc>
        <w:tc>
          <w:tcPr>
            <w:tcW w:w="2071"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w:t>
            </w:r>
          </w:p>
        </w:tc>
        <w:tc>
          <w:tcPr>
            <w:tcW w:w="966"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4 009,40</w:t>
            </w:r>
          </w:p>
        </w:tc>
        <w:tc>
          <w:tcPr>
            <w:tcW w:w="1840" w:type="dxa"/>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0,27 %</w:t>
            </w:r>
          </w:p>
        </w:tc>
      </w:tr>
      <w:tr w:rsidR="00932B5D" w:rsidRPr="003B5EA4" w:rsidTr="003B2819">
        <w:tc>
          <w:tcPr>
            <w:tcW w:w="1260" w:type="dxa"/>
            <w:tcBorders>
              <w:bottom w:val="single" w:sz="4" w:space="0" w:color="auto"/>
            </w:tcBorders>
            <w:shd w:val="clear" w:color="auto" w:fill="auto"/>
            <w:hideMark/>
          </w:tcPr>
          <w:p w:rsidR="00DE3193" w:rsidRPr="003B5EA4" w:rsidRDefault="00DE3193" w:rsidP="00DA6EA8">
            <w:pPr>
              <w:suppressAutoHyphens w:val="0"/>
              <w:spacing w:before="40" w:after="40" w:line="220" w:lineRule="exact"/>
              <w:rPr>
                <w:sz w:val="18"/>
                <w:szCs w:val="16"/>
                <w:lang w:eastAsia="zh-CN"/>
              </w:rPr>
            </w:pPr>
            <w:r w:rsidRPr="003B5EA4">
              <w:rPr>
                <w:sz w:val="18"/>
                <w:szCs w:val="16"/>
                <w:lang w:eastAsia="zh-CN"/>
              </w:rPr>
              <w:t>UPU</w:t>
            </w:r>
            <w:r w:rsidRPr="003B5EA4">
              <w:rPr>
                <w:i/>
                <w:sz w:val="18"/>
                <w:szCs w:val="16"/>
                <w:vertAlign w:val="superscript"/>
              </w:rPr>
              <w:t>a</w:t>
            </w:r>
          </w:p>
        </w:tc>
        <w:tc>
          <w:tcPr>
            <w:tcW w:w="1694" w:type="dxa"/>
            <w:tcBorders>
              <w:bottom w:val="single" w:sz="4" w:space="0" w:color="auto"/>
            </w:tcBorders>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4,51</w:t>
            </w:r>
          </w:p>
        </w:tc>
        <w:tc>
          <w:tcPr>
            <w:tcW w:w="1806" w:type="dxa"/>
            <w:tcBorders>
              <w:bottom w:val="single" w:sz="4" w:space="0" w:color="auto"/>
            </w:tcBorders>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3,55</w:t>
            </w:r>
          </w:p>
        </w:tc>
        <w:tc>
          <w:tcPr>
            <w:tcW w:w="2071" w:type="dxa"/>
            <w:tcBorders>
              <w:bottom w:val="single" w:sz="4" w:space="0" w:color="auto"/>
            </w:tcBorders>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0,96</w:t>
            </w:r>
          </w:p>
        </w:tc>
        <w:tc>
          <w:tcPr>
            <w:tcW w:w="966" w:type="dxa"/>
            <w:tcBorders>
              <w:bottom w:val="single" w:sz="4" w:space="0" w:color="auto"/>
            </w:tcBorders>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292,53</w:t>
            </w:r>
          </w:p>
        </w:tc>
        <w:tc>
          <w:tcPr>
            <w:tcW w:w="1840" w:type="dxa"/>
            <w:tcBorders>
              <w:bottom w:val="single" w:sz="4" w:space="0" w:color="auto"/>
            </w:tcBorders>
            <w:shd w:val="clear" w:color="auto" w:fill="auto"/>
            <w:noWrap/>
            <w:vAlign w:val="bottom"/>
            <w:hideMark/>
          </w:tcPr>
          <w:p w:rsidR="00DE3193" w:rsidRPr="003B5EA4" w:rsidRDefault="00DE3193" w:rsidP="00DA6EA8">
            <w:pPr>
              <w:suppressAutoHyphens w:val="0"/>
              <w:spacing w:before="40" w:after="40" w:line="220" w:lineRule="exact"/>
              <w:jc w:val="right"/>
              <w:rPr>
                <w:sz w:val="18"/>
                <w:szCs w:val="16"/>
                <w:lang w:eastAsia="zh-CN"/>
              </w:rPr>
            </w:pPr>
            <w:r w:rsidRPr="003B5EA4">
              <w:rPr>
                <w:sz w:val="18"/>
                <w:szCs w:val="16"/>
                <w:lang w:eastAsia="zh-CN"/>
              </w:rPr>
              <w:t>1,54 %</w:t>
            </w:r>
          </w:p>
        </w:tc>
      </w:tr>
      <w:tr w:rsidR="00932B5D" w:rsidRPr="003B5EA4" w:rsidTr="003B2819">
        <w:tc>
          <w:tcPr>
            <w:tcW w:w="1260" w:type="dxa"/>
            <w:tcBorders>
              <w:top w:val="single" w:sz="4" w:space="0" w:color="auto"/>
              <w:bottom w:val="single" w:sz="12" w:space="0" w:color="auto"/>
            </w:tcBorders>
            <w:shd w:val="clear" w:color="auto" w:fill="auto"/>
            <w:noWrap/>
          </w:tcPr>
          <w:p w:rsidR="00DE3193" w:rsidRPr="003B2819" w:rsidRDefault="00DE3193" w:rsidP="003B2819">
            <w:pPr>
              <w:suppressAutoHyphens w:val="0"/>
              <w:spacing w:before="80" w:after="80" w:line="220" w:lineRule="exact"/>
              <w:ind w:left="284"/>
              <w:rPr>
                <w:b/>
                <w:sz w:val="18"/>
                <w:szCs w:val="16"/>
                <w:lang w:eastAsia="zh-CN"/>
              </w:rPr>
            </w:pPr>
            <w:r w:rsidRPr="003B2819">
              <w:rPr>
                <w:b/>
                <w:sz w:val="18"/>
                <w:szCs w:val="16"/>
                <w:lang w:eastAsia="zh-CN"/>
              </w:rPr>
              <w:t>Total</w:t>
            </w:r>
          </w:p>
        </w:tc>
        <w:tc>
          <w:tcPr>
            <w:tcW w:w="1694" w:type="dxa"/>
            <w:tcBorders>
              <w:top w:val="single" w:sz="4" w:space="0" w:color="auto"/>
              <w:bottom w:val="single" w:sz="12" w:space="0" w:color="auto"/>
            </w:tcBorders>
            <w:shd w:val="clear" w:color="auto" w:fill="auto"/>
            <w:noWrap/>
            <w:vAlign w:val="bottom"/>
          </w:tcPr>
          <w:p w:rsidR="00DE3193" w:rsidRPr="003B2819" w:rsidRDefault="00DE3193" w:rsidP="003B2819">
            <w:pPr>
              <w:suppressAutoHyphens w:val="0"/>
              <w:spacing w:before="80" w:after="80" w:line="220" w:lineRule="exact"/>
              <w:jc w:val="right"/>
              <w:rPr>
                <w:b/>
                <w:sz w:val="18"/>
                <w:szCs w:val="16"/>
                <w:lang w:eastAsia="zh-CN"/>
              </w:rPr>
            </w:pPr>
            <w:r w:rsidRPr="003B2819">
              <w:rPr>
                <w:b/>
                <w:sz w:val="18"/>
                <w:szCs w:val="16"/>
                <w:lang w:eastAsia="zh-CN"/>
              </w:rPr>
              <w:t>4 015,90</w:t>
            </w:r>
          </w:p>
        </w:tc>
        <w:tc>
          <w:tcPr>
            <w:tcW w:w="1806" w:type="dxa"/>
            <w:tcBorders>
              <w:top w:val="single" w:sz="4" w:space="0" w:color="auto"/>
              <w:bottom w:val="single" w:sz="12" w:space="0" w:color="auto"/>
            </w:tcBorders>
            <w:shd w:val="clear" w:color="auto" w:fill="auto"/>
            <w:noWrap/>
            <w:vAlign w:val="bottom"/>
          </w:tcPr>
          <w:p w:rsidR="00DE3193" w:rsidRPr="003B2819" w:rsidRDefault="00DE3193" w:rsidP="003B2819">
            <w:pPr>
              <w:suppressAutoHyphens w:val="0"/>
              <w:spacing w:before="80" w:after="80" w:line="220" w:lineRule="exact"/>
              <w:jc w:val="right"/>
              <w:rPr>
                <w:b/>
                <w:sz w:val="18"/>
                <w:szCs w:val="16"/>
                <w:lang w:eastAsia="zh-CN"/>
              </w:rPr>
            </w:pPr>
            <w:r w:rsidRPr="003B2819">
              <w:rPr>
                <w:b/>
                <w:sz w:val="18"/>
                <w:szCs w:val="16"/>
                <w:lang w:eastAsia="zh-CN"/>
              </w:rPr>
              <w:t>1 740,23</w:t>
            </w:r>
          </w:p>
        </w:tc>
        <w:tc>
          <w:tcPr>
            <w:tcW w:w="2071" w:type="dxa"/>
            <w:tcBorders>
              <w:top w:val="single" w:sz="4" w:space="0" w:color="auto"/>
              <w:bottom w:val="single" w:sz="12" w:space="0" w:color="auto"/>
            </w:tcBorders>
            <w:shd w:val="clear" w:color="auto" w:fill="auto"/>
            <w:noWrap/>
            <w:vAlign w:val="bottom"/>
          </w:tcPr>
          <w:p w:rsidR="00DE3193" w:rsidRPr="003B2819" w:rsidRDefault="00DE3193" w:rsidP="003B2819">
            <w:pPr>
              <w:suppressAutoHyphens w:val="0"/>
              <w:spacing w:before="80" w:after="80" w:line="220" w:lineRule="exact"/>
              <w:jc w:val="right"/>
              <w:rPr>
                <w:b/>
                <w:sz w:val="18"/>
                <w:szCs w:val="16"/>
                <w:lang w:eastAsia="zh-CN"/>
              </w:rPr>
            </w:pPr>
            <w:r w:rsidRPr="003B2819">
              <w:rPr>
                <w:b/>
                <w:sz w:val="18"/>
                <w:szCs w:val="16"/>
                <w:lang w:eastAsia="zh-CN"/>
              </w:rPr>
              <w:t>1 354,00</w:t>
            </w:r>
          </w:p>
        </w:tc>
        <w:tc>
          <w:tcPr>
            <w:tcW w:w="966" w:type="dxa"/>
            <w:tcBorders>
              <w:top w:val="single" w:sz="4" w:space="0" w:color="auto"/>
              <w:bottom w:val="single" w:sz="12" w:space="0" w:color="auto"/>
            </w:tcBorders>
            <w:shd w:val="clear" w:color="auto" w:fill="auto"/>
            <w:noWrap/>
            <w:vAlign w:val="bottom"/>
          </w:tcPr>
          <w:p w:rsidR="00DE3193" w:rsidRPr="003B2819" w:rsidRDefault="00DE3193" w:rsidP="003B2819">
            <w:pPr>
              <w:suppressAutoHyphens w:val="0"/>
              <w:spacing w:before="80" w:after="80" w:line="220" w:lineRule="exact"/>
              <w:jc w:val="right"/>
              <w:rPr>
                <w:b/>
                <w:sz w:val="18"/>
                <w:szCs w:val="16"/>
                <w:lang w:eastAsia="zh-CN"/>
              </w:rPr>
            </w:pPr>
            <w:r w:rsidRPr="003B2819">
              <w:rPr>
                <w:b/>
                <w:sz w:val="18"/>
                <w:szCs w:val="16"/>
                <w:lang w:eastAsia="zh-CN"/>
              </w:rPr>
              <w:t>136 996,71</w:t>
            </w:r>
          </w:p>
        </w:tc>
        <w:tc>
          <w:tcPr>
            <w:tcW w:w="1840" w:type="dxa"/>
            <w:tcBorders>
              <w:top w:val="single" w:sz="4" w:space="0" w:color="auto"/>
              <w:bottom w:val="single" w:sz="12" w:space="0" w:color="auto"/>
            </w:tcBorders>
            <w:shd w:val="clear" w:color="auto" w:fill="auto"/>
            <w:noWrap/>
            <w:vAlign w:val="bottom"/>
          </w:tcPr>
          <w:p w:rsidR="00DE3193" w:rsidRPr="003B2819" w:rsidRDefault="00DE3193" w:rsidP="003B2819">
            <w:pPr>
              <w:suppressAutoHyphens w:val="0"/>
              <w:spacing w:before="80" w:after="80" w:line="220" w:lineRule="exact"/>
              <w:jc w:val="right"/>
              <w:rPr>
                <w:b/>
                <w:sz w:val="18"/>
                <w:szCs w:val="16"/>
                <w:lang w:eastAsia="zh-CN"/>
              </w:rPr>
            </w:pPr>
            <w:r w:rsidRPr="003B2819">
              <w:rPr>
                <w:b/>
                <w:sz w:val="18"/>
                <w:szCs w:val="16"/>
                <w:lang w:eastAsia="zh-CN"/>
              </w:rPr>
              <w:t>2,93 %</w:t>
            </w:r>
          </w:p>
        </w:tc>
      </w:tr>
    </w:tbl>
    <w:p w:rsidR="008B62EB" w:rsidRPr="003B5EA4" w:rsidRDefault="008E2572" w:rsidP="003C6555">
      <w:pPr>
        <w:pStyle w:val="SingleTxtG"/>
        <w:spacing w:before="120" w:after="0"/>
        <w:ind w:left="0" w:right="0" w:firstLine="170"/>
        <w:jc w:val="left"/>
        <w:rPr>
          <w:rFonts w:eastAsiaTheme="minorEastAsia"/>
          <w:sz w:val="18"/>
          <w:szCs w:val="18"/>
        </w:rPr>
      </w:pPr>
      <w:r w:rsidRPr="003B5EA4">
        <w:rPr>
          <w:rFonts w:eastAsiaTheme="minorEastAsia"/>
          <w:i/>
          <w:sz w:val="18"/>
          <w:szCs w:val="18"/>
        </w:rPr>
        <w:t>Sources</w:t>
      </w:r>
      <w:r w:rsidRPr="003B5EA4">
        <w:rPr>
          <w:rFonts w:eastAsiaTheme="minorEastAsia"/>
          <w:sz w:val="18"/>
          <w:szCs w:val="18"/>
        </w:rPr>
        <w:t> : Réponses au questionnaire du CCI (dépenses au titre des voyages en avion)</w:t>
      </w:r>
      <w:r w:rsidR="004962BE" w:rsidRPr="003B5EA4">
        <w:rPr>
          <w:rFonts w:eastAsiaTheme="minorEastAsia"/>
          <w:sz w:val="18"/>
          <w:szCs w:val="18"/>
        </w:rPr>
        <w:t> </w:t>
      </w:r>
      <w:r w:rsidRPr="003B5EA4">
        <w:rPr>
          <w:rFonts w:eastAsiaTheme="minorEastAsia"/>
          <w:sz w:val="18"/>
          <w:szCs w:val="18"/>
        </w:rPr>
        <w:t>; A/71/583 et A/69/305 (dépenses totales).</w:t>
      </w:r>
    </w:p>
    <w:p w:rsidR="008E2572" w:rsidRPr="003B5EA4" w:rsidRDefault="008E2572" w:rsidP="003C6555">
      <w:pPr>
        <w:pStyle w:val="SingleTxtG"/>
        <w:spacing w:after="0"/>
        <w:ind w:left="0" w:right="0" w:firstLine="170"/>
        <w:jc w:val="left"/>
        <w:rPr>
          <w:sz w:val="18"/>
          <w:szCs w:val="18"/>
          <w:lang w:eastAsia="zh-CN"/>
        </w:rPr>
      </w:pPr>
      <w:r w:rsidRPr="003B5EA4">
        <w:rPr>
          <w:i/>
          <w:sz w:val="18"/>
          <w:szCs w:val="18"/>
          <w:vertAlign w:val="superscript"/>
          <w:lang w:eastAsia="zh-CN"/>
        </w:rPr>
        <w:t>a</w:t>
      </w:r>
      <w:r w:rsidRPr="003B5EA4">
        <w:rPr>
          <w:sz w:val="18"/>
          <w:szCs w:val="18"/>
          <w:lang w:eastAsia="zh-CN"/>
        </w:rPr>
        <w:t xml:space="preserve">  Voir les notes de bas de page de l</w:t>
      </w:r>
      <w:r w:rsidR="00762E0A">
        <w:rPr>
          <w:sz w:val="18"/>
          <w:szCs w:val="18"/>
          <w:lang w:eastAsia="zh-CN"/>
        </w:rPr>
        <w:t>’</w:t>
      </w:r>
      <w:r w:rsidRPr="003B5EA4">
        <w:rPr>
          <w:sz w:val="18"/>
          <w:szCs w:val="18"/>
          <w:lang w:eastAsia="zh-CN"/>
        </w:rPr>
        <w:t xml:space="preserve">annexe I où sont répertoriées les particularités des informations communiquées </w:t>
      </w:r>
      <w:r w:rsidR="003C6555" w:rsidRPr="003B5EA4">
        <w:rPr>
          <w:sz w:val="18"/>
          <w:szCs w:val="18"/>
          <w:lang w:eastAsia="zh-CN"/>
        </w:rPr>
        <w:br/>
      </w:r>
      <w:r w:rsidRPr="003B5EA4">
        <w:rPr>
          <w:sz w:val="18"/>
          <w:szCs w:val="18"/>
          <w:lang w:eastAsia="zh-CN"/>
        </w:rPr>
        <w:t>par ces organismes quant à leurs dépenses au titre des voyages en avion et des prestations connexes.</w:t>
      </w:r>
    </w:p>
    <w:p w:rsidR="004962BE" w:rsidRPr="003B5EA4" w:rsidRDefault="00F70D45" w:rsidP="00F70D45">
      <w:pPr>
        <w:pStyle w:val="SingleTxtG"/>
        <w:spacing w:before="240"/>
        <w:rPr>
          <w:lang w:eastAsia="zh-CN"/>
        </w:rPr>
      </w:pPr>
      <w:r w:rsidRPr="003B5EA4">
        <w:rPr>
          <w:lang w:eastAsia="zh-CN"/>
        </w:rPr>
        <w:t>19.</w:t>
      </w:r>
      <w:r w:rsidRPr="003B5EA4">
        <w:rPr>
          <w:lang w:eastAsia="zh-CN"/>
        </w:rPr>
        <w:tab/>
      </w:r>
      <w:r w:rsidR="002D13DD" w:rsidRPr="003B5EA4">
        <w:rPr>
          <w:lang w:eastAsia="zh-CN"/>
        </w:rPr>
        <w:t>Comme il ressort du tableau 1, les données fournies par les 24 organismes concernés relativement aux dépenses qu</w:t>
      </w:r>
      <w:r w:rsidR="00762E0A">
        <w:rPr>
          <w:lang w:eastAsia="zh-CN"/>
        </w:rPr>
        <w:t>’</w:t>
      </w:r>
      <w:r w:rsidR="002D13DD" w:rsidRPr="003B5EA4">
        <w:rPr>
          <w:lang w:eastAsia="zh-CN"/>
        </w:rPr>
        <w:t>ils ont engagées au titre des voyages en avion et des prestations connexes (billets d</w:t>
      </w:r>
      <w:r w:rsidR="00762E0A">
        <w:rPr>
          <w:lang w:eastAsia="zh-CN"/>
        </w:rPr>
        <w:t>’</w:t>
      </w:r>
      <w:r w:rsidR="002D13DD" w:rsidRPr="003B5EA4">
        <w:rPr>
          <w:lang w:eastAsia="zh-CN"/>
        </w:rPr>
        <w:t>avion, indemnité journalière de subsistance, somme forfaitaire, faux frais au départ et à l</w:t>
      </w:r>
      <w:r w:rsidR="00762E0A">
        <w:rPr>
          <w:lang w:eastAsia="zh-CN"/>
        </w:rPr>
        <w:t>’</w:t>
      </w:r>
      <w:r w:rsidR="002D13DD" w:rsidRPr="003B5EA4">
        <w:rPr>
          <w:lang w:eastAsia="zh-CN"/>
        </w:rPr>
        <w:t>arrivée, et expéditions) se chiffrent pour la période de quatre ans allant de 2012 à 2015</w:t>
      </w:r>
      <w:r w:rsidR="002D13DD" w:rsidRPr="003B5EA4">
        <w:rPr>
          <w:rStyle w:val="Appelnotedebasdep"/>
        </w:rPr>
        <w:footnoteReference w:id="18"/>
      </w:r>
      <w:r w:rsidR="002D13DD" w:rsidRPr="003B5EA4">
        <w:rPr>
          <w:lang w:eastAsia="zh-CN"/>
        </w:rPr>
        <w:t xml:space="preserve"> à un montant total de 4,01 milliards de dollars des États</w:t>
      </w:r>
      <w:r w:rsidR="0082221E">
        <w:rPr>
          <w:lang w:eastAsia="zh-CN"/>
        </w:rPr>
        <w:noBreakHyphen/>
      </w:r>
      <w:r w:rsidR="002D13DD" w:rsidRPr="003B5EA4">
        <w:rPr>
          <w:lang w:eastAsia="zh-CN"/>
        </w:rPr>
        <w:t>Unis. Ce montant comprend les ressources du budget ordinaire et les ressources extrabudgétaires consacrées aux voyages en avion des fonctionnaires et des non-fonctionnaires dans tous les organismes en question, à certaines exceptions près</w:t>
      </w:r>
      <w:r w:rsidR="002D13DD" w:rsidRPr="003B5EA4">
        <w:rPr>
          <w:rStyle w:val="Appelnotedebasdep"/>
        </w:rPr>
        <w:footnoteReference w:id="19"/>
      </w:r>
      <w:r w:rsidR="002D13DD" w:rsidRPr="003B5EA4">
        <w:rPr>
          <w:lang w:eastAsia="zh-CN"/>
        </w:rPr>
        <w:t>. Le montant total aurait été plus élevé si toutes les entités du système des Nations Unies avaient fourni les informations relatives à leurs dépenses au titre des voyages en avion</w:t>
      </w:r>
      <w:r w:rsidR="002D13DD" w:rsidRPr="003B5EA4">
        <w:rPr>
          <w:rStyle w:val="Appelnotedebasdep"/>
        </w:rPr>
        <w:footnoteReference w:id="20"/>
      </w:r>
      <w:r w:rsidR="002D13DD" w:rsidRPr="003B5EA4">
        <w:rPr>
          <w:lang w:eastAsia="zh-CN"/>
        </w:rPr>
        <w:t>. L</w:t>
      </w:r>
      <w:r w:rsidR="00762E0A">
        <w:rPr>
          <w:lang w:eastAsia="zh-CN"/>
        </w:rPr>
        <w:t>’</w:t>
      </w:r>
      <w:r w:rsidR="002D13DD" w:rsidRPr="003B5EA4">
        <w:rPr>
          <w:lang w:eastAsia="zh-CN"/>
        </w:rPr>
        <w:t xml:space="preserve">annexe I </w:t>
      </w:r>
      <w:r w:rsidR="002D13DD" w:rsidRPr="003B5EA4">
        <w:rPr>
          <w:lang w:eastAsia="zh-CN"/>
        </w:rPr>
        <w:lastRenderedPageBreak/>
        <w:t>fournit les dépenses totales ventilées par organisation et par année pendant la période 2012</w:t>
      </w:r>
      <w:r w:rsidR="00544A2B">
        <w:rPr>
          <w:lang w:eastAsia="zh-CN"/>
        </w:rPr>
        <w:noBreakHyphen/>
      </w:r>
      <w:r w:rsidR="002D13DD" w:rsidRPr="003B5EA4">
        <w:rPr>
          <w:lang w:eastAsia="zh-CN"/>
        </w:rPr>
        <w:t>2015. Il importe de tenir dûment compte du mandat de chaque organisme et des particularités régissant l</w:t>
      </w:r>
      <w:r w:rsidR="00762E0A">
        <w:rPr>
          <w:lang w:eastAsia="zh-CN"/>
        </w:rPr>
        <w:t>’</w:t>
      </w:r>
      <w:r w:rsidR="002D13DD" w:rsidRPr="003B5EA4">
        <w:rPr>
          <w:lang w:eastAsia="zh-CN"/>
        </w:rPr>
        <w:t>exécution de son programme de travail, de même que de la sûreté, de la sécurité et du bien-être des fonctionnaires appelés à voyager dans l</w:t>
      </w:r>
      <w:r w:rsidR="00762E0A">
        <w:rPr>
          <w:lang w:eastAsia="zh-CN"/>
        </w:rPr>
        <w:t>’</w:t>
      </w:r>
      <w:r w:rsidR="002D13DD" w:rsidRPr="003B5EA4">
        <w:rPr>
          <w:lang w:eastAsia="zh-CN"/>
        </w:rPr>
        <w:t>exercice de leurs fonctions officielles.</w:t>
      </w:r>
    </w:p>
    <w:p w:rsidR="0089780B" w:rsidRPr="003B5EA4" w:rsidRDefault="0089780B" w:rsidP="0089780B">
      <w:pPr>
        <w:pStyle w:val="SingleTxtG"/>
        <w:rPr>
          <w:lang w:eastAsia="zh-CN"/>
        </w:rPr>
      </w:pPr>
      <w:r w:rsidRPr="003B5EA4">
        <w:rPr>
          <w:bCs/>
          <w:lang w:eastAsia="zh-CN"/>
        </w:rPr>
        <w:t>20.</w:t>
      </w:r>
      <w:r w:rsidRPr="003B5EA4">
        <w:rPr>
          <w:bCs/>
          <w:lang w:eastAsia="zh-CN"/>
        </w:rPr>
        <w:tab/>
        <w:t xml:space="preserve">Les </w:t>
      </w:r>
      <w:r w:rsidRPr="003B5EA4">
        <w:rPr>
          <w:lang w:eastAsia="zh-CN"/>
        </w:rPr>
        <w:t>24 organismes sont classés en cinq catégories, comme résumé dans le tableau 2 ci</w:t>
      </w:r>
      <w:r w:rsidRPr="003B5EA4">
        <w:rPr>
          <w:lang w:eastAsia="zh-CN"/>
        </w:rPr>
        <w:noBreakHyphen/>
        <w:t>dessous, selon les montants annuels totaux qu</w:t>
      </w:r>
      <w:r w:rsidR="00762E0A">
        <w:rPr>
          <w:lang w:eastAsia="zh-CN"/>
        </w:rPr>
        <w:t>’</w:t>
      </w:r>
      <w:r w:rsidRPr="003B5EA4">
        <w:rPr>
          <w:lang w:eastAsia="zh-CN"/>
        </w:rPr>
        <w:t>ils ont rapporté avoir consacrés aux voyages en avion pendant la période considérée.</w:t>
      </w:r>
    </w:p>
    <w:p w:rsidR="002F6D33" w:rsidRPr="003B5EA4" w:rsidRDefault="00740875" w:rsidP="00471E58">
      <w:pPr>
        <w:pStyle w:val="Titre1"/>
        <w:spacing w:after="120"/>
        <w:ind w:right="1134"/>
        <w:rPr>
          <w:b/>
        </w:rPr>
      </w:pPr>
      <w:r w:rsidRPr="003B5EA4">
        <w:rPr>
          <w:lang w:eastAsia="zh-CN"/>
        </w:rPr>
        <w:t xml:space="preserve">Tableau 2 </w:t>
      </w:r>
      <w:r w:rsidRPr="003B5EA4">
        <w:rPr>
          <w:lang w:eastAsia="zh-CN"/>
        </w:rPr>
        <w:br/>
      </w:r>
      <w:r w:rsidRPr="003B5EA4">
        <w:rPr>
          <w:b/>
        </w:rPr>
        <w:t xml:space="preserve">Dépenses annuelles au titre des voyages en avion et des prestations connexes </w:t>
      </w:r>
      <w:r w:rsidRPr="003B5EA4">
        <w:rPr>
          <w:b/>
        </w:rPr>
        <w:br/>
        <w:t>de 2012 à 2015</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206"/>
        <w:gridCol w:w="4164"/>
      </w:tblGrid>
      <w:tr w:rsidR="00E20F79" w:rsidRPr="003B5EA4" w:rsidTr="0096109F">
        <w:tc>
          <w:tcPr>
            <w:tcW w:w="3206" w:type="dxa"/>
            <w:tcBorders>
              <w:top w:val="single" w:sz="4" w:space="0" w:color="auto"/>
            </w:tcBorders>
            <w:shd w:val="clear" w:color="auto" w:fill="auto"/>
          </w:tcPr>
          <w:p w:rsidR="00E20F79" w:rsidRPr="003B5EA4" w:rsidRDefault="00DD766E" w:rsidP="00DD766E">
            <w:pPr>
              <w:spacing w:before="40" w:after="120"/>
              <w:ind w:right="113"/>
            </w:pPr>
            <w:r>
              <w:t xml:space="preserve">De </w:t>
            </w:r>
            <w:r w:rsidR="00E20F79" w:rsidRPr="003B5EA4">
              <w:t>88</w:t>
            </w:r>
            <w:r>
              <w:t xml:space="preserve"> à </w:t>
            </w:r>
            <w:r w:rsidR="00E20F79" w:rsidRPr="003B5EA4">
              <w:t>226 millions de dollars É.-U.</w:t>
            </w:r>
          </w:p>
        </w:tc>
        <w:tc>
          <w:tcPr>
            <w:tcW w:w="4164" w:type="dxa"/>
            <w:tcBorders>
              <w:top w:val="single" w:sz="4" w:space="0" w:color="auto"/>
            </w:tcBorders>
            <w:shd w:val="clear" w:color="auto" w:fill="auto"/>
          </w:tcPr>
          <w:p w:rsidR="00E20F79" w:rsidRPr="003B5EA4" w:rsidRDefault="00E20F79" w:rsidP="00E20F79">
            <w:pPr>
              <w:spacing w:before="40" w:after="120"/>
              <w:ind w:right="113"/>
            </w:pPr>
            <w:r w:rsidRPr="003B5EA4">
              <w:t>FAO, OMS, PAM, UNICEF</w:t>
            </w:r>
          </w:p>
        </w:tc>
      </w:tr>
      <w:tr w:rsidR="00471E58" w:rsidRPr="003B5EA4" w:rsidTr="0096109F">
        <w:tc>
          <w:tcPr>
            <w:tcW w:w="3206" w:type="dxa"/>
            <w:shd w:val="clear" w:color="auto" w:fill="auto"/>
          </w:tcPr>
          <w:p w:rsidR="00471E58" w:rsidRPr="003B5EA4" w:rsidRDefault="00DD766E" w:rsidP="00DD766E">
            <w:pPr>
              <w:spacing w:before="40" w:after="120"/>
              <w:ind w:right="113"/>
            </w:pPr>
            <w:r>
              <w:t xml:space="preserve">De </w:t>
            </w:r>
            <w:r w:rsidR="00471E58" w:rsidRPr="003B5EA4">
              <w:t>55</w:t>
            </w:r>
            <w:r>
              <w:t xml:space="preserve"> à </w:t>
            </w:r>
            <w:r w:rsidR="00471E58" w:rsidRPr="003B5EA4">
              <w:t>83 millions de dollars É.-U.</w:t>
            </w:r>
          </w:p>
        </w:tc>
        <w:tc>
          <w:tcPr>
            <w:tcW w:w="4164" w:type="dxa"/>
            <w:shd w:val="clear" w:color="auto" w:fill="auto"/>
          </w:tcPr>
          <w:p w:rsidR="00471E58" w:rsidRPr="003B5EA4" w:rsidRDefault="00471E58" w:rsidP="00E20F79">
            <w:pPr>
              <w:spacing w:before="40" w:after="120"/>
              <w:ind w:right="113"/>
            </w:pPr>
            <w:r w:rsidRPr="003B5EA4">
              <w:t>AIEA, FNUAP, HCR, Siège de l</w:t>
            </w:r>
            <w:r w:rsidR="00762E0A">
              <w:t>’</w:t>
            </w:r>
            <w:r w:rsidRPr="003B5EA4">
              <w:t>ONU et bureaux hors Siège</w:t>
            </w:r>
          </w:p>
        </w:tc>
      </w:tr>
      <w:tr w:rsidR="00471E58" w:rsidRPr="00D120EC" w:rsidTr="0096109F">
        <w:tc>
          <w:tcPr>
            <w:tcW w:w="3206" w:type="dxa"/>
            <w:shd w:val="clear" w:color="auto" w:fill="auto"/>
          </w:tcPr>
          <w:p w:rsidR="00471E58" w:rsidRPr="003B5EA4" w:rsidRDefault="00DD766E" w:rsidP="00DD766E">
            <w:pPr>
              <w:spacing w:before="40" w:after="120"/>
              <w:ind w:right="113"/>
            </w:pPr>
            <w:r>
              <w:t xml:space="preserve">De </w:t>
            </w:r>
            <w:r w:rsidR="00471E58" w:rsidRPr="003B5EA4">
              <w:t>15</w:t>
            </w:r>
            <w:r>
              <w:t xml:space="preserve"> à </w:t>
            </w:r>
            <w:r w:rsidR="00471E58" w:rsidRPr="003B5EA4">
              <w:t>35 millions de dollars É.-U.</w:t>
            </w:r>
          </w:p>
        </w:tc>
        <w:tc>
          <w:tcPr>
            <w:tcW w:w="4164" w:type="dxa"/>
            <w:shd w:val="clear" w:color="auto" w:fill="auto"/>
          </w:tcPr>
          <w:p w:rsidR="00471E58" w:rsidRPr="00D120EC" w:rsidRDefault="00471E58" w:rsidP="00E20F79">
            <w:pPr>
              <w:spacing w:before="40" w:after="120"/>
              <w:ind w:right="113"/>
              <w:rPr>
                <w:lang w:val="es-ES"/>
              </w:rPr>
            </w:pPr>
            <w:r w:rsidRPr="00D120EC">
              <w:rPr>
                <w:lang w:val="es-ES"/>
              </w:rPr>
              <w:t>OIT, OMPI, ONUDI, PNUD, UNESCO, UNOPS</w:t>
            </w:r>
          </w:p>
        </w:tc>
      </w:tr>
      <w:tr w:rsidR="00471E58" w:rsidRPr="003B5EA4" w:rsidTr="0096109F">
        <w:tc>
          <w:tcPr>
            <w:tcW w:w="3206" w:type="dxa"/>
            <w:shd w:val="clear" w:color="auto" w:fill="auto"/>
          </w:tcPr>
          <w:p w:rsidR="00471E58" w:rsidRPr="003B5EA4" w:rsidRDefault="00DD766E" w:rsidP="00DD766E">
            <w:pPr>
              <w:spacing w:before="40" w:after="120"/>
              <w:ind w:right="113"/>
            </w:pPr>
            <w:r>
              <w:t xml:space="preserve">De </w:t>
            </w:r>
            <w:r w:rsidR="00471E58" w:rsidRPr="003B5EA4">
              <w:t>6</w:t>
            </w:r>
            <w:r>
              <w:t xml:space="preserve"> à </w:t>
            </w:r>
            <w:r w:rsidR="00471E58" w:rsidRPr="003B5EA4">
              <w:t>13 millions de dollars É.-U.</w:t>
            </w:r>
          </w:p>
        </w:tc>
        <w:tc>
          <w:tcPr>
            <w:tcW w:w="4164" w:type="dxa"/>
            <w:shd w:val="clear" w:color="auto" w:fill="auto"/>
          </w:tcPr>
          <w:p w:rsidR="00471E58" w:rsidRPr="003B5EA4" w:rsidRDefault="00471E58" w:rsidP="00E20F79">
            <w:pPr>
              <w:spacing w:before="40" w:after="120"/>
              <w:ind w:right="113"/>
            </w:pPr>
            <w:r w:rsidRPr="003B5EA4">
              <w:t>OACI, ONU-Femmes, ONUSIDA, UIT</w:t>
            </w:r>
          </w:p>
        </w:tc>
      </w:tr>
      <w:tr w:rsidR="00471E58" w:rsidRPr="003B5EA4" w:rsidTr="0096109F">
        <w:tc>
          <w:tcPr>
            <w:tcW w:w="3206" w:type="dxa"/>
            <w:tcBorders>
              <w:bottom w:val="single" w:sz="12" w:space="0" w:color="auto"/>
            </w:tcBorders>
            <w:shd w:val="clear" w:color="auto" w:fill="auto"/>
          </w:tcPr>
          <w:p w:rsidR="00471E58" w:rsidRPr="003B5EA4" w:rsidRDefault="00471E58" w:rsidP="00DD766E">
            <w:pPr>
              <w:spacing w:before="40" w:after="120"/>
              <w:ind w:right="113"/>
            </w:pPr>
            <w:r w:rsidRPr="003B5EA4">
              <w:t>0,9</w:t>
            </w:r>
            <w:r w:rsidR="00DD766E">
              <w:t xml:space="preserve"> à </w:t>
            </w:r>
            <w:r w:rsidRPr="003B5EA4">
              <w:t>4 millions de dollars É.-U.</w:t>
            </w:r>
          </w:p>
        </w:tc>
        <w:tc>
          <w:tcPr>
            <w:tcW w:w="4164" w:type="dxa"/>
            <w:tcBorders>
              <w:bottom w:val="single" w:sz="12" w:space="0" w:color="auto"/>
            </w:tcBorders>
            <w:shd w:val="clear" w:color="auto" w:fill="auto"/>
          </w:tcPr>
          <w:p w:rsidR="00471E58" w:rsidRPr="003B5EA4" w:rsidRDefault="00471E58" w:rsidP="00E20F79">
            <w:pPr>
              <w:spacing w:before="40" w:after="120"/>
              <w:ind w:right="113"/>
            </w:pPr>
            <w:r w:rsidRPr="003B5EA4">
              <w:t>CCI*, OMI, OMT, ONUDC, UNRWA, UPU</w:t>
            </w:r>
          </w:p>
        </w:tc>
      </w:tr>
    </w:tbl>
    <w:p w:rsidR="00740875" w:rsidRPr="003B5EA4" w:rsidRDefault="00740875" w:rsidP="00DE4B9B">
      <w:pPr>
        <w:pStyle w:val="SingleTxtG"/>
        <w:spacing w:before="120"/>
      </w:pPr>
      <w:r w:rsidRPr="003B5EA4">
        <w:t>21.</w:t>
      </w:r>
      <w:r w:rsidRPr="003B5EA4">
        <w:tab/>
        <w:t>Les figures I à V représentent, selon les cinq catégories ci-dessus, les dépenses totales engagées au titre des voyages en avion et des prestations connexes par chacun des 24 organismes visés pendant la période de quatre ans concernée. Il ne s</w:t>
      </w:r>
      <w:r w:rsidR="00762E0A">
        <w:t>’</w:t>
      </w:r>
      <w:r w:rsidRPr="003B5EA4">
        <w:t>agit pas d</w:t>
      </w:r>
      <w:r w:rsidR="00762E0A">
        <w:t>’</w:t>
      </w:r>
      <w:r w:rsidRPr="003B5EA4">
        <w:t>analyser l</w:t>
      </w:r>
      <w:r w:rsidR="00762E0A">
        <w:t>’</w:t>
      </w:r>
      <w:r w:rsidRPr="003B5EA4">
        <w:t>utilisation des ressources consacrées aux voyages sous l</w:t>
      </w:r>
      <w:r w:rsidR="00762E0A">
        <w:t>’</w:t>
      </w:r>
      <w:r w:rsidRPr="003B5EA4">
        <w:t>angle de l</w:t>
      </w:r>
      <w:r w:rsidR="00762E0A">
        <w:t>’</w:t>
      </w:r>
      <w:r w:rsidRPr="003B5EA4">
        <w:t>efficience et de l</w:t>
      </w:r>
      <w:r w:rsidR="00762E0A">
        <w:t>’</w:t>
      </w:r>
      <w:r w:rsidRPr="003B5EA4">
        <w:t xml:space="preserve">efficacité, </w:t>
      </w:r>
      <w:r w:rsidRPr="003B5EA4">
        <w:rPr>
          <w:b/>
        </w:rPr>
        <w:t>l</w:t>
      </w:r>
      <w:r w:rsidR="00762E0A">
        <w:rPr>
          <w:b/>
        </w:rPr>
        <w:t>’</w:t>
      </w:r>
      <w:r w:rsidRPr="003B5EA4">
        <w:rPr>
          <w:b/>
        </w:rPr>
        <w:t>Inspectrice reconnaissant que la quantité de voyages requis dépend de la mission, du mandat, de la taille et des exigences particulières de chaque organisme</w:t>
      </w:r>
      <w:r w:rsidRPr="003B5EA4">
        <w:t>.</w:t>
      </w:r>
    </w:p>
    <w:p w:rsidR="00740875" w:rsidRPr="003B5EA4" w:rsidRDefault="00740875" w:rsidP="00740875">
      <w:pPr>
        <w:pStyle w:val="SingleTxtG"/>
      </w:pPr>
      <w:r w:rsidRPr="003B5EA4">
        <w:t>22.</w:t>
      </w:r>
      <w:r w:rsidRPr="003B5EA4">
        <w:tab/>
      </w:r>
      <w:r w:rsidR="00ED30BB" w:rsidRPr="003B5EA4">
        <w:t>Dans la première catégorie (fig</w:t>
      </w:r>
      <w:r w:rsidRPr="003B5EA4">
        <w:t>.</w:t>
      </w:r>
      <w:r w:rsidR="00ED30BB" w:rsidRPr="003B5EA4">
        <w:t> I), qui comprend les quatre organismes ayant rendu compte des dépenses annuelles les plus élevées en matière de voyages en avion et de prestations connexes pour la période 2012-2015, une comparaison entre les chiffres de 2012 et de 2015 montre que les montants rapportés ont augmenté de 56 % à l</w:t>
      </w:r>
      <w:r w:rsidR="00762E0A">
        <w:t>’</w:t>
      </w:r>
      <w:r w:rsidR="00ED30BB" w:rsidRPr="003B5EA4">
        <w:t>OMS, de 19 % à l</w:t>
      </w:r>
      <w:r w:rsidR="00762E0A">
        <w:t>’</w:t>
      </w:r>
      <w:r w:rsidR="00ED30BB" w:rsidRPr="003B5EA4">
        <w:t>UNICEF et de 27 % au PAM, la tendance à la hausse se maintenant d</w:t>
      </w:r>
      <w:r w:rsidR="00762E0A">
        <w:t>’</w:t>
      </w:r>
      <w:r w:rsidR="00ED30BB" w:rsidRPr="003B5EA4">
        <w:t>une année sur l</w:t>
      </w:r>
      <w:r w:rsidR="00762E0A">
        <w:t>’</w:t>
      </w:r>
      <w:r w:rsidR="00ED30BB" w:rsidRPr="003B5EA4">
        <w:t>autre, tandis que la FAO enregistrait des dépenses généralement stationnaires en termes nominaux, avec une légère baisse globale de 2,4 %.</w:t>
      </w:r>
    </w:p>
    <w:p w:rsidR="00236BF4" w:rsidRPr="003B5EA4" w:rsidRDefault="00236BF4" w:rsidP="003D04C2">
      <w:pPr>
        <w:pStyle w:val="Titre1"/>
        <w:spacing w:after="120"/>
        <w:rPr>
          <w:b/>
        </w:rPr>
      </w:pPr>
      <w:r w:rsidRPr="003B5EA4">
        <w:rPr>
          <w:lang w:eastAsia="zh-CN"/>
        </w:rPr>
        <w:t xml:space="preserve">Figure </w:t>
      </w:r>
      <w:r w:rsidR="00676145" w:rsidRPr="003B5EA4">
        <w:rPr>
          <w:lang w:eastAsia="zh-CN"/>
        </w:rPr>
        <w:t>I</w:t>
      </w:r>
      <w:r w:rsidRPr="003B5EA4">
        <w:rPr>
          <w:lang w:eastAsia="zh-CN"/>
        </w:rPr>
        <w:t xml:space="preserve"> </w:t>
      </w:r>
      <w:r w:rsidRPr="003B5EA4">
        <w:rPr>
          <w:lang w:eastAsia="zh-CN"/>
        </w:rPr>
        <w:br/>
      </w:r>
      <w:r w:rsidRPr="003B5EA4">
        <w:rPr>
          <w:b/>
        </w:rPr>
        <w:t>Organismes consacrant de 88 à 226 millions de dollars par an aux voyages en avion</w:t>
      </w:r>
    </w:p>
    <w:p w:rsidR="002D507D" w:rsidRPr="003B5EA4" w:rsidRDefault="002D507D" w:rsidP="00663B39">
      <w:pPr>
        <w:pStyle w:val="SingleTxtG"/>
        <w:spacing w:after="0" w:line="240" w:lineRule="auto"/>
      </w:pPr>
      <w:r w:rsidRPr="003B5EA4">
        <w:rPr>
          <w:noProof/>
          <w:lang w:eastAsia="fr-CH"/>
        </w:rPr>
        <w:drawing>
          <wp:inline distT="0" distB="0" distL="0" distR="0" wp14:anchorId="13A301FC" wp14:editId="6F8FC988">
            <wp:extent cx="4709425" cy="2274570"/>
            <wp:effectExtent l="0" t="0" r="15240" b="11430"/>
            <wp:docPr id="15"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31EB" w:rsidRPr="003B5EA4" w:rsidRDefault="006A31EB" w:rsidP="006F6EC6">
      <w:pPr>
        <w:tabs>
          <w:tab w:val="left" w:pos="-3360"/>
          <w:tab w:val="left" w:pos="-2760"/>
        </w:tabs>
        <w:spacing w:before="120" w:after="160"/>
        <w:ind w:left="1134" w:right="1134" w:firstLine="170"/>
        <w:rPr>
          <w:sz w:val="18"/>
          <w:szCs w:val="18"/>
        </w:rPr>
      </w:pPr>
      <w:r w:rsidRPr="003B5EA4">
        <w:rPr>
          <w:i/>
          <w:sz w:val="18"/>
          <w:szCs w:val="18"/>
        </w:rPr>
        <w:t>Source</w:t>
      </w:r>
      <w:r w:rsidRPr="003B5EA4">
        <w:rPr>
          <w:sz w:val="18"/>
          <w:szCs w:val="18"/>
        </w:rPr>
        <w:t> :</w:t>
      </w:r>
      <w:r w:rsidRPr="003B5EA4">
        <w:rPr>
          <w:i/>
          <w:sz w:val="18"/>
          <w:szCs w:val="18"/>
        </w:rPr>
        <w:t xml:space="preserve"> </w:t>
      </w:r>
      <w:r w:rsidRPr="003B5EA4">
        <w:rPr>
          <w:sz w:val="18"/>
          <w:szCs w:val="18"/>
        </w:rPr>
        <w:t>Réponses des organismes au questionnaire du CCI.</w:t>
      </w:r>
    </w:p>
    <w:p w:rsidR="00563191" w:rsidRPr="003B5EA4" w:rsidRDefault="00563191" w:rsidP="00A5391A">
      <w:pPr>
        <w:pStyle w:val="SingleTxtG"/>
      </w:pPr>
      <w:r w:rsidRPr="003B5EA4">
        <w:t>23.</w:t>
      </w:r>
      <w:r w:rsidRPr="003B5EA4">
        <w:tab/>
      </w:r>
      <w:r w:rsidR="00ED30BB" w:rsidRPr="003B5EA4">
        <w:t>Dans la deuxième catégorie (fig</w:t>
      </w:r>
      <w:r w:rsidR="003E5C4F" w:rsidRPr="003B5EA4">
        <w:t>.</w:t>
      </w:r>
      <w:r w:rsidR="00ED30BB" w:rsidRPr="003B5EA4">
        <w:t xml:space="preserve"> II), qui comprend les quatre organismes ayant rendu compte de dépenses annuelles au titre des voyages en avion et des prestations connexes situées entre 53 et 83 millions de dollars des États-Unis pendant la période </w:t>
      </w:r>
      <w:r w:rsidR="00ED30BB" w:rsidRPr="003B5EA4">
        <w:lastRenderedPageBreak/>
        <w:t>2012</w:t>
      </w:r>
      <w:r w:rsidRPr="003B5EA4">
        <w:noBreakHyphen/>
      </w:r>
      <w:r w:rsidR="00ED30BB" w:rsidRPr="003B5EA4">
        <w:t>2015, une comparaison entre les chiffres de 2012 et de 2015 montre que le montant de ces dépenses a baissé au FNUAP (12,2 %) et aux Siège et bureaux hors Siège de l</w:t>
      </w:r>
      <w:r w:rsidR="00762E0A">
        <w:t>’</w:t>
      </w:r>
      <w:r w:rsidR="00ED30BB" w:rsidRPr="003B5EA4">
        <w:t>ONU (10,7 %), tandis qu</w:t>
      </w:r>
      <w:r w:rsidR="00762E0A">
        <w:t>’</w:t>
      </w:r>
      <w:r w:rsidR="00ED30BB" w:rsidRPr="003B5EA4">
        <w:t>il a augmenté à l</w:t>
      </w:r>
      <w:r w:rsidR="00762E0A">
        <w:t>’</w:t>
      </w:r>
      <w:r w:rsidR="00ED30BB" w:rsidRPr="003B5EA4">
        <w:t>AIEA (1,6 %) et au HCR (5,3 %), avec des fluctuations d</w:t>
      </w:r>
      <w:r w:rsidR="00762E0A">
        <w:t>’</w:t>
      </w:r>
      <w:r w:rsidR="00ED30BB" w:rsidRPr="003B5EA4">
        <w:t>une année sur l</w:t>
      </w:r>
      <w:r w:rsidR="00762E0A">
        <w:t>’</w:t>
      </w:r>
      <w:r w:rsidR="00ED30BB" w:rsidRPr="003B5EA4">
        <w:t xml:space="preserve">autre, sauf dans le cas du Siège et des bureaux hors </w:t>
      </w:r>
      <w:r w:rsidR="00742D9D">
        <w:t>S</w:t>
      </w:r>
      <w:r w:rsidR="00ED30BB" w:rsidRPr="003B5EA4">
        <w:t>iège de l</w:t>
      </w:r>
      <w:r w:rsidR="00762E0A">
        <w:t>’</w:t>
      </w:r>
      <w:r w:rsidR="00ED30BB" w:rsidRPr="003B5EA4">
        <w:t>ONU où la baisse a été progressive.</w:t>
      </w:r>
    </w:p>
    <w:p w:rsidR="00563191" w:rsidRPr="003B5EA4" w:rsidRDefault="00563191" w:rsidP="003D04C2">
      <w:pPr>
        <w:pStyle w:val="Titre1"/>
        <w:spacing w:after="120"/>
        <w:rPr>
          <w:b/>
        </w:rPr>
      </w:pPr>
      <w:r w:rsidRPr="003B5EA4">
        <w:rPr>
          <w:lang w:eastAsia="zh-CN"/>
        </w:rPr>
        <w:t xml:space="preserve">Figure </w:t>
      </w:r>
      <w:r w:rsidR="00676145" w:rsidRPr="003B5EA4">
        <w:rPr>
          <w:lang w:eastAsia="zh-CN"/>
        </w:rPr>
        <w:t>II</w:t>
      </w:r>
      <w:r w:rsidRPr="003B5EA4">
        <w:rPr>
          <w:lang w:eastAsia="zh-CN"/>
        </w:rPr>
        <w:t xml:space="preserve"> </w:t>
      </w:r>
      <w:r w:rsidRPr="003B5EA4">
        <w:rPr>
          <w:lang w:eastAsia="zh-CN"/>
        </w:rPr>
        <w:br/>
      </w:r>
      <w:r w:rsidRPr="003B5EA4">
        <w:rPr>
          <w:b/>
        </w:rPr>
        <w:t>Organismes consacrant de 53 à 83 millions de dollars par an aux voyages en avion</w:t>
      </w:r>
    </w:p>
    <w:p w:rsidR="000A202E" w:rsidRPr="003B5EA4" w:rsidRDefault="000A202E" w:rsidP="00F76A32">
      <w:pPr>
        <w:pStyle w:val="SingleTxtG"/>
        <w:spacing w:after="0"/>
      </w:pPr>
      <w:r w:rsidRPr="003B5EA4">
        <w:rPr>
          <w:noProof/>
          <w:lang w:eastAsia="fr-CH"/>
        </w:rPr>
        <w:drawing>
          <wp:inline distT="0" distB="0" distL="0" distR="0" wp14:anchorId="26F05496" wp14:editId="6CE9B7F6">
            <wp:extent cx="4698854" cy="2596515"/>
            <wp:effectExtent l="0" t="0" r="6985" b="13335"/>
            <wp:docPr id="16" name="Char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4961" w:rsidRPr="003B5EA4" w:rsidRDefault="00764961" w:rsidP="006F6EC6">
      <w:pPr>
        <w:tabs>
          <w:tab w:val="left" w:pos="-3360"/>
          <w:tab w:val="left" w:pos="-2760"/>
        </w:tabs>
        <w:spacing w:before="120" w:after="160"/>
        <w:ind w:left="1134" w:right="1134" w:firstLine="170"/>
        <w:rPr>
          <w:sz w:val="18"/>
          <w:szCs w:val="18"/>
        </w:rPr>
      </w:pPr>
      <w:r w:rsidRPr="003B5EA4">
        <w:rPr>
          <w:i/>
          <w:sz w:val="18"/>
          <w:szCs w:val="18"/>
        </w:rPr>
        <w:t>Source</w:t>
      </w:r>
      <w:r w:rsidRPr="003B5EA4">
        <w:rPr>
          <w:sz w:val="18"/>
          <w:szCs w:val="18"/>
        </w:rPr>
        <w:t> :</w:t>
      </w:r>
      <w:r w:rsidRPr="003B5EA4">
        <w:rPr>
          <w:i/>
          <w:sz w:val="18"/>
          <w:szCs w:val="18"/>
        </w:rPr>
        <w:t xml:space="preserve"> </w:t>
      </w:r>
      <w:r w:rsidRPr="003B5EA4">
        <w:rPr>
          <w:sz w:val="18"/>
          <w:szCs w:val="18"/>
        </w:rPr>
        <w:t>Réponses des organismes au questionnaire du CCI.</w:t>
      </w:r>
    </w:p>
    <w:p w:rsidR="007E334B" w:rsidRPr="003B5EA4" w:rsidRDefault="003E5C4F" w:rsidP="00A5391A">
      <w:pPr>
        <w:pStyle w:val="SingleTxtG"/>
        <w:spacing w:after="100" w:line="220" w:lineRule="atLeast"/>
      </w:pPr>
      <w:r w:rsidRPr="003B5EA4">
        <w:t>2</w:t>
      </w:r>
      <w:r w:rsidR="00676145" w:rsidRPr="003B5EA4">
        <w:t>4</w:t>
      </w:r>
      <w:r w:rsidRPr="003B5EA4">
        <w:t>.</w:t>
      </w:r>
      <w:r w:rsidRPr="003B5EA4">
        <w:tab/>
      </w:r>
      <w:r w:rsidR="00ED30BB" w:rsidRPr="003B5EA4">
        <w:t>Dans la troisième catégorie (fig</w:t>
      </w:r>
      <w:r w:rsidRPr="003B5EA4">
        <w:t>.</w:t>
      </w:r>
      <w:r w:rsidR="00ED30BB" w:rsidRPr="003B5EA4">
        <w:t> III), qui comprend les six organismes ayant rendu compte de dépenses annuelles au titre des voyages en avion et des prestations connexes situées entre 15 et 35 millions de dollars des États-Unis pendant la période 2012-2015, une comparaison des chiffres pour 2012 et 2015 fait ressortir une augmentation significative à l</w:t>
      </w:r>
      <w:r w:rsidR="00762E0A">
        <w:t>’</w:t>
      </w:r>
      <w:r w:rsidR="00ED30BB" w:rsidRPr="003B5EA4">
        <w:t>UNOPS (de 85,1 %) et des baisses marquées au PNUD et à l</w:t>
      </w:r>
      <w:r w:rsidR="00762E0A">
        <w:t>’</w:t>
      </w:r>
      <w:r w:rsidR="00ED30BB" w:rsidRPr="003B5EA4">
        <w:t>ONUDI (respectivement de 23,3 % et de 9,7 %). À l</w:t>
      </w:r>
      <w:r w:rsidR="00762E0A">
        <w:t>’</w:t>
      </w:r>
      <w:r w:rsidR="00ED30BB" w:rsidRPr="003B5EA4">
        <w:t>UNESCO, les dépenses se sont réduites de 11,4 % entre 2013 et 2015. Le léger changement enregistré entre les chiffres de 2012 et de 2015 fournis par l</w:t>
      </w:r>
      <w:r w:rsidR="00762E0A">
        <w:t>’</w:t>
      </w:r>
      <w:r w:rsidR="00ED30BB" w:rsidRPr="003B5EA4">
        <w:t>OIT et l</w:t>
      </w:r>
      <w:r w:rsidR="00762E0A">
        <w:t>’</w:t>
      </w:r>
      <w:r w:rsidR="00ED30BB" w:rsidRPr="003B5EA4">
        <w:t>OMPI (en hausse de 4,9 % pour la première et en baisse de 1,5 % pour la seconde) cache cependant des fluctuations considérables d</w:t>
      </w:r>
      <w:r w:rsidR="00762E0A">
        <w:t>’</w:t>
      </w:r>
      <w:r w:rsidR="00ED30BB" w:rsidRPr="003B5EA4">
        <w:t>une année sur l</w:t>
      </w:r>
      <w:r w:rsidR="00762E0A">
        <w:t>’</w:t>
      </w:r>
      <w:r w:rsidR="00ED30BB" w:rsidRPr="003B5EA4">
        <w:t>autre. À l</w:t>
      </w:r>
      <w:r w:rsidR="00762E0A">
        <w:t>’</w:t>
      </w:r>
      <w:r w:rsidR="00ED30BB" w:rsidRPr="003B5EA4">
        <w:t>OIT, par exemple, après avoir augmenté de 15,6 % entre 2012 et 2013, les dépenses ont chuté de 16,7 % entre 2013 et 2014. De même que l</w:t>
      </w:r>
      <w:r w:rsidR="00762E0A">
        <w:t>’</w:t>
      </w:r>
      <w:r w:rsidR="00ED30BB" w:rsidRPr="003B5EA4">
        <w:t>OMPI a vu ses dépenses augmenter de 12,5 % entre 2012 et 2013, puis baisser de 18 % entre 2013 et 2014.</w:t>
      </w:r>
    </w:p>
    <w:p w:rsidR="00F41465" w:rsidRPr="003B5EA4" w:rsidRDefault="00F41465" w:rsidP="00F41465">
      <w:pPr>
        <w:pStyle w:val="Titre1"/>
        <w:spacing w:after="120"/>
        <w:rPr>
          <w:b/>
        </w:rPr>
      </w:pPr>
      <w:r w:rsidRPr="003B5EA4">
        <w:rPr>
          <w:lang w:eastAsia="zh-CN"/>
        </w:rPr>
        <w:lastRenderedPageBreak/>
        <w:t xml:space="preserve">Figure </w:t>
      </w:r>
      <w:r w:rsidR="00676145" w:rsidRPr="003B5EA4">
        <w:rPr>
          <w:lang w:eastAsia="zh-CN"/>
        </w:rPr>
        <w:t>III</w:t>
      </w:r>
      <w:r w:rsidRPr="003B5EA4">
        <w:rPr>
          <w:lang w:eastAsia="zh-CN"/>
        </w:rPr>
        <w:t xml:space="preserve"> </w:t>
      </w:r>
      <w:r w:rsidRPr="003B5EA4">
        <w:rPr>
          <w:lang w:eastAsia="zh-CN"/>
        </w:rPr>
        <w:br/>
      </w:r>
      <w:r w:rsidRPr="003B5EA4">
        <w:rPr>
          <w:b/>
        </w:rPr>
        <w:t>Organismes consacrant de 1</w:t>
      </w:r>
      <w:r w:rsidR="00D22039">
        <w:rPr>
          <w:b/>
        </w:rPr>
        <w:t>5</w:t>
      </w:r>
      <w:r w:rsidRPr="003B5EA4">
        <w:rPr>
          <w:b/>
        </w:rPr>
        <w:t xml:space="preserve"> à 35 millions de dollars par an aux voyages en avion</w:t>
      </w:r>
    </w:p>
    <w:p w:rsidR="004A071D" w:rsidRPr="003B5EA4" w:rsidRDefault="004A071D" w:rsidP="004A071D">
      <w:pPr>
        <w:pStyle w:val="SingleTxtG"/>
      </w:pPr>
      <w:r w:rsidRPr="003B5EA4">
        <w:rPr>
          <w:noProof/>
          <w:lang w:eastAsia="fr-CH"/>
        </w:rPr>
        <w:drawing>
          <wp:inline distT="0" distB="0" distL="0" distR="0" wp14:anchorId="2801B912" wp14:editId="6525A773">
            <wp:extent cx="4714710" cy="3174365"/>
            <wp:effectExtent l="0" t="0" r="10160" b="6985"/>
            <wp:docPr id="6"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63191" w:rsidRPr="003B5EA4" w:rsidRDefault="00ED30BB" w:rsidP="006F6EC6">
      <w:pPr>
        <w:pStyle w:val="SingleTxtG"/>
        <w:spacing w:before="120" w:after="160"/>
        <w:ind w:firstLine="170"/>
        <w:jc w:val="left"/>
        <w:rPr>
          <w:sz w:val="18"/>
          <w:szCs w:val="18"/>
        </w:rPr>
      </w:pPr>
      <w:r w:rsidRPr="003B5EA4">
        <w:rPr>
          <w:i/>
          <w:sz w:val="18"/>
          <w:szCs w:val="18"/>
        </w:rPr>
        <w:t>Source</w:t>
      </w:r>
      <w:r w:rsidRPr="003B5EA4">
        <w:rPr>
          <w:sz w:val="18"/>
          <w:szCs w:val="18"/>
        </w:rPr>
        <w:t> :</w:t>
      </w:r>
      <w:r w:rsidRPr="003B5EA4">
        <w:rPr>
          <w:i/>
          <w:sz w:val="18"/>
          <w:szCs w:val="18"/>
        </w:rPr>
        <w:t xml:space="preserve"> </w:t>
      </w:r>
      <w:r w:rsidRPr="003B5EA4">
        <w:rPr>
          <w:sz w:val="18"/>
          <w:szCs w:val="18"/>
        </w:rPr>
        <w:t>Réponses des organismes au questionnaire du CCI.</w:t>
      </w:r>
    </w:p>
    <w:p w:rsidR="00AE7ABF" w:rsidRPr="003B5EA4" w:rsidRDefault="00676145" w:rsidP="00ED30BB">
      <w:pPr>
        <w:pStyle w:val="SingleTxtG"/>
      </w:pPr>
      <w:r w:rsidRPr="003B5EA4">
        <w:t>25.</w:t>
      </w:r>
      <w:r w:rsidRPr="003B5EA4">
        <w:tab/>
        <w:t>Dans la quatrième catégorie (fig</w:t>
      </w:r>
      <w:r w:rsidR="00513774" w:rsidRPr="003B5EA4">
        <w:t>.</w:t>
      </w:r>
      <w:r w:rsidRPr="003B5EA4">
        <w:t> IV), qui comprend les quatre organismes ayant rendu compte de dépenses annuelles au titre des voyages en avion et des prestations connexes situées entre 6 et 13 millions de dollars des États-Unis pendant la période 2012</w:t>
      </w:r>
      <w:r w:rsidR="00D22039">
        <w:noBreakHyphen/>
      </w:r>
      <w:r w:rsidRPr="003B5EA4">
        <w:t>2015, la comparaison des chiffres de 2012 et de 2015 révèle des hausses notables à ONU</w:t>
      </w:r>
      <w:r w:rsidR="00D22039">
        <w:noBreakHyphen/>
      </w:r>
      <w:r w:rsidRPr="003B5EA4">
        <w:t>Femmes</w:t>
      </w:r>
      <w:r w:rsidRPr="003B5EA4">
        <w:rPr>
          <w:rStyle w:val="Appelnotedebasdep"/>
        </w:rPr>
        <w:footnoteReference w:id="21"/>
      </w:r>
      <w:r w:rsidRPr="003B5EA4">
        <w:t xml:space="preserve"> et l</w:t>
      </w:r>
      <w:r w:rsidR="00762E0A">
        <w:t>’</w:t>
      </w:r>
      <w:r w:rsidRPr="003B5EA4">
        <w:t>ONUSIDA (respectivement de 27,6 % et de 9,1 %), une baisse considérable à l</w:t>
      </w:r>
      <w:r w:rsidR="00762E0A">
        <w:t>’</w:t>
      </w:r>
      <w:r w:rsidRPr="003B5EA4">
        <w:t>UIT (de 27,6 %), et des valeurs généralement stables à l</w:t>
      </w:r>
      <w:r w:rsidR="00762E0A">
        <w:t>’</w:t>
      </w:r>
      <w:r w:rsidRPr="003B5EA4">
        <w:t>OACI (1,5 % de baisse) avec de légères fluctuation</w:t>
      </w:r>
      <w:r w:rsidR="00D22039">
        <w:t xml:space="preserve">s </w:t>
      </w:r>
      <w:r w:rsidRPr="003B5EA4">
        <w:t>d</w:t>
      </w:r>
      <w:r w:rsidR="00762E0A">
        <w:t>’</w:t>
      </w:r>
      <w:r w:rsidRPr="003B5EA4">
        <w:t>une année sur l</w:t>
      </w:r>
      <w:r w:rsidR="00762E0A">
        <w:t>’</w:t>
      </w:r>
      <w:r w:rsidRPr="003B5EA4">
        <w:t>autre.</w:t>
      </w:r>
    </w:p>
    <w:p w:rsidR="00513774" w:rsidRPr="003B5EA4" w:rsidRDefault="00513774" w:rsidP="00513774">
      <w:pPr>
        <w:pStyle w:val="Titre1"/>
        <w:spacing w:after="120"/>
        <w:rPr>
          <w:b/>
        </w:rPr>
      </w:pPr>
      <w:r w:rsidRPr="003B5EA4">
        <w:rPr>
          <w:lang w:eastAsia="zh-CN"/>
        </w:rPr>
        <w:t xml:space="preserve">Figure IV </w:t>
      </w:r>
      <w:r w:rsidRPr="003B5EA4">
        <w:rPr>
          <w:lang w:eastAsia="zh-CN"/>
        </w:rPr>
        <w:br/>
      </w:r>
      <w:r w:rsidR="00671F62" w:rsidRPr="003B5EA4">
        <w:rPr>
          <w:b/>
        </w:rPr>
        <w:t>Organismes consacrant de 6 à 13 millions de dollars par an aux voyages en avion</w:t>
      </w:r>
    </w:p>
    <w:p w:rsidR="00865D1A" w:rsidRPr="003B5EA4" w:rsidRDefault="00144D80" w:rsidP="00411548">
      <w:pPr>
        <w:tabs>
          <w:tab w:val="left" w:pos="-3360"/>
          <w:tab w:val="left" w:pos="-2760"/>
          <w:tab w:val="left" w:pos="480"/>
        </w:tabs>
        <w:spacing w:line="240" w:lineRule="auto"/>
        <w:ind w:left="1134"/>
        <w:rPr>
          <w:rFonts w:eastAsiaTheme="minorEastAsia"/>
          <w:b/>
          <w:sz w:val="21"/>
          <w:szCs w:val="21"/>
        </w:rPr>
      </w:pPr>
      <w:r w:rsidRPr="003B5EA4">
        <w:rPr>
          <w:noProof/>
          <w:lang w:eastAsia="fr-CH"/>
        </w:rPr>
        <w:drawing>
          <wp:inline distT="0" distB="0" distL="0" distR="0" wp14:anchorId="22FFE550" wp14:editId="4E0CE762">
            <wp:extent cx="4709425" cy="2649220"/>
            <wp:effectExtent l="0" t="0" r="15240" b="17780"/>
            <wp:docPr id="7"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5D1A" w:rsidRPr="003B5EA4" w:rsidRDefault="00865D1A" w:rsidP="00865D1A">
      <w:pPr>
        <w:pStyle w:val="SingleTxtG"/>
        <w:spacing w:before="120" w:after="240"/>
        <w:ind w:firstLine="170"/>
        <w:jc w:val="left"/>
        <w:rPr>
          <w:sz w:val="18"/>
          <w:szCs w:val="18"/>
        </w:rPr>
      </w:pPr>
      <w:r w:rsidRPr="003B5EA4">
        <w:rPr>
          <w:i/>
          <w:sz w:val="18"/>
          <w:szCs w:val="18"/>
        </w:rPr>
        <w:t>Source</w:t>
      </w:r>
      <w:r w:rsidRPr="003B5EA4">
        <w:rPr>
          <w:sz w:val="18"/>
          <w:szCs w:val="18"/>
        </w:rPr>
        <w:t> :</w:t>
      </w:r>
      <w:r w:rsidRPr="003B5EA4">
        <w:rPr>
          <w:i/>
          <w:sz w:val="18"/>
          <w:szCs w:val="18"/>
        </w:rPr>
        <w:t xml:space="preserve"> </w:t>
      </w:r>
      <w:r w:rsidRPr="003B5EA4">
        <w:rPr>
          <w:sz w:val="18"/>
          <w:szCs w:val="18"/>
        </w:rPr>
        <w:t>Réponses des organismes au questionnaire du CCI.</w:t>
      </w:r>
    </w:p>
    <w:p w:rsidR="00513774" w:rsidRPr="003B5EA4" w:rsidRDefault="00865D1A" w:rsidP="00865D1A">
      <w:pPr>
        <w:pStyle w:val="SingleTxtG"/>
      </w:pPr>
      <w:r w:rsidRPr="003B5EA4">
        <w:lastRenderedPageBreak/>
        <w:t>26.</w:t>
      </w:r>
      <w:r w:rsidRPr="003B5EA4">
        <w:tab/>
        <w:t>Dans la dernière catégorie (fig. V), qui comprend les six organismes ayant rendu compte des dépenses annuelles les moins élevées engagées au titre des voyages en avion et des prestations connexes pour la période 2012-2015 (moins de 4,5 millions de dollars des États-Unis), la comparaison des chiffres de 2012 et de 2015 fait ressortir que seule l</w:t>
      </w:r>
      <w:r w:rsidR="00762E0A">
        <w:t>’</w:t>
      </w:r>
      <w:r w:rsidRPr="003B5EA4">
        <w:t>UPU a connu une hausse importante (62 %), l</w:t>
      </w:r>
      <w:r w:rsidR="00762E0A">
        <w:t>’</w:t>
      </w:r>
      <w:r w:rsidRPr="003B5EA4">
        <w:t>augmentation étant plus modérée pour quatre autres organismes, à savoir l</w:t>
      </w:r>
      <w:r w:rsidR="00762E0A">
        <w:t>’</w:t>
      </w:r>
      <w:r w:rsidRPr="003B5EA4">
        <w:t>ONUDC (avec 15,6 %), le CCI* (avec 12,5 %), l</w:t>
      </w:r>
      <w:r w:rsidR="00762E0A">
        <w:t>’</w:t>
      </w:r>
      <w:r w:rsidRPr="003B5EA4">
        <w:t>OMT (avec 10,8 %) et l</w:t>
      </w:r>
      <w:r w:rsidR="00762E0A">
        <w:t>’</w:t>
      </w:r>
      <w:r w:rsidRPr="003B5EA4">
        <w:t>UNRWA (avec 7,8 %). Quant à l</w:t>
      </w:r>
      <w:r w:rsidR="00762E0A">
        <w:t>’</w:t>
      </w:r>
      <w:r w:rsidRPr="003B5EA4">
        <w:t>OMI, ses dépenses en la matière ont baissé d</w:t>
      </w:r>
      <w:r w:rsidR="00762E0A">
        <w:t>’</w:t>
      </w:r>
      <w:r w:rsidRPr="003B5EA4">
        <w:t>un cinquième (19,8 %) pendant la même période.</w:t>
      </w:r>
    </w:p>
    <w:p w:rsidR="00A962F1" w:rsidRPr="003B5EA4" w:rsidRDefault="00A962F1" w:rsidP="009958F8">
      <w:pPr>
        <w:pStyle w:val="SingleTxtG"/>
        <w:keepNext/>
        <w:jc w:val="left"/>
        <w:rPr>
          <w:b/>
        </w:rPr>
      </w:pPr>
      <w:r w:rsidRPr="003B5EA4">
        <w:rPr>
          <w:lang w:eastAsia="zh-CN"/>
        </w:rPr>
        <w:t xml:space="preserve">Figure V </w:t>
      </w:r>
      <w:r w:rsidRPr="003B5EA4">
        <w:rPr>
          <w:lang w:eastAsia="zh-CN"/>
        </w:rPr>
        <w:br/>
      </w:r>
      <w:r w:rsidR="00671F62" w:rsidRPr="003B5EA4">
        <w:rPr>
          <w:b/>
        </w:rPr>
        <w:t>Organismes consacrant de 0,9 à 4,5 millions de dollars par an aux voyages en avion</w:t>
      </w:r>
    </w:p>
    <w:p w:rsidR="00671F62" w:rsidRPr="003B5EA4" w:rsidRDefault="004B0381" w:rsidP="009958F8">
      <w:pPr>
        <w:keepNext/>
        <w:tabs>
          <w:tab w:val="left" w:pos="-3360"/>
          <w:tab w:val="left" w:pos="-2760"/>
          <w:tab w:val="left" w:pos="90"/>
          <w:tab w:val="left" w:pos="180"/>
        </w:tabs>
        <w:spacing w:line="240" w:lineRule="auto"/>
        <w:ind w:left="1134"/>
        <w:contextualSpacing/>
        <w:rPr>
          <w:rFonts w:eastAsiaTheme="minorEastAsia"/>
        </w:rPr>
      </w:pPr>
      <w:r w:rsidRPr="003B5EA4">
        <w:rPr>
          <w:noProof/>
          <w:lang w:eastAsia="fr-CH"/>
        </w:rPr>
        <w:drawing>
          <wp:inline distT="0" distB="0" distL="0" distR="0" wp14:anchorId="1F2E743B" wp14:editId="542DC65C">
            <wp:extent cx="4698854" cy="2318385"/>
            <wp:effectExtent l="0" t="0" r="6985" b="5715"/>
            <wp:docPr id="8" name="Chart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47DE" w:rsidRPr="003B5EA4" w:rsidRDefault="000847DE" w:rsidP="009958F8">
      <w:pPr>
        <w:pStyle w:val="SingleTxtG"/>
        <w:keepNext/>
        <w:spacing w:before="120" w:after="240"/>
        <w:ind w:firstLine="170"/>
        <w:jc w:val="left"/>
        <w:rPr>
          <w:sz w:val="18"/>
          <w:szCs w:val="18"/>
        </w:rPr>
      </w:pPr>
      <w:r w:rsidRPr="003B5EA4">
        <w:rPr>
          <w:i/>
          <w:sz w:val="18"/>
          <w:szCs w:val="18"/>
        </w:rPr>
        <w:t>Source</w:t>
      </w:r>
      <w:r w:rsidRPr="003B5EA4">
        <w:rPr>
          <w:sz w:val="18"/>
          <w:szCs w:val="18"/>
        </w:rPr>
        <w:t> :</w:t>
      </w:r>
      <w:r w:rsidRPr="003B5EA4">
        <w:rPr>
          <w:i/>
          <w:sz w:val="18"/>
          <w:szCs w:val="18"/>
        </w:rPr>
        <w:t xml:space="preserve"> </w:t>
      </w:r>
      <w:r w:rsidRPr="003B5EA4">
        <w:rPr>
          <w:sz w:val="18"/>
          <w:szCs w:val="18"/>
        </w:rPr>
        <w:t>Réponses des organismes au questionnaire du CCI.</w:t>
      </w:r>
    </w:p>
    <w:p w:rsidR="00671F62" w:rsidRPr="00EA154D" w:rsidRDefault="000847DE" w:rsidP="00EA154D">
      <w:pPr>
        <w:pStyle w:val="H1G"/>
      </w:pPr>
      <w:r w:rsidRPr="003B5EA4">
        <w:tab/>
        <w:t>B.</w:t>
      </w:r>
      <w:r w:rsidRPr="003B5EA4">
        <w:tab/>
      </w:r>
      <w:r w:rsidR="00CC1638" w:rsidRPr="00EA154D">
        <w:t xml:space="preserve">Coût des voyages en avion par rapport aux dépenses totales </w:t>
      </w:r>
      <w:r w:rsidR="00CC1638" w:rsidRPr="00EA154D">
        <w:br/>
        <w:t>des organismes</w:t>
      </w:r>
    </w:p>
    <w:p w:rsidR="00CC1638" w:rsidRPr="003B5EA4" w:rsidRDefault="00CC1638" w:rsidP="00CC1638">
      <w:pPr>
        <w:pStyle w:val="SingleTxtG"/>
      </w:pPr>
      <w:r w:rsidRPr="003B5EA4">
        <w:t>27.</w:t>
      </w:r>
      <w:r w:rsidRPr="003B5EA4">
        <w:tab/>
        <w:t>En ce qui concerne les 24 organismes pour lesquels des données sont disponibles, les dépenses totales engagées au titre des voyages en avion et des prestations connexes pendant la période 2012-2015 (fig</w:t>
      </w:r>
      <w:r w:rsidR="003A319C" w:rsidRPr="003B5EA4">
        <w:t>.</w:t>
      </w:r>
      <w:r w:rsidRPr="003B5EA4">
        <w:t> VI) n</w:t>
      </w:r>
      <w:r w:rsidR="00762E0A">
        <w:t>’</w:t>
      </w:r>
      <w:r w:rsidRPr="003B5EA4">
        <w:t>ont dépassé la barre des 10 % que dans le seul cas de l</w:t>
      </w:r>
      <w:r w:rsidR="00762E0A">
        <w:t>’</w:t>
      </w:r>
      <w:r w:rsidRPr="003B5EA4">
        <w:t>AIEA (12 %)</w:t>
      </w:r>
      <w:r w:rsidRPr="003B5EA4">
        <w:rPr>
          <w:rStyle w:val="Appelnotedebasdep"/>
        </w:rPr>
        <w:footnoteReference w:id="22"/>
      </w:r>
      <w:r w:rsidRPr="003B5EA4">
        <w:t>. Pour le reste, sur 100 dollars dépensés, la part consacrée aux voyages et aux prestations connexes était de moins de 2 dollars dans 5 entités (HCR, ONUDC, PNUD, UNRWA et UPU)</w:t>
      </w:r>
      <w:r w:rsidRPr="003B5EA4">
        <w:rPr>
          <w:rStyle w:val="Appelnotedebasdep"/>
        </w:rPr>
        <w:footnoteReference w:id="23"/>
      </w:r>
      <w:r w:rsidRPr="003B5EA4">
        <w:t>, de 2 à moins de 5 dollars dans 10 entités (CCI*, OIT, OMI, ONU-Femmes, ONUSIDA, PAM, UIT, UNESCO, UNICEF et UNOPS) et de 5 à moins de 9 dollars dans 7 entités (FAO, FNUAP, OACI, OMPI, OMS, OMT et ONUDI).</w:t>
      </w:r>
    </w:p>
    <w:p w:rsidR="00CC1638" w:rsidRPr="00EA154D" w:rsidRDefault="00A01A88" w:rsidP="009958F8">
      <w:pPr>
        <w:pStyle w:val="SingleTxtG"/>
        <w:keepNext/>
        <w:ind w:right="0"/>
        <w:jc w:val="left"/>
        <w:rPr>
          <w:rFonts w:eastAsiaTheme="minorEastAsia"/>
          <w:b/>
        </w:rPr>
      </w:pPr>
      <w:r w:rsidRPr="003B5EA4">
        <w:rPr>
          <w:lang w:eastAsia="zh-CN"/>
        </w:rPr>
        <w:lastRenderedPageBreak/>
        <w:t>Figure V</w:t>
      </w:r>
      <w:r w:rsidR="00A10A33" w:rsidRPr="003B5EA4">
        <w:rPr>
          <w:lang w:eastAsia="zh-CN"/>
        </w:rPr>
        <w:t>I</w:t>
      </w:r>
      <w:r w:rsidRPr="003B5EA4">
        <w:rPr>
          <w:lang w:eastAsia="zh-CN"/>
        </w:rPr>
        <w:t xml:space="preserve"> </w:t>
      </w:r>
      <w:r w:rsidRPr="003B5EA4">
        <w:rPr>
          <w:lang w:eastAsia="zh-CN"/>
        </w:rPr>
        <w:br/>
      </w:r>
      <w:r w:rsidR="009958F8" w:rsidRPr="00EA154D">
        <w:rPr>
          <w:rFonts w:eastAsiaTheme="minorEastAsia"/>
          <w:b/>
        </w:rPr>
        <w:t>Dépenses au titre des voyages en avion en pourcentage des dépenses totales (2012-2015)</w:t>
      </w:r>
    </w:p>
    <w:p w:rsidR="00E51E5A" w:rsidRPr="003B5EA4" w:rsidRDefault="0066377C" w:rsidP="0007761A">
      <w:pPr>
        <w:pStyle w:val="SingleTxtG"/>
        <w:keepNext/>
        <w:spacing w:after="0" w:line="240" w:lineRule="auto"/>
        <w:ind w:right="0"/>
        <w:jc w:val="left"/>
        <w:rPr>
          <w:b/>
        </w:rPr>
      </w:pPr>
      <w:r>
        <w:rPr>
          <w:rFonts w:eastAsiaTheme="minorEastAsia"/>
          <w:i/>
          <w:noProof/>
          <w:sz w:val="18"/>
          <w:szCs w:val="18"/>
          <w:lang w:eastAsia="fr-CH"/>
        </w:rPr>
        <mc:AlternateContent>
          <mc:Choice Requires="wps">
            <w:drawing>
              <wp:anchor distT="0" distB="0" distL="114300" distR="114300" simplePos="0" relativeHeight="251652096" behindDoc="0" locked="0" layoutInCell="1" allowOverlap="1" wp14:anchorId="0D363E36" wp14:editId="74FD6120">
                <wp:simplePos x="0" y="0"/>
                <wp:positionH relativeFrom="column">
                  <wp:posOffset>4686935</wp:posOffset>
                </wp:positionH>
                <wp:positionV relativeFrom="paragraph">
                  <wp:posOffset>3385185</wp:posOffset>
                </wp:positionV>
                <wp:extent cx="452141" cy="200660"/>
                <wp:effectExtent l="0" t="0" r="5080" b="8890"/>
                <wp:wrapNone/>
                <wp:docPr id="39" name="Zone de texte 39"/>
                <wp:cNvGraphicFramePr/>
                <a:graphic xmlns:a="http://schemas.openxmlformats.org/drawingml/2006/main">
                  <a:graphicData uri="http://schemas.microsoft.com/office/word/2010/wordprocessingShape">
                    <wps:wsp>
                      <wps:cNvSpPr txBox="1"/>
                      <wps:spPr>
                        <a:xfrm>
                          <a:off x="0" y="0"/>
                          <a:ext cx="452141" cy="200660"/>
                        </a:xfrm>
                        <a:prstGeom prst="rect">
                          <a:avLst/>
                        </a:prstGeom>
                        <a:solidFill>
                          <a:schemeClr val="lt1"/>
                        </a:solidFill>
                        <a:ln w="6350">
                          <a:noFill/>
                        </a:ln>
                      </wps:spPr>
                      <wps:txbx>
                        <w:txbxContent>
                          <w:p w:rsidR="00ED0903" w:rsidRPr="009F4C37" w:rsidRDefault="00ED0903" w:rsidP="0066377C">
                            <w:pPr>
                              <w:spacing w:line="240" w:lineRule="auto"/>
                              <w:rPr>
                                <w:sz w:val="16"/>
                                <w:szCs w:val="16"/>
                              </w:rPr>
                            </w:pPr>
                            <w:r>
                              <w:rPr>
                                <w:sz w:val="16"/>
                                <w:szCs w:val="16"/>
                              </w:rPr>
                              <w:t>12</w:t>
                            </w:r>
                            <w:r w:rsidRPr="009F4C37">
                              <w:rPr>
                                <w:sz w:val="16"/>
                                <w:szCs w:val="16"/>
                              </w:rPr>
                              <w:t> </w:t>
                            </w:r>
                            <w:r>
                              <w:rPr>
                                <w:sz w:val="16"/>
                                <w:szCs w:val="16"/>
                              </w:rPr>
                              <w:t>%</w:t>
                            </w:r>
                            <w:r w:rsidRPr="009F4C3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363E36" id="_x0000_t202" coordsize="21600,21600" o:spt="202" path="m,l,21600r21600,l21600,xe">
                <v:stroke joinstyle="miter"/>
                <v:path gradientshapeok="t" o:connecttype="rect"/>
              </v:shapetype>
              <v:shape id="Zone de texte 39" o:spid="_x0000_s1026" type="#_x0000_t202" style="position:absolute;left:0;text-align:left;margin-left:369.05pt;margin-top:266.55pt;width:35.6pt;height:15.8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" fillcolor="white [3201]" stroked="f" strokeweight=".5pt">
                <v:textbox>
                  <w:txbxContent>
                    <w:p w:rsidR="00ED0903" w:rsidRPr="009F4C37" w:rsidRDefault="00ED0903" w:rsidP="0066377C">
                      <w:pPr>
                        <w:spacing w:line="240" w:lineRule="auto"/>
                        <w:rPr>
                          <w:sz w:val="16"/>
                          <w:szCs w:val="16"/>
                        </w:rPr>
                      </w:pPr>
                      <w:r>
                        <w:rPr>
                          <w:sz w:val="16"/>
                          <w:szCs w:val="16"/>
                        </w:rPr>
                        <w:t>12</w:t>
                      </w:r>
                      <w:r w:rsidRPr="009F4C37">
                        <w:rPr>
                          <w:sz w:val="16"/>
                          <w:szCs w:val="16"/>
                        </w:rPr>
                        <w:t> </w:t>
                      </w:r>
                      <w:r>
                        <w:rPr>
                          <w:sz w:val="16"/>
                          <w:szCs w:val="16"/>
                        </w:rPr>
                        <w:t>%</w:t>
                      </w:r>
                      <w:r w:rsidRPr="009F4C37">
                        <w:rPr>
                          <w:sz w:val="16"/>
                          <w:szCs w:val="16"/>
                        </w:rPr>
                        <w:t>%</w:t>
                      </w:r>
                    </w:p>
                  </w:txbxContent>
                </v:textbox>
              </v:shape>
            </w:pict>
          </mc:Fallback>
        </mc:AlternateContent>
      </w:r>
      <w:r>
        <w:rPr>
          <w:rFonts w:eastAsiaTheme="minorEastAsia"/>
          <w:i/>
          <w:noProof/>
          <w:sz w:val="18"/>
          <w:szCs w:val="18"/>
          <w:lang w:eastAsia="fr-CH"/>
        </w:rPr>
        <mc:AlternateContent>
          <mc:Choice Requires="wps">
            <w:drawing>
              <wp:anchor distT="0" distB="0" distL="114300" distR="114300" simplePos="0" relativeHeight="251648000" behindDoc="0" locked="0" layoutInCell="1" allowOverlap="1" wp14:anchorId="3A581189" wp14:editId="5FA596A0">
                <wp:simplePos x="0" y="0"/>
                <wp:positionH relativeFrom="column">
                  <wp:posOffset>4123055</wp:posOffset>
                </wp:positionH>
                <wp:positionV relativeFrom="paragraph">
                  <wp:posOffset>3385185</wp:posOffset>
                </wp:positionV>
                <wp:extent cx="452141" cy="200660"/>
                <wp:effectExtent l="0" t="0" r="5080" b="8890"/>
                <wp:wrapNone/>
                <wp:docPr id="38" name="Zone de texte 38"/>
                <wp:cNvGraphicFramePr/>
                <a:graphic xmlns:a="http://schemas.openxmlformats.org/drawingml/2006/main">
                  <a:graphicData uri="http://schemas.microsoft.com/office/word/2010/wordprocessingShape">
                    <wps:wsp>
                      <wps:cNvSpPr txBox="1"/>
                      <wps:spPr>
                        <a:xfrm>
                          <a:off x="0" y="0"/>
                          <a:ext cx="452141" cy="200660"/>
                        </a:xfrm>
                        <a:prstGeom prst="rect">
                          <a:avLst/>
                        </a:prstGeom>
                        <a:solidFill>
                          <a:schemeClr val="lt1"/>
                        </a:solidFill>
                        <a:ln w="6350">
                          <a:noFill/>
                        </a:ln>
                      </wps:spPr>
                      <wps:txbx>
                        <w:txbxContent>
                          <w:p w:rsidR="00ED0903" w:rsidRPr="009F4C37" w:rsidRDefault="00ED0903" w:rsidP="0066377C">
                            <w:pPr>
                              <w:spacing w:line="240" w:lineRule="auto"/>
                              <w:rPr>
                                <w:sz w:val="16"/>
                                <w:szCs w:val="16"/>
                              </w:rPr>
                            </w:pPr>
                            <w:r>
                              <w:rPr>
                                <w:sz w:val="16"/>
                                <w:szCs w:val="16"/>
                              </w:rPr>
                              <w:t>10</w:t>
                            </w:r>
                            <w:r w:rsidRPr="009F4C37">
                              <w:rPr>
                                <w:sz w:val="16"/>
                                <w:szCs w:val="16"/>
                              </w:rPr>
                              <w:t> </w:t>
                            </w:r>
                            <w:r>
                              <w:rPr>
                                <w:sz w:val="16"/>
                                <w:szCs w:val="16"/>
                              </w:rPr>
                              <w:t>%</w:t>
                            </w:r>
                            <w:r w:rsidRPr="009F4C3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581189" id="Zone de texte 38" o:spid="_x0000_s1027" type="#_x0000_t202" style="position:absolute;left:0;text-align:left;margin-left:324.65pt;margin-top:266.55pt;width:35.6pt;height:15.8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" fillcolor="white [3201]" stroked="f" strokeweight=".5pt">
                <v:textbox>
                  <w:txbxContent>
                    <w:p w:rsidR="00ED0903" w:rsidRPr="009F4C37" w:rsidRDefault="00ED0903" w:rsidP="0066377C">
                      <w:pPr>
                        <w:spacing w:line="240" w:lineRule="auto"/>
                        <w:rPr>
                          <w:sz w:val="16"/>
                          <w:szCs w:val="16"/>
                        </w:rPr>
                      </w:pPr>
                      <w:r>
                        <w:rPr>
                          <w:sz w:val="16"/>
                          <w:szCs w:val="16"/>
                        </w:rPr>
                        <w:t>10</w:t>
                      </w:r>
                      <w:r w:rsidRPr="009F4C37">
                        <w:rPr>
                          <w:sz w:val="16"/>
                          <w:szCs w:val="16"/>
                        </w:rPr>
                        <w:t> </w:t>
                      </w:r>
                      <w:r>
                        <w:rPr>
                          <w:sz w:val="16"/>
                          <w:szCs w:val="16"/>
                        </w:rPr>
                        <w:t>%</w:t>
                      </w:r>
                      <w:r w:rsidRPr="009F4C37">
                        <w:rPr>
                          <w:sz w:val="16"/>
                          <w:szCs w:val="16"/>
                        </w:rPr>
                        <w:t>%</w:t>
                      </w:r>
                    </w:p>
                  </w:txbxContent>
                </v:textbox>
              </v:shape>
            </w:pict>
          </mc:Fallback>
        </mc:AlternateContent>
      </w:r>
      <w:r>
        <w:rPr>
          <w:rFonts w:eastAsiaTheme="minorEastAsia"/>
          <w:i/>
          <w:noProof/>
          <w:sz w:val="18"/>
          <w:szCs w:val="18"/>
          <w:lang w:eastAsia="fr-CH"/>
        </w:rPr>
        <mc:AlternateContent>
          <mc:Choice Requires="wps">
            <w:drawing>
              <wp:anchor distT="0" distB="0" distL="114300" distR="114300" simplePos="0" relativeHeight="251643904" behindDoc="0" locked="0" layoutInCell="1" allowOverlap="1" wp14:anchorId="44E595D7" wp14:editId="36B23784">
                <wp:simplePos x="0" y="0"/>
                <wp:positionH relativeFrom="column">
                  <wp:posOffset>3582035</wp:posOffset>
                </wp:positionH>
                <wp:positionV relativeFrom="paragraph">
                  <wp:posOffset>3385185</wp:posOffset>
                </wp:positionV>
                <wp:extent cx="366765" cy="200967"/>
                <wp:effectExtent l="0" t="0" r="0" b="8890"/>
                <wp:wrapNone/>
                <wp:docPr id="37" name="Zone de texte 37"/>
                <wp:cNvGraphicFramePr/>
                <a:graphic xmlns:a="http://schemas.openxmlformats.org/drawingml/2006/main">
                  <a:graphicData uri="http://schemas.microsoft.com/office/word/2010/wordprocessingShape">
                    <wps:wsp>
                      <wps:cNvSpPr txBox="1"/>
                      <wps:spPr>
                        <a:xfrm>
                          <a:off x="0" y="0"/>
                          <a:ext cx="366765" cy="200967"/>
                        </a:xfrm>
                        <a:prstGeom prst="rect">
                          <a:avLst/>
                        </a:prstGeom>
                        <a:solidFill>
                          <a:schemeClr val="lt1"/>
                        </a:solidFill>
                        <a:ln w="6350">
                          <a:noFill/>
                        </a:ln>
                      </wps:spPr>
                      <wps:txbx>
                        <w:txbxContent>
                          <w:p w:rsidR="00ED0903" w:rsidRPr="009F4C37" w:rsidRDefault="00ED0903" w:rsidP="0066377C">
                            <w:pPr>
                              <w:spacing w:line="240" w:lineRule="auto"/>
                              <w:rPr>
                                <w:sz w:val="16"/>
                                <w:szCs w:val="16"/>
                              </w:rPr>
                            </w:pPr>
                            <w:r>
                              <w:rPr>
                                <w:sz w:val="16"/>
                                <w:szCs w:val="16"/>
                              </w:rPr>
                              <w:t>8</w:t>
                            </w:r>
                            <w:r w:rsidRPr="009F4C37">
                              <w:rPr>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E595D7" id="Zone de texte 37" o:spid="_x0000_s1028" type="#_x0000_t202" style="position:absolute;left:0;text-align:left;margin-left:282.05pt;margin-top:266.55pt;width:28.9pt;height:15.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" fillcolor="white [3201]" stroked="f" strokeweight=".5pt">
                <v:textbox>
                  <w:txbxContent>
                    <w:p w:rsidR="00ED0903" w:rsidRPr="009F4C37" w:rsidRDefault="00ED0903" w:rsidP="0066377C">
                      <w:pPr>
                        <w:spacing w:line="240" w:lineRule="auto"/>
                        <w:rPr>
                          <w:sz w:val="16"/>
                          <w:szCs w:val="16"/>
                        </w:rPr>
                      </w:pPr>
                      <w:r>
                        <w:rPr>
                          <w:sz w:val="16"/>
                          <w:szCs w:val="16"/>
                        </w:rPr>
                        <w:t>8</w:t>
                      </w:r>
                      <w:r w:rsidRPr="009F4C37">
                        <w:rPr>
                          <w:sz w:val="16"/>
                          <w:szCs w:val="16"/>
                        </w:rPr>
                        <w:t> %</w:t>
                      </w:r>
                    </w:p>
                  </w:txbxContent>
                </v:textbox>
              </v:shape>
            </w:pict>
          </mc:Fallback>
        </mc:AlternateContent>
      </w:r>
      <w:r>
        <w:rPr>
          <w:rFonts w:eastAsiaTheme="minorEastAsia"/>
          <w:i/>
          <w:noProof/>
          <w:sz w:val="18"/>
          <w:szCs w:val="18"/>
          <w:lang w:eastAsia="fr-CH"/>
        </w:rPr>
        <mc:AlternateContent>
          <mc:Choice Requires="wps">
            <w:drawing>
              <wp:anchor distT="0" distB="0" distL="114300" distR="114300" simplePos="0" relativeHeight="251639808" behindDoc="0" locked="0" layoutInCell="1" allowOverlap="1" wp14:anchorId="17D1A916" wp14:editId="61505D6C">
                <wp:simplePos x="0" y="0"/>
                <wp:positionH relativeFrom="column">
                  <wp:posOffset>3012440</wp:posOffset>
                </wp:positionH>
                <wp:positionV relativeFrom="paragraph">
                  <wp:posOffset>3385185</wp:posOffset>
                </wp:positionV>
                <wp:extent cx="366765" cy="200967"/>
                <wp:effectExtent l="0" t="0" r="0" b="8890"/>
                <wp:wrapNone/>
                <wp:docPr id="35" name="Zone de texte 35"/>
                <wp:cNvGraphicFramePr/>
                <a:graphic xmlns:a="http://schemas.openxmlformats.org/drawingml/2006/main">
                  <a:graphicData uri="http://schemas.microsoft.com/office/word/2010/wordprocessingShape">
                    <wps:wsp>
                      <wps:cNvSpPr txBox="1"/>
                      <wps:spPr>
                        <a:xfrm>
                          <a:off x="0" y="0"/>
                          <a:ext cx="366765" cy="200967"/>
                        </a:xfrm>
                        <a:prstGeom prst="rect">
                          <a:avLst/>
                        </a:prstGeom>
                        <a:solidFill>
                          <a:schemeClr val="lt1"/>
                        </a:solidFill>
                        <a:ln w="6350">
                          <a:noFill/>
                        </a:ln>
                      </wps:spPr>
                      <wps:txbx>
                        <w:txbxContent>
                          <w:p w:rsidR="00ED0903" w:rsidRPr="009F4C37" w:rsidRDefault="00ED0903" w:rsidP="0066377C">
                            <w:pPr>
                              <w:spacing w:line="240" w:lineRule="auto"/>
                              <w:rPr>
                                <w:sz w:val="16"/>
                                <w:szCs w:val="16"/>
                              </w:rPr>
                            </w:pPr>
                            <w:r>
                              <w:rPr>
                                <w:sz w:val="16"/>
                                <w:szCs w:val="16"/>
                              </w:rPr>
                              <w:t>6</w:t>
                            </w:r>
                            <w:r w:rsidRPr="009F4C37">
                              <w:rPr>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1A916" id="Zone de texte 35" o:spid="_x0000_s1029" type="#_x0000_t202" style="position:absolute;left:0;text-align:left;margin-left:237.2pt;margin-top:266.55pt;width:28.9pt;height:15.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" fillcolor="white [3201]" stroked="f" strokeweight=".5pt">
                <v:textbox>
                  <w:txbxContent>
                    <w:p w:rsidR="00ED0903" w:rsidRPr="009F4C37" w:rsidRDefault="00ED0903" w:rsidP="0066377C">
                      <w:pPr>
                        <w:spacing w:line="240" w:lineRule="auto"/>
                        <w:rPr>
                          <w:sz w:val="16"/>
                          <w:szCs w:val="16"/>
                        </w:rPr>
                      </w:pPr>
                      <w:r>
                        <w:rPr>
                          <w:sz w:val="16"/>
                          <w:szCs w:val="16"/>
                        </w:rPr>
                        <w:t>6</w:t>
                      </w:r>
                      <w:r w:rsidRPr="009F4C37">
                        <w:rPr>
                          <w:sz w:val="16"/>
                          <w:szCs w:val="16"/>
                        </w:rPr>
                        <w:t> %</w:t>
                      </w:r>
                    </w:p>
                  </w:txbxContent>
                </v:textbox>
              </v:shape>
            </w:pict>
          </mc:Fallback>
        </mc:AlternateContent>
      </w:r>
      <w:r>
        <w:rPr>
          <w:rFonts w:eastAsiaTheme="minorEastAsia"/>
          <w:i/>
          <w:noProof/>
          <w:sz w:val="18"/>
          <w:szCs w:val="18"/>
          <w:lang w:eastAsia="fr-CH"/>
        </w:rPr>
        <mc:AlternateContent>
          <mc:Choice Requires="wps">
            <w:drawing>
              <wp:anchor distT="0" distB="0" distL="114300" distR="114300" simplePos="0" relativeHeight="251635712" behindDoc="0" locked="0" layoutInCell="1" allowOverlap="1" wp14:anchorId="64DDCBA8" wp14:editId="2BDAE498">
                <wp:simplePos x="0" y="0"/>
                <wp:positionH relativeFrom="column">
                  <wp:posOffset>2451735</wp:posOffset>
                </wp:positionH>
                <wp:positionV relativeFrom="paragraph">
                  <wp:posOffset>3385185</wp:posOffset>
                </wp:positionV>
                <wp:extent cx="366765" cy="200967"/>
                <wp:effectExtent l="0" t="0" r="0" b="8890"/>
                <wp:wrapNone/>
                <wp:docPr id="34" name="Zone de texte 34"/>
                <wp:cNvGraphicFramePr/>
                <a:graphic xmlns:a="http://schemas.openxmlformats.org/drawingml/2006/main">
                  <a:graphicData uri="http://schemas.microsoft.com/office/word/2010/wordprocessingShape">
                    <wps:wsp>
                      <wps:cNvSpPr txBox="1"/>
                      <wps:spPr>
                        <a:xfrm>
                          <a:off x="0" y="0"/>
                          <a:ext cx="366765" cy="200967"/>
                        </a:xfrm>
                        <a:prstGeom prst="rect">
                          <a:avLst/>
                        </a:prstGeom>
                        <a:solidFill>
                          <a:schemeClr val="lt1"/>
                        </a:solidFill>
                        <a:ln w="6350">
                          <a:noFill/>
                        </a:ln>
                      </wps:spPr>
                      <wps:txbx>
                        <w:txbxContent>
                          <w:p w:rsidR="00ED0903" w:rsidRPr="009F4C37" w:rsidRDefault="00ED0903" w:rsidP="0066377C">
                            <w:pPr>
                              <w:spacing w:line="240" w:lineRule="auto"/>
                              <w:rPr>
                                <w:sz w:val="16"/>
                                <w:szCs w:val="16"/>
                              </w:rPr>
                            </w:pPr>
                            <w:r>
                              <w:rPr>
                                <w:sz w:val="16"/>
                                <w:szCs w:val="16"/>
                              </w:rPr>
                              <w:t>4</w:t>
                            </w:r>
                            <w:r w:rsidRPr="009F4C37">
                              <w:rPr>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DDCBA8" id="Zone de texte 34" o:spid="_x0000_s1030" type="#_x0000_t202" style="position:absolute;left:0;text-align:left;margin-left:193.05pt;margin-top:266.55pt;width:28.9pt;height:15.8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" fillcolor="white [3201]" stroked="f" strokeweight=".5pt">
                <v:textbox>
                  <w:txbxContent>
                    <w:p w:rsidR="00ED0903" w:rsidRPr="009F4C37" w:rsidRDefault="00ED0903" w:rsidP="0066377C">
                      <w:pPr>
                        <w:spacing w:line="240" w:lineRule="auto"/>
                        <w:rPr>
                          <w:sz w:val="16"/>
                          <w:szCs w:val="16"/>
                        </w:rPr>
                      </w:pPr>
                      <w:r>
                        <w:rPr>
                          <w:sz w:val="16"/>
                          <w:szCs w:val="16"/>
                        </w:rPr>
                        <w:t>4</w:t>
                      </w:r>
                      <w:r w:rsidRPr="009F4C37">
                        <w:rPr>
                          <w:sz w:val="16"/>
                          <w:szCs w:val="16"/>
                        </w:rPr>
                        <w:t> %</w:t>
                      </w:r>
                    </w:p>
                  </w:txbxContent>
                </v:textbox>
              </v:shape>
            </w:pict>
          </mc:Fallback>
        </mc:AlternateContent>
      </w:r>
      <w:r w:rsidR="00CA7A58">
        <w:rPr>
          <w:rFonts w:eastAsiaTheme="minorEastAsia"/>
          <w:i/>
          <w:noProof/>
          <w:sz w:val="18"/>
          <w:szCs w:val="18"/>
          <w:lang w:eastAsia="fr-CH"/>
        </w:rPr>
        <mc:AlternateContent>
          <mc:Choice Requires="wps">
            <w:drawing>
              <wp:anchor distT="0" distB="0" distL="114300" distR="114300" simplePos="0" relativeHeight="251631616" behindDoc="0" locked="0" layoutInCell="1" allowOverlap="1" wp14:anchorId="2AC7DCEC" wp14:editId="507313EA">
                <wp:simplePos x="0" y="0"/>
                <wp:positionH relativeFrom="column">
                  <wp:posOffset>1878330</wp:posOffset>
                </wp:positionH>
                <wp:positionV relativeFrom="paragraph">
                  <wp:posOffset>3385185</wp:posOffset>
                </wp:positionV>
                <wp:extent cx="366765" cy="200967"/>
                <wp:effectExtent l="0" t="0" r="0" b="8890"/>
                <wp:wrapNone/>
                <wp:docPr id="33" name="Zone de texte 33"/>
                <wp:cNvGraphicFramePr/>
                <a:graphic xmlns:a="http://schemas.openxmlformats.org/drawingml/2006/main">
                  <a:graphicData uri="http://schemas.microsoft.com/office/word/2010/wordprocessingShape">
                    <wps:wsp>
                      <wps:cNvSpPr txBox="1"/>
                      <wps:spPr>
                        <a:xfrm>
                          <a:off x="0" y="0"/>
                          <a:ext cx="366765" cy="200967"/>
                        </a:xfrm>
                        <a:prstGeom prst="rect">
                          <a:avLst/>
                        </a:prstGeom>
                        <a:solidFill>
                          <a:schemeClr val="lt1"/>
                        </a:solidFill>
                        <a:ln w="6350">
                          <a:noFill/>
                        </a:ln>
                      </wps:spPr>
                      <wps:txbx>
                        <w:txbxContent>
                          <w:p w:rsidR="00ED0903" w:rsidRPr="009F4C37" w:rsidRDefault="00ED0903" w:rsidP="00CA7A58">
                            <w:pPr>
                              <w:spacing w:line="240" w:lineRule="auto"/>
                              <w:rPr>
                                <w:sz w:val="16"/>
                                <w:szCs w:val="16"/>
                              </w:rPr>
                            </w:pPr>
                            <w:r>
                              <w:rPr>
                                <w:sz w:val="16"/>
                                <w:szCs w:val="16"/>
                              </w:rPr>
                              <w:t>2</w:t>
                            </w:r>
                            <w:r w:rsidRPr="009F4C37">
                              <w:rPr>
                                <w:sz w:val="16"/>
                                <w:szCs w:val="16"/>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7DCEC" id="Zone de texte 33" o:spid="_x0000_s1031" type="#_x0000_t202" style="position:absolute;left:0;text-align:left;margin-left:147.9pt;margin-top:266.55pt;width:28.9pt;height:15.8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" fillcolor="white [3201]" stroked="f" strokeweight=".5pt">
                <v:textbox>
                  <w:txbxContent>
                    <w:p w:rsidR="00ED0903" w:rsidRPr="009F4C37" w:rsidRDefault="00ED0903" w:rsidP="00CA7A58">
                      <w:pPr>
                        <w:spacing w:line="240" w:lineRule="auto"/>
                        <w:rPr>
                          <w:sz w:val="16"/>
                          <w:szCs w:val="16"/>
                        </w:rPr>
                      </w:pPr>
                      <w:r>
                        <w:rPr>
                          <w:sz w:val="16"/>
                          <w:szCs w:val="16"/>
                        </w:rPr>
                        <w:t>2</w:t>
                      </w:r>
                      <w:r w:rsidRPr="009F4C37">
                        <w:rPr>
                          <w:sz w:val="16"/>
                          <w:szCs w:val="16"/>
                        </w:rPr>
                        <w:t> %</w:t>
                      </w:r>
                    </w:p>
                  </w:txbxContent>
                </v:textbox>
              </v:shape>
            </w:pict>
          </mc:Fallback>
        </mc:AlternateContent>
      </w:r>
      <w:r w:rsidR="009F4C37">
        <w:rPr>
          <w:rFonts w:eastAsiaTheme="minorEastAsia"/>
          <w:i/>
          <w:noProof/>
          <w:sz w:val="18"/>
          <w:szCs w:val="18"/>
          <w:lang w:eastAsia="fr-CH"/>
        </w:rPr>
        <mc:AlternateContent>
          <mc:Choice Requires="wps">
            <w:drawing>
              <wp:anchor distT="0" distB="0" distL="114300" distR="114300" simplePos="0" relativeHeight="251627520" behindDoc="0" locked="0" layoutInCell="1" allowOverlap="1">
                <wp:simplePos x="0" y="0"/>
                <wp:positionH relativeFrom="column">
                  <wp:posOffset>1339215</wp:posOffset>
                </wp:positionH>
                <wp:positionV relativeFrom="paragraph">
                  <wp:posOffset>3385185</wp:posOffset>
                </wp:positionV>
                <wp:extent cx="366765" cy="200967"/>
                <wp:effectExtent l="0" t="0" r="0" b="8890"/>
                <wp:wrapNone/>
                <wp:docPr id="32" name="Zone de texte 32"/>
                <wp:cNvGraphicFramePr/>
                <a:graphic xmlns:a="http://schemas.openxmlformats.org/drawingml/2006/main">
                  <a:graphicData uri="http://schemas.microsoft.com/office/word/2010/wordprocessingShape">
                    <wps:wsp>
                      <wps:cNvSpPr txBox="1"/>
                      <wps:spPr>
                        <a:xfrm>
                          <a:off x="0" y="0"/>
                          <a:ext cx="366765" cy="200967"/>
                        </a:xfrm>
                        <a:prstGeom prst="rect">
                          <a:avLst/>
                        </a:prstGeom>
                        <a:solidFill>
                          <a:schemeClr val="lt1"/>
                        </a:solidFill>
                        <a:ln w="6350">
                          <a:noFill/>
                        </a:ln>
                      </wps:spPr>
                      <wps:txbx>
                        <w:txbxContent>
                          <w:p w:rsidR="00ED0903" w:rsidRPr="009F4C37" w:rsidRDefault="00ED0903" w:rsidP="00034D4B">
                            <w:pPr>
                              <w:spacing w:line="240" w:lineRule="auto"/>
                              <w:rPr>
                                <w:sz w:val="16"/>
                                <w:szCs w:val="16"/>
                              </w:rPr>
                            </w:pPr>
                            <w:r w:rsidRPr="009F4C37">
                              <w:rPr>
                                <w:sz w:val="16"/>
                                <w:szCs w:val="16"/>
                              </w:rPr>
                              <w:t>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32" o:spid="_x0000_s1032" type="#_x0000_t202" style="position:absolute;left:0;text-align:left;margin-left:105.45pt;margin-top:266.55pt;width:28.9pt;height:15.8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" fillcolor="white [3201]" stroked="f" strokeweight=".5pt">
                <v:textbox>
                  <w:txbxContent>
                    <w:p w:rsidR="00ED0903" w:rsidRPr="009F4C37" w:rsidRDefault="00ED0903" w:rsidP="00034D4B">
                      <w:pPr>
                        <w:spacing w:line="240" w:lineRule="auto"/>
                        <w:rPr>
                          <w:sz w:val="16"/>
                          <w:szCs w:val="16"/>
                        </w:rPr>
                      </w:pPr>
                      <w:r w:rsidRPr="009F4C37">
                        <w:rPr>
                          <w:sz w:val="16"/>
                          <w:szCs w:val="16"/>
                        </w:rPr>
                        <w:t>0 %</w:t>
                      </w:r>
                    </w:p>
                  </w:txbxContent>
                </v:textbox>
              </v:shape>
            </w:pict>
          </mc:Fallback>
        </mc:AlternateContent>
      </w:r>
      <w:r w:rsidR="009703E0" w:rsidRPr="003B5EA4">
        <w:rPr>
          <w:noProof/>
          <w:lang w:eastAsia="fr-CH"/>
        </w:rPr>
        <w:drawing>
          <wp:inline distT="0" distB="0" distL="0" distR="0" wp14:anchorId="740BD3FA" wp14:editId="04D00E71">
            <wp:extent cx="4725281" cy="3621405"/>
            <wp:effectExtent l="0" t="0" r="18415" b="17145"/>
            <wp:docPr id="9"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0590" w:rsidRDefault="00420590" w:rsidP="0007761A">
      <w:pPr>
        <w:pStyle w:val="SingleTxtG"/>
        <w:spacing w:before="120" w:after="0"/>
        <w:ind w:firstLine="170"/>
        <w:jc w:val="left"/>
        <w:rPr>
          <w:sz w:val="18"/>
          <w:szCs w:val="18"/>
        </w:rPr>
      </w:pPr>
      <w:r w:rsidRPr="003B5EA4">
        <w:rPr>
          <w:i/>
          <w:sz w:val="18"/>
          <w:szCs w:val="18"/>
        </w:rPr>
        <w:t>Sources</w:t>
      </w:r>
      <w:r w:rsidRPr="003B5EA4">
        <w:rPr>
          <w:sz w:val="18"/>
          <w:szCs w:val="18"/>
        </w:rPr>
        <w:t> :</w:t>
      </w:r>
      <w:r w:rsidRPr="003B5EA4">
        <w:rPr>
          <w:i/>
          <w:sz w:val="18"/>
          <w:szCs w:val="18"/>
        </w:rPr>
        <w:t xml:space="preserve"> </w:t>
      </w:r>
      <w:r w:rsidRPr="003B5EA4">
        <w:rPr>
          <w:sz w:val="18"/>
          <w:szCs w:val="18"/>
        </w:rPr>
        <w:t>Réponses des organismes au questionnaire du CCI (dépenses au titre des voyages en avion) ; A/71/583, tableau 3 (dépenses totales 2014-2015), et A/69/305, tableau 3 (dépenses totales 2012-2013).</w:t>
      </w:r>
    </w:p>
    <w:p w:rsidR="0007761A" w:rsidRPr="003B5EA4" w:rsidRDefault="0007761A" w:rsidP="0007761A">
      <w:pPr>
        <w:pStyle w:val="SingleTxtG"/>
        <w:spacing w:after="240"/>
        <w:ind w:firstLine="170"/>
        <w:jc w:val="left"/>
        <w:rPr>
          <w:rFonts w:eastAsiaTheme="minorEastAsia"/>
          <w:sz w:val="18"/>
          <w:szCs w:val="18"/>
        </w:rPr>
      </w:pPr>
      <w:r w:rsidRPr="003B5EA4">
        <w:rPr>
          <w:rFonts w:eastAsiaTheme="minorEastAsia"/>
          <w:i/>
          <w:sz w:val="18"/>
          <w:szCs w:val="18"/>
        </w:rPr>
        <w:t>Note</w:t>
      </w:r>
      <w:r w:rsidRPr="003B5EA4">
        <w:rPr>
          <w:rFonts w:eastAsiaTheme="minorEastAsia"/>
          <w:sz w:val="18"/>
          <w:szCs w:val="18"/>
        </w:rPr>
        <w:t> : Les charges totales pour chaque organisme sont réparties entre cinq grands domaines d</w:t>
      </w:r>
      <w:r w:rsidR="00762E0A">
        <w:rPr>
          <w:rFonts w:eastAsiaTheme="minorEastAsia"/>
          <w:sz w:val="18"/>
          <w:szCs w:val="18"/>
        </w:rPr>
        <w:t>’</w:t>
      </w:r>
      <w:r w:rsidRPr="003B5EA4">
        <w:rPr>
          <w:rFonts w:eastAsiaTheme="minorEastAsia"/>
          <w:sz w:val="18"/>
          <w:szCs w:val="18"/>
        </w:rPr>
        <w:t>activité : l</w:t>
      </w:r>
      <w:r w:rsidR="00762E0A">
        <w:rPr>
          <w:rFonts w:eastAsiaTheme="minorEastAsia"/>
          <w:sz w:val="18"/>
          <w:szCs w:val="18"/>
        </w:rPr>
        <w:t>’</w:t>
      </w:r>
      <w:r w:rsidRPr="003B5EA4">
        <w:rPr>
          <w:rFonts w:eastAsiaTheme="minorEastAsia"/>
          <w:sz w:val="18"/>
          <w:szCs w:val="18"/>
        </w:rPr>
        <w:t>aide au développement, l</w:t>
      </w:r>
      <w:r w:rsidR="00762E0A">
        <w:rPr>
          <w:rFonts w:eastAsiaTheme="minorEastAsia"/>
          <w:sz w:val="18"/>
          <w:szCs w:val="18"/>
        </w:rPr>
        <w:t>’</w:t>
      </w:r>
      <w:r w:rsidRPr="003B5EA4">
        <w:rPr>
          <w:rFonts w:eastAsiaTheme="minorEastAsia"/>
          <w:sz w:val="18"/>
          <w:szCs w:val="18"/>
        </w:rPr>
        <w:t>aide humanitaire, les opérations de maintien de la paix (Département des opérations de maintien de la paix), la coopération technique, les activités normatives, relatives aux traités et de création de connaissances.</w:t>
      </w:r>
    </w:p>
    <w:p w:rsidR="00420590" w:rsidRPr="003B5EA4" w:rsidRDefault="0025591F" w:rsidP="0025591F">
      <w:pPr>
        <w:pStyle w:val="SingleTxtG"/>
      </w:pPr>
      <w:r w:rsidRPr="003B5EA4">
        <w:t>28.</w:t>
      </w:r>
      <w:r w:rsidRPr="003B5EA4">
        <w:tab/>
      </w:r>
      <w:r w:rsidR="00826004" w:rsidRPr="003B5EA4">
        <w:t>Le tableau ainsi dressé est celui d</w:t>
      </w:r>
      <w:r w:rsidR="00762E0A">
        <w:t>’</w:t>
      </w:r>
      <w:r w:rsidR="00826004" w:rsidRPr="003B5EA4">
        <w:t xml:space="preserve">organismes </w:t>
      </w:r>
      <w:r w:rsidRPr="003B5EA4">
        <w:t>−</w:t>
      </w:r>
      <w:r w:rsidR="00826004" w:rsidRPr="003B5EA4">
        <w:t> exception faite peut-être de l</w:t>
      </w:r>
      <w:r w:rsidR="00762E0A">
        <w:t>’</w:t>
      </w:r>
      <w:r w:rsidR="00826004" w:rsidRPr="003B5EA4">
        <w:t>UNRWA </w:t>
      </w:r>
      <w:r w:rsidRPr="003B5EA4">
        <w:t>−</w:t>
      </w:r>
      <w:r w:rsidR="00826004" w:rsidRPr="003B5EA4">
        <w:t xml:space="preserve"> dont les dépenses engagées au titre des voyages en avion et des prestations connexes, à la fois dans leur totalité et en proportion des dépenses globales de l</w:t>
      </w:r>
      <w:r w:rsidR="00762E0A">
        <w:t>’</w:t>
      </w:r>
      <w:r w:rsidR="00826004" w:rsidRPr="003B5EA4">
        <w:t>entité concernée, constituent une charge substantielle pour le système des Nations Unies. Ces dépenses totalisant plus de 4,01 milliards de dollars des États-Unis pour la période de quatre ans considérée, dans un contexte d</w:t>
      </w:r>
      <w:r w:rsidR="00762E0A">
        <w:t>’</w:t>
      </w:r>
      <w:r w:rsidR="00826004" w:rsidRPr="003B5EA4">
        <w:t>austérité croissante, justifient amplement que soient soigneusement évalués les règles, règlements et politiques d</w:t>
      </w:r>
      <w:r w:rsidR="00762E0A">
        <w:t>’</w:t>
      </w:r>
      <w:r w:rsidR="00826004" w:rsidRPr="003B5EA4">
        <w:t>administration des voyages en avion, notamment les conditions de voyage en avion actuellement appliquées par chaque entité, à l</w:t>
      </w:r>
      <w:r w:rsidR="00762E0A">
        <w:t>’</w:t>
      </w:r>
      <w:r w:rsidR="00826004" w:rsidRPr="003B5EA4">
        <w:t>effet de déterminer dans quelle mesure et de quelle façon cette administration peut être rendue plus rentable et efficace.</w:t>
      </w:r>
    </w:p>
    <w:p w:rsidR="002D63AB" w:rsidRPr="003B5EA4" w:rsidRDefault="002D63AB" w:rsidP="0025591F">
      <w:pPr>
        <w:pStyle w:val="SingleTxtG"/>
      </w:pPr>
      <w:r w:rsidRPr="003B5EA4">
        <w:t>29.</w:t>
      </w:r>
      <w:r w:rsidRPr="003B5EA4">
        <w:tab/>
      </w:r>
      <w:r w:rsidR="00826004" w:rsidRPr="003B5EA4">
        <w:t>Tout en prenant acte des systèmes d</w:t>
      </w:r>
      <w:r w:rsidR="00762E0A">
        <w:t>’</w:t>
      </w:r>
      <w:r w:rsidR="00826004" w:rsidRPr="003B5EA4">
        <w:t>information limités dont disposent certains organismes, l</w:t>
      </w:r>
      <w:r w:rsidR="00762E0A">
        <w:t>’</w:t>
      </w:r>
      <w:r w:rsidR="00826004" w:rsidRPr="003B5EA4">
        <w:t>Inspectrice regrette que des efforts plus soutenus n</w:t>
      </w:r>
      <w:r w:rsidR="00762E0A">
        <w:t>’</w:t>
      </w:r>
      <w:r w:rsidR="00826004" w:rsidRPr="003B5EA4">
        <w:t>aient pas été déployés pour répondre de façon complète au questionnaire du CCI destiné aux organismes, ce qui aurait permis de mieux relever les économies et les gains d</w:t>
      </w:r>
      <w:r w:rsidR="00762E0A">
        <w:t>’</w:t>
      </w:r>
      <w:r w:rsidR="00826004" w:rsidRPr="003B5EA4">
        <w:t xml:space="preserve">efficience à réaliser, ainsi que les difficultés qui ont entravé la bonne administration des voyages. À cet égard, </w:t>
      </w:r>
      <w:r w:rsidR="00826004" w:rsidRPr="003B5EA4">
        <w:rPr>
          <w:b/>
        </w:rPr>
        <w:t>l</w:t>
      </w:r>
      <w:r w:rsidR="00762E0A">
        <w:rPr>
          <w:b/>
        </w:rPr>
        <w:t>’</w:t>
      </w:r>
      <w:r w:rsidR="00826004" w:rsidRPr="003B5EA4">
        <w:rPr>
          <w:b/>
        </w:rPr>
        <w:t>Inspectrice réitère les appels répétés de l</w:t>
      </w:r>
      <w:r w:rsidR="00762E0A">
        <w:rPr>
          <w:b/>
        </w:rPr>
        <w:t>’</w:t>
      </w:r>
      <w:r w:rsidR="00826004" w:rsidRPr="003B5EA4">
        <w:rPr>
          <w:b/>
        </w:rPr>
        <w:t>Assemblée générale tendant à ce que les organismes fournissent les données complètes nécessaires à une gestion rationnelle et un contrôle efficace de toutes les dépenses afférentes aux voyages en avion</w:t>
      </w:r>
      <w:r w:rsidR="00826004" w:rsidRPr="003B5EA4">
        <w:rPr>
          <w:rStyle w:val="Appelnotedebasdep"/>
        </w:rPr>
        <w:footnoteReference w:id="24"/>
      </w:r>
      <w:r w:rsidR="00826004" w:rsidRPr="003B5EA4">
        <w:t>.</w:t>
      </w:r>
    </w:p>
    <w:p w:rsidR="006B32DB" w:rsidRPr="003B5EA4" w:rsidRDefault="00646DAC" w:rsidP="00F0088E">
      <w:pPr>
        <w:pStyle w:val="HChG"/>
        <w:spacing w:before="320" w:after="200"/>
      </w:pPr>
      <w:r w:rsidRPr="003B5EA4">
        <w:br w:type="page"/>
      </w:r>
      <w:r w:rsidRPr="003B5EA4">
        <w:lastRenderedPageBreak/>
        <w:tab/>
        <w:t>III.</w:t>
      </w:r>
      <w:r w:rsidRPr="003B5EA4">
        <w:tab/>
        <w:t>Conditions de voyage en avion applicables au sein du système des Nations Unies</w:t>
      </w:r>
    </w:p>
    <w:p w:rsidR="00646DAC" w:rsidRPr="003B5EA4" w:rsidRDefault="00646DAC" w:rsidP="00503ABE">
      <w:pPr>
        <w:pStyle w:val="SingleTxtG"/>
      </w:pPr>
      <w:r w:rsidRPr="003B5EA4">
        <w:t>30.</w:t>
      </w:r>
      <w:r w:rsidRPr="003B5EA4">
        <w:tab/>
      </w:r>
      <w:r w:rsidR="00B10B26" w:rsidRPr="003B5EA4">
        <w:t>Les conditions de voyage en avion s</w:t>
      </w:r>
      <w:r w:rsidR="00762E0A">
        <w:t>’</w:t>
      </w:r>
      <w:r w:rsidR="00B10B26" w:rsidRPr="003B5EA4">
        <w:t xml:space="preserve">entendent de </w:t>
      </w:r>
      <w:r w:rsidR="00B10B26" w:rsidRPr="005859AB">
        <w:t>la classe de cabine</w:t>
      </w:r>
      <w:r w:rsidR="00B10B26" w:rsidRPr="003B5EA4">
        <w:t xml:space="preserve"> (première classe, classe affaires ou classe économique) attribuée aux fonctionnaires et aux non</w:t>
      </w:r>
      <w:r w:rsidR="00350B31">
        <w:noBreakHyphen/>
      </w:r>
      <w:r w:rsidR="00B10B26" w:rsidRPr="003B5EA4">
        <w:t>fonctionnaires pour leurs voyages officiels et statutaires. Ces conditions sont régies par une série de résolutions et de décision</w:t>
      </w:r>
      <w:r w:rsidR="00350B31">
        <w:t>s</w:t>
      </w:r>
      <w:r w:rsidR="00B10B26" w:rsidRPr="003B5EA4">
        <w:t xml:space="preserve"> adoptées par l</w:t>
      </w:r>
      <w:r w:rsidR="00762E0A">
        <w:t>’</w:t>
      </w:r>
      <w:r w:rsidR="00B10B26" w:rsidRPr="003B5EA4">
        <w:t>Assemblée générale à l</w:t>
      </w:r>
      <w:r w:rsidR="00762E0A">
        <w:t>’</w:t>
      </w:r>
      <w:r w:rsidR="00B10B26" w:rsidRPr="003B5EA4">
        <w:t>intention du Secrétariat de l</w:t>
      </w:r>
      <w:r w:rsidR="00762E0A">
        <w:t>’</w:t>
      </w:r>
      <w:r w:rsidR="00B10B26" w:rsidRPr="003B5EA4">
        <w:t>ONU et des entités qui lui sont apparentées</w:t>
      </w:r>
      <w:r w:rsidR="00B10B26" w:rsidRPr="003B5EA4">
        <w:rPr>
          <w:rStyle w:val="Appelnotedebasdep"/>
        </w:rPr>
        <w:footnoteReference w:id="25"/>
      </w:r>
      <w:r w:rsidR="00B10B26" w:rsidRPr="003B5EA4">
        <w:t>. Dans le cas des institutions spécialisées, les règles, règlements et politiques applicables aux voyages en avion sont arrêtés par les organes délibérants de ces institutions.</w:t>
      </w:r>
    </w:p>
    <w:p w:rsidR="00B10B26" w:rsidRPr="003B5EA4" w:rsidRDefault="00B10B26" w:rsidP="00503ABE">
      <w:pPr>
        <w:pStyle w:val="SingleTxtG"/>
      </w:pPr>
      <w:r w:rsidRPr="003B5EA4">
        <w:t>31.</w:t>
      </w:r>
      <w:r w:rsidRPr="003B5EA4">
        <w:tab/>
      </w:r>
      <w:r w:rsidR="00826004" w:rsidRPr="003B5EA4">
        <w:t>En 2006, l</w:t>
      </w:r>
      <w:r w:rsidR="00762E0A">
        <w:t>’</w:t>
      </w:r>
      <w:r w:rsidR="00826004" w:rsidRPr="003B5EA4">
        <w:t>Assemblée générale a prié le Secrétaire général d</w:t>
      </w:r>
      <w:r w:rsidR="00762E0A">
        <w:t>’</w:t>
      </w:r>
      <w:r w:rsidR="00826004" w:rsidRPr="003B5EA4">
        <w:t>entreprendre, dans le cadre du CCS, une étude des conditions de voyage en avion et des prestations connexes applicables aux fonctionnaires et aux membres des organes et organes subsidiaires de l</w:t>
      </w:r>
      <w:r w:rsidR="00762E0A">
        <w:t>’</w:t>
      </w:r>
      <w:r w:rsidR="00826004" w:rsidRPr="003B5EA4">
        <w:t>ONU et des organismes des Nations Unies. L</w:t>
      </w:r>
      <w:r w:rsidR="00762E0A">
        <w:t>’</w:t>
      </w:r>
      <w:r w:rsidR="00826004" w:rsidRPr="003B5EA4">
        <w:t>étude devait conduire à l</w:t>
      </w:r>
      <w:r w:rsidR="00762E0A">
        <w:t>’</w:t>
      </w:r>
      <w:r w:rsidR="00826004" w:rsidRPr="003B5EA4">
        <w:t>adoption d</w:t>
      </w:r>
      <w:r w:rsidR="00762E0A">
        <w:t>’</w:t>
      </w:r>
      <w:r w:rsidR="00826004" w:rsidRPr="003B5EA4">
        <w:t>une politique commune à l</w:t>
      </w:r>
      <w:r w:rsidR="00762E0A">
        <w:t>’</w:t>
      </w:r>
      <w:r w:rsidR="00826004" w:rsidRPr="003B5EA4">
        <w:t>échelle du système des Nations Unies</w:t>
      </w:r>
      <w:r w:rsidR="00826004" w:rsidRPr="003B5EA4">
        <w:rPr>
          <w:rStyle w:val="Appelnotedebasdep"/>
        </w:rPr>
        <w:footnoteReference w:id="26"/>
      </w:r>
      <w:r w:rsidR="00826004" w:rsidRPr="003B5EA4">
        <w:t>. Le rapport subséquent du CCS, publié en 2010, ne répondait pas complètement à la demande de l</w:t>
      </w:r>
      <w:r w:rsidR="00762E0A">
        <w:t>’</w:t>
      </w:r>
      <w:r w:rsidR="00826004" w:rsidRPr="003B5EA4">
        <w:t>Assemblée générale, en ce qu</w:t>
      </w:r>
      <w:r w:rsidR="00762E0A">
        <w:t>’</w:t>
      </w:r>
      <w:r w:rsidR="00826004" w:rsidRPr="003B5EA4">
        <w:t>il excluait les institutions spécialisées des Nations Unies et l</w:t>
      </w:r>
      <w:r w:rsidR="00762E0A">
        <w:t>’</w:t>
      </w:r>
      <w:r w:rsidR="00826004" w:rsidRPr="003B5EA4">
        <w:t>AIEA</w:t>
      </w:r>
      <w:r w:rsidR="00826004" w:rsidRPr="003B5EA4">
        <w:rPr>
          <w:rStyle w:val="Appelnotedebasdep"/>
        </w:rPr>
        <w:footnoteReference w:id="27"/>
      </w:r>
      <w:r w:rsidR="00826004" w:rsidRPr="003B5EA4">
        <w:t>.</w:t>
      </w:r>
    </w:p>
    <w:p w:rsidR="00B10B26" w:rsidRPr="003B5EA4" w:rsidRDefault="00B10B26" w:rsidP="00503ABE">
      <w:pPr>
        <w:pStyle w:val="SingleTxtG"/>
      </w:pPr>
      <w:r w:rsidRPr="003B5EA4">
        <w:t>32.</w:t>
      </w:r>
      <w:r w:rsidRPr="003B5EA4">
        <w:tab/>
        <w:t>Le présent chapitre porte sur les conditions de voyage en avion actuelles des fonctionnaires de haut rang, des autres fonctionnaires et des non-fonctionnaires dans les diverses entités des Nations Unie</w:t>
      </w:r>
      <w:r w:rsidR="005859AB">
        <w:t>s</w:t>
      </w:r>
      <w:r w:rsidRPr="003B5EA4">
        <w:t>, et sur les possibilités de modifier les politiques en vigueur dans le sens d</w:t>
      </w:r>
      <w:r w:rsidR="00762E0A">
        <w:t>’</w:t>
      </w:r>
      <w:r w:rsidRPr="003B5EA4">
        <w:t>une réduction des coûts et d</w:t>
      </w:r>
      <w:r w:rsidR="00762E0A">
        <w:t>’</w:t>
      </w:r>
      <w:r w:rsidRPr="003B5EA4">
        <w:t>une plus grande harmonisation.</w:t>
      </w:r>
    </w:p>
    <w:p w:rsidR="00B10B26" w:rsidRPr="003B5EA4" w:rsidRDefault="00B10B26" w:rsidP="00503ABE">
      <w:pPr>
        <w:pStyle w:val="SingleTxtG"/>
      </w:pPr>
      <w:r w:rsidRPr="003B5EA4">
        <w:t>33.</w:t>
      </w:r>
      <w:r w:rsidRPr="003B5EA4">
        <w:tab/>
      </w:r>
      <w:r w:rsidR="00826004" w:rsidRPr="003B5EA4">
        <w:t xml:space="preserve">Dans les organismes des Nations Unies, les dépenses engagées au titre des voyages du personnel se répartissent entre les fonctionnaires de haut rang et les fonctionnaires de moindre rang, tandis que celles relatives aux voyages des non-fonctionnaires se répartissent entre les membres des organes et organes subsidiaires, les représentants des États </w:t>
      </w:r>
      <w:r w:rsidR="005859AB">
        <w:t>M</w:t>
      </w:r>
      <w:r w:rsidR="00826004" w:rsidRPr="003B5EA4">
        <w:t>embres, les délégations et les consultants et vacataires. Quoique très peu nombreux, les organismes qui ont été en mesure de ventiler leurs dépenses relatives aux voyages selon qu</w:t>
      </w:r>
      <w:r w:rsidR="00762E0A">
        <w:t>’</w:t>
      </w:r>
      <w:r w:rsidR="00826004" w:rsidRPr="003B5EA4">
        <w:t>elles concernaient ou non les déplacements de leur personnel ont indiqué pour la plupart que les voyages des fonctionnaires représentaient la plus grande part de ces dépenses. Comme indiqué ci-dessous, les règles et politiques en vigueur subdivisent encore les voyages du personnel en deux catégories.</w:t>
      </w:r>
    </w:p>
    <w:p w:rsidR="00547A84" w:rsidRPr="003B5EA4" w:rsidRDefault="00547A84" w:rsidP="00F0088E">
      <w:pPr>
        <w:pStyle w:val="H1G"/>
        <w:spacing w:before="320" w:after="200"/>
      </w:pPr>
      <w:r w:rsidRPr="003B5EA4">
        <w:tab/>
        <w:t>A.</w:t>
      </w:r>
      <w:r w:rsidRPr="003B5EA4">
        <w:tab/>
        <w:t>Conditions de voyage en avion appliquées aux fonctionnaires</w:t>
      </w:r>
    </w:p>
    <w:p w:rsidR="00547A84" w:rsidRPr="003B5EA4" w:rsidRDefault="00547A84" w:rsidP="00F0088E">
      <w:pPr>
        <w:pStyle w:val="SingleTxtG"/>
        <w:spacing w:after="100"/>
      </w:pPr>
      <w:r w:rsidRPr="003B5EA4">
        <w:t>34.</w:t>
      </w:r>
      <w:r w:rsidRPr="003B5EA4">
        <w:tab/>
        <w:t>Deux catégories de voyages sont autorisées :</w:t>
      </w:r>
    </w:p>
    <w:p w:rsidR="00C1124B" w:rsidRPr="003B5EA4" w:rsidRDefault="00503ABE" w:rsidP="00F0088E">
      <w:pPr>
        <w:pStyle w:val="Bullet1G"/>
        <w:spacing w:after="100"/>
      </w:pPr>
      <w:r w:rsidRPr="003B5EA4">
        <w:rPr>
          <w:b/>
        </w:rPr>
        <w:t xml:space="preserve">Les voyages officiels </w:t>
      </w:r>
      <w:r w:rsidRPr="003B5EA4">
        <w:t>comprennent toutes les missions relatives aux activités de fond, normatives et opérationnelles des entités des Nations Unies, notamment lorsque le fonctionnaire se déplace pour représenter son organisme à une conférence ou à une réunion, pour contribuer à l</w:t>
      </w:r>
      <w:r w:rsidR="00762E0A">
        <w:t>’</w:t>
      </w:r>
      <w:r w:rsidRPr="003B5EA4">
        <w:t>exécution de ses programmes ou pour se livrer à des travaux de surveillance et d</w:t>
      </w:r>
      <w:r w:rsidR="00762E0A">
        <w:t>’</w:t>
      </w:r>
      <w:r w:rsidRPr="003B5EA4">
        <w:t>évaluation sur le terrain</w:t>
      </w:r>
      <w:r w:rsidRPr="003B5EA4">
        <w:rPr>
          <w:rStyle w:val="Appelnotedebasdep"/>
        </w:rPr>
        <w:footnoteReference w:id="28"/>
      </w:r>
      <w:r w:rsidR="000B16A7" w:rsidRPr="003B5EA4">
        <w:t> ;</w:t>
      </w:r>
    </w:p>
    <w:p w:rsidR="000B16A7" w:rsidRPr="003B5EA4" w:rsidRDefault="000B16A7" w:rsidP="00F0088E">
      <w:pPr>
        <w:pStyle w:val="Bullet1G"/>
        <w:spacing w:after="100"/>
      </w:pPr>
      <w:r w:rsidRPr="003B5EA4">
        <w:rPr>
          <w:b/>
          <w:bCs/>
        </w:rPr>
        <w:t>Les voyages statutaires</w:t>
      </w:r>
      <w:r w:rsidRPr="003B5EA4">
        <w:rPr>
          <w:bCs/>
        </w:rPr>
        <w:t xml:space="preserve"> prévus par les organismes des Nations Unies s</w:t>
      </w:r>
      <w:r w:rsidR="00762E0A">
        <w:rPr>
          <w:bCs/>
        </w:rPr>
        <w:t>’</w:t>
      </w:r>
      <w:r w:rsidRPr="003B5EA4">
        <w:rPr>
          <w:bCs/>
        </w:rPr>
        <w:t xml:space="preserve">organisent en neuf grandes catégories : </w:t>
      </w:r>
      <w:r w:rsidRPr="003B5EA4">
        <w:t>nomination, changement de lieu d</w:t>
      </w:r>
      <w:r w:rsidR="00762E0A">
        <w:t>’</w:t>
      </w:r>
      <w:r w:rsidRPr="003B5EA4">
        <w:t>affectation, cessation de service et rapatriement, évacuation, raisons sanitaires, de sûreté et de sécurité, formation et perfectionnement, congé dans les foyers, visite familiale, et études. Le détail des catégories reconnues par chaque organisme sont visées dans les règlements pertinents et répertoriées à l</w:t>
      </w:r>
      <w:r w:rsidR="00762E0A">
        <w:t>’</w:t>
      </w:r>
      <w:r w:rsidRPr="003B5EA4">
        <w:t>annexe II.</w:t>
      </w:r>
    </w:p>
    <w:p w:rsidR="000B16A7" w:rsidRPr="003B5EA4" w:rsidRDefault="000B16A7" w:rsidP="000B16A7">
      <w:pPr>
        <w:pStyle w:val="SingleTxtG"/>
      </w:pPr>
      <w:r w:rsidRPr="003B5EA4">
        <w:t>35.</w:t>
      </w:r>
      <w:r w:rsidRPr="003B5EA4">
        <w:tab/>
        <w:t>La première classe, la classe affaires et la classe économique so</w:t>
      </w:r>
      <w:r w:rsidR="00D83D89" w:rsidRPr="003B5EA4">
        <w:t xml:space="preserve">nt les conditions de voyage en </w:t>
      </w:r>
      <w:r w:rsidRPr="003B5EA4">
        <w:t>avion reconnues par les organismes des Nations Unies. Leur application tend à varier d</w:t>
      </w:r>
      <w:r w:rsidR="00762E0A">
        <w:t>’</w:t>
      </w:r>
      <w:r w:rsidRPr="003B5EA4">
        <w:t>un organisme à l</w:t>
      </w:r>
      <w:r w:rsidR="00762E0A">
        <w:t>’</w:t>
      </w:r>
      <w:r w:rsidRPr="003B5EA4">
        <w:t xml:space="preserve">autre, mais aussi selon que le voyageur est un fonctionnaire de </w:t>
      </w:r>
      <w:r w:rsidRPr="003B5EA4">
        <w:lastRenderedPageBreak/>
        <w:t>haut rang ou non, et en fonction de la catégorie de voyage, comme indiqué dans les annexes III et IV.</w:t>
      </w:r>
    </w:p>
    <w:p w:rsidR="000B16A7" w:rsidRPr="003B5EA4" w:rsidRDefault="000B16A7" w:rsidP="000B16A7">
      <w:pPr>
        <w:pStyle w:val="H23G"/>
      </w:pPr>
      <w:r w:rsidRPr="003B5EA4">
        <w:tab/>
      </w:r>
      <w:r w:rsidRPr="003B5EA4">
        <w:tab/>
        <w:t>Conditions de voyage en avion appliquées aux fonctionnaires de haut rang</w:t>
      </w:r>
    </w:p>
    <w:p w:rsidR="000B16A7" w:rsidRPr="003B5EA4" w:rsidRDefault="000B16A7" w:rsidP="000B16A7">
      <w:pPr>
        <w:pStyle w:val="SingleTxtG"/>
      </w:pPr>
      <w:r w:rsidRPr="003B5EA4">
        <w:t>36.</w:t>
      </w:r>
      <w:r w:rsidRPr="003B5EA4">
        <w:tab/>
        <w:t xml:space="preserve">Au sens du présent examen, la notion de « fonctionnaire de haut rang » renvoie aux rangs de </w:t>
      </w:r>
      <w:r w:rsidR="0025701F">
        <w:t>s</w:t>
      </w:r>
      <w:r w:rsidRPr="003B5EA4">
        <w:t xml:space="preserve">ecrétaire général, de </w:t>
      </w:r>
      <w:r w:rsidR="0025701F">
        <w:t>v</w:t>
      </w:r>
      <w:r w:rsidRPr="003B5EA4">
        <w:t>ice-</w:t>
      </w:r>
      <w:r w:rsidR="0025701F">
        <w:t>s</w:t>
      </w:r>
      <w:r w:rsidRPr="003B5EA4">
        <w:t xml:space="preserve">ecrétaire général, de </w:t>
      </w:r>
      <w:r w:rsidR="0025701F">
        <w:t>s</w:t>
      </w:r>
      <w:r w:rsidRPr="003B5EA4">
        <w:t xml:space="preserve">ecrétaire général adjoint, de </w:t>
      </w:r>
      <w:r w:rsidR="0025701F">
        <w:t>s</w:t>
      </w:r>
      <w:r w:rsidRPr="003B5EA4">
        <w:t>ous-</w:t>
      </w:r>
      <w:r w:rsidR="0025701F">
        <w:t>s</w:t>
      </w:r>
      <w:r w:rsidRPr="003B5EA4">
        <w:t xml:space="preserve">ecrétaire général, de </w:t>
      </w:r>
      <w:r w:rsidR="0025701F">
        <w:t>d</w:t>
      </w:r>
      <w:r w:rsidRPr="003B5EA4">
        <w:t xml:space="preserve">irecteur général, de </w:t>
      </w:r>
      <w:r w:rsidR="0025701F">
        <w:t>d</w:t>
      </w:r>
      <w:r w:rsidRPr="003B5EA4">
        <w:t xml:space="preserve">irecteur général adjoint et de </w:t>
      </w:r>
      <w:r w:rsidR="0025701F">
        <w:t>d</w:t>
      </w:r>
      <w:r w:rsidRPr="003B5EA4">
        <w:t>irecteur exécutif</w:t>
      </w:r>
      <w:r w:rsidRPr="003B5EA4">
        <w:rPr>
          <w:bCs/>
        </w:rPr>
        <w:t>, tels qu</w:t>
      </w:r>
      <w:r w:rsidR="00762E0A">
        <w:rPr>
          <w:bCs/>
        </w:rPr>
        <w:t>’</w:t>
      </w:r>
      <w:r w:rsidRPr="003B5EA4">
        <w:rPr>
          <w:bCs/>
        </w:rPr>
        <w:t>ils s</w:t>
      </w:r>
      <w:r w:rsidR="00762E0A">
        <w:rPr>
          <w:bCs/>
        </w:rPr>
        <w:t>’</w:t>
      </w:r>
      <w:r w:rsidRPr="003B5EA4">
        <w:rPr>
          <w:bCs/>
        </w:rPr>
        <w:t>appliquent dans les organismes des Nations Unies</w:t>
      </w:r>
      <w:r w:rsidRPr="003B5EA4">
        <w:t>. L</w:t>
      </w:r>
      <w:r w:rsidR="00762E0A">
        <w:t>’</w:t>
      </w:r>
      <w:r w:rsidRPr="003B5EA4">
        <w:t>annexe III précise les conditions de voyage en avion appliquées par les différents organismes à toutes les catégories de voyage des fonctionnaires de haut rang.</w:t>
      </w:r>
    </w:p>
    <w:p w:rsidR="007418B1" w:rsidRPr="003B5EA4" w:rsidRDefault="007418B1" w:rsidP="007418B1">
      <w:pPr>
        <w:pStyle w:val="H23G"/>
      </w:pPr>
      <w:r w:rsidRPr="003B5EA4">
        <w:tab/>
      </w:r>
      <w:r w:rsidRPr="003B5EA4">
        <w:tab/>
        <w:t>Première classe</w:t>
      </w:r>
    </w:p>
    <w:p w:rsidR="007418B1" w:rsidRPr="003B5EA4" w:rsidRDefault="007418B1" w:rsidP="00950655">
      <w:pPr>
        <w:pStyle w:val="SingleTxtG"/>
      </w:pPr>
      <w:r w:rsidRPr="003B5EA4">
        <w:t>37.</w:t>
      </w:r>
      <w:r w:rsidRPr="003B5EA4">
        <w:tab/>
      </w:r>
      <w:r w:rsidR="00950655" w:rsidRPr="003B5EA4">
        <w:t>Sept entités des Nations Unies</w:t>
      </w:r>
      <w:r w:rsidR="00950655" w:rsidRPr="003B5EA4">
        <w:rPr>
          <w:rStyle w:val="Appelnotedebasdep"/>
        </w:rPr>
        <w:footnoteReference w:id="29"/>
      </w:r>
      <w:r w:rsidR="00950655" w:rsidRPr="003B5EA4">
        <w:t xml:space="preserve"> prévoient la première classe pour les voyages officiels d</w:t>
      </w:r>
      <w:r w:rsidR="00762E0A">
        <w:t>’</w:t>
      </w:r>
      <w:r w:rsidR="00950655" w:rsidRPr="003B5EA4">
        <w:t>un nombre de fonctionnaires de haut rang estimé à 19. Six de ces organismes appliquent cette classe quelle que soit la durée du voyage, l</w:t>
      </w:r>
      <w:r w:rsidR="00762E0A">
        <w:t>’</w:t>
      </w:r>
      <w:r w:rsidR="00950655" w:rsidRPr="003B5EA4">
        <w:t>AIEA la réservant aux voyages de plus de sept heures.</w:t>
      </w:r>
    </w:p>
    <w:p w:rsidR="00950655" w:rsidRPr="003B5EA4" w:rsidRDefault="00950655" w:rsidP="00950655">
      <w:pPr>
        <w:pStyle w:val="SingleTxtG"/>
        <w:rPr>
          <w:bCs/>
        </w:rPr>
      </w:pPr>
      <w:r w:rsidRPr="003B5EA4">
        <w:t>38.</w:t>
      </w:r>
      <w:r w:rsidRPr="003B5EA4">
        <w:tab/>
        <w:t>Le recours à la première classe est plus limité dans le cas des voyages statutaires. L</w:t>
      </w:r>
      <w:r w:rsidR="00762E0A">
        <w:t>’</w:t>
      </w:r>
      <w:r w:rsidRPr="003B5EA4">
        <w:t>ONU et l</w:t>
      </w:r>
      <w:r w:rsidR="00762E0A">
        <w:t>’</w:t>
      </w:r>
      <w:r w:rsidRPr="003B5EA4">
        <w:t>OMM l</w:t>
      </w:r>
      <w:r w:rsidR="00762E0A">
        <w:t>’</w:t>
      </w:r>
      <w:r w:rsidRPr="003B5EA4">
        <w:t>octroient − peu importe la durée du voyage − aux chefs des organismes pour toutes les catégories de voyages statutaires, à l</w:t>
      </w:r>
      <w:r w:rsidR="00762E0A">
        <w:t>’</w:t>
      </w:r>
      <w:r w:rsidRPr="003B5EA4">
        <w:t>exception du voyage au titre des études. L</w:t>
      </w:r>
      <w:r w:rsidR="00762E0A">
        <w:t>’</w:t>
      </w:r>
      <w:r w:rsidRPr="003B5EA4">
        <w:t>UIT accorde la première classe à tous les fonctionnaires de haut rang, sans considération de la durée du voyage, pour quatre catégories de voyages statutaires</w:t>
      </w:r>
      <w:r w:rsidRPr="003B5EA4">
        <w:rPr>
          <w:rStyle w:val="Appelnotedebasdep"/>
        </w:rPr>
        <w:footnoteReference w:id="30"/>
      </w:r>
      <w:r w:rsidRPr="003B5EA4">
        <w:t>, tandis que l</w:t>
      </w:r>
      <w:r w:rsidR="00762E0A">
        <w:t>’</w:t>
      </w:r>
      <w:r w:rsidRPr="003B5EA4">
        <w:t>OMI et l</w:t>
      </w:r>
      <w:r w:rsidR="00762E0A">
        <w:t>’</w:t>
      </w:r>
      <w:r w:rsidRPr="003B5EA4">
        <w:t>OMPI en limitent l</w:t>
      </w:r>
      <w:r w:rsidR="00762E0A">
        <w:t>’</w:t>
      </w:r>
      <w:r w:rsidRPr="003B5EA4">
        <w:t xml:space="preserve">application à leurs chefs de secrétariat respectivement dans le cas du congé dans les foyers et des activités de formation et perfectionnement. </w:t>
      </w:r>
      <w:r w:rsidRPr="003B5EA4">
        <w:rPr>
          <w:b/>
          <w:bCs/>
        </w:rPr>
        <w:t>Globalement, ce bilan marque une évolution positive par rapport à 2004, lorsque la dernière en date des études du CCI sur les voyages avait établi que la totalité des organismes des Nations Unies, sauf l</w:t>
      </w:r>
      <w:r w:rsidR="00762E0A">
        <w:rPr>
          <w:b/>
          <w:bCs/>
        </w:rPr>
        <w:t>’</w:t>
      </w:r>
      <w:r w:rsidRPr="003B5EA4">
        <w:rPr>
          <w:b/>
          <w:bCs/>
        </w:rPr>
        <w:t>UIT, finançaient le voyage en première classe de leurs chefs de secrétariat</w:t>
      </w:r>
      <w:r w:rsidRPr="003B5EA4">
        <w:rPr>
          <w:rStyle w:val="Appelnotedebasdep"/>
        </w:rPr>
        <w:footnoteReference w:id="31"/>
      </w:r>
      <w:r w:rsidRPr="003B5EA4">
        <w:rPr>
          <w:bCs/>
        </w:rPr>
        <w:t>.</w:t>
      </w:r>
    </w:p>
    <w:p w:rsidR="00950655" w:rsidRPr="003B5EA4" w:rsidRDefault="00950655" w:rsidP="00950655">
      <w:pPr>
        <w:pStyle w:val="H23G"/>
      </w:pPr>
      <w:r w:rsidRPr="003B5EA4">
        <w:tab/>
      </w:r>
      <w:r w:rsidRPr="003B5EA4">
        <w:tab/>
        <w:t>Classe affaires</w:t>
      </w:r>
    </w:p>
    <w:p w:rsidR="00950655" w:rsidRPr="003B5EA4" w:rsidRDefault="00950655" w:rsidP="00950655">
      <w:pPr>
        <w:pStyle w:val="SingleTxtG"/>
        <w:rPr>
          <w:bCs/>
        </w:rPr>
      </w:pPr>
      <w:r w:rsidRPr="003B5EA4">
        <w:t>39.</w:t>
      </w:r>
      <w:r w:rsidRPr="003B5EA4">
        <w:tab/>
        <w:t xml:space="preserve">Pour ce qui est des voyages officiels, sept entités conditionnent le droit des fonctionnaires de haut rang à la classe affaires à certains seuils : à partir de </w:t>
      </w:r>
      <w:r w:rsidR="00785DE3">
        <w:t>4 </w:t>
      </w:r>
      <w:r w:rsidRPr="003B5EA4">
        <w:t xml:space="preserve">heures de voyage au sein du même continent pour le FNUAP et le PNUD (au rang de </w:t>
      </w:r>
      <w:r w:rsidR="00785DE3">
        <w:t>s</w:t>
      </w:r>
      <w:r w:rsidRPr="003B5EA4">
        <w:t>ous-</w:t>
      </w:r>
      <w:r w:rsidR="00785DE3">
        <w:t>s</w:t>
      </w:r>
      <w:r w:rsidRPr="003B5EA4">
        <w:t>ecrétaire général)</w:t>
      </w:r>
      <w:r w:rsidRPr="003B5EA4">
        <w:rPr>
          <w:rStyle w:val="Appelnotedebasdep"/>
        </w:rPr>
        <w:footnoteReference w:id="32"/>
      </w:r>
      <w:r w:rsidRPr="003B5EA4">
        <w:t xml:space="preserve">, à partir de </w:t>
      </w:r>
      <w:r w:rsidR="00785DE3">
        <w:t>7 </w:t>
      </w:r>
      <w:r w:rsidRPr="003B5EA4">
        <w:t>heures de voyage pour l</w:t>
      </w:r>
      <w:r w:rsidR="00762E0A">
        <w:t>’</w:t>
      </w:r>
      <w:r w:rsidRPr="003B5EA4">
        <w:t xml:space="preserve">AIEA (sous le rang de </w:t>
      </w:r>
      <w:r w:rsidR="00785DE3">
        <w:t>d</w:t>
      </w:r>
      <w:r w:rsidRPr="003B5EA4">
        <w:t xml:space="preserve">irecteur général adjoint), de </w:t>
      </w:r>
      <w:r w:rsidR="00785DE3">
        <w:t>9 </w:t>
      </w:r>
      <w:r w:rsidRPr="003B5EA4">
        <w:t>heures pour l</w:t>
      </w:r>
      <w:r w:rsidR="00762E0A">
        <w:t>’</w:t>
      </w:r>
      <w:r w:rsidRPr="003B5EA4">
        <w:t>OMPI, l</w:t>
      </w:r>
      <w:r w:rsidR="00762E0A">
        <w:t>’</w:t>
      </w:r>
      <w:r w:rsidRPr="003B5EA4">
        <w:t xml:space="preserve">OMT, et le PAM (aux rangs de </w:t>
      </w:r>
      <w:r w:rsidR="00785DE3">
        <w:t>d</w:t>
      </w:r>
      <w:r w:rsidRPr="003B5EA4">
        <w:t xml:space="preserve">irecteur général adjoint et de </w:t>
      </w:r>
      <w:r w:rsidR="00785DE3">
        <w:t>s</w:t>
      </w:r>
      <w:r w:rsidRPr="003B5EA4">
        <w:t>ous-</w:t>
      </w:r>
      <w:r w:rsidR="00785DE3">
        <w:t>d</w:t>
      </w:r>
      <w:r w:rsidRPr="003B5EA4">
        <w:t xml:space="preserve">irecteur général) et de 12 heures pour la FAO. </w:t>
      </w:r>
      <w:r w:rsidRPr="003B5EA4">
        <w:rPr>
          <w:bCs/>
        </w:rPr>
        <w:t xml:space="preserve">Il est à noter par ailleurs que la classe économique est de règle au PNUD pour tout voyage de moins de </w:t>
      </w:r>
      <w:r w:rsidR="00785DE3">
        <w:rPr>
          <w:bCs/>
        </w:rPr>
        <w:t>4 </w:t>
      </w:r>
      <w:r w:rsidRPr="003B5EA4">
        <w:rPr>
          <w:bCs/>
        </w:rPr>
        <w:t>heures au sein du même continent, tous rangs confondus.</w:t>
      </w:r>
    </w:p>
    <w:p w:rsidR="00CC7F82" w:rsidRPr="003B5EA4" w:rsidRDefault="00CC7F82" w:rsidP="00950655">
      <w:pPr>
        <w:pStyle w:val="SingleTxtG"/>
        <w:rPr>
          <w:bCs/>
        </w:rPr>
      </w:pPr>
      <w:r w:rsidRPr="003B5EA4">
        <w:rPr>
          <w:bCs/>
        </w:rPr>
        <w:t>40.</w:t>
      </w:r>
      <w:r w:rsidRPr="003B5EA4">
        <w:rPr>
          <w:bCs/>
        </w:rPr>
        <w:tab/>
      </w:r>
      <w:r w:rsidR="009B6C5C" w:rsidRPr="003B5EA4">
        <w:rPr>
          <w:bCs/>
        </w:rPr>
        <w:t>Pour ce qui est des voyages statutaires, les seuils ouvrant droit à la classe affaires varient selon l</w:t>
      </w:r>
      <w:r w:rsidR="00762E0A">
        <w:rPr>
          <w:bCs/>
        </w:rPr>
        <w:t>’</w:t>
      </w:r>
      <w:r w:rsidR="009B6C5C" w:rsidRPr="003B5EA4">
        <w:rPr>
          <w:bCs/>
        </w:rPr>
        <w:t>organisation et la catégorie de voyage (voir l</w:t>
      </w:r>
      <w:r w:rsidR="00762E0A">
        <w:rPr>
          <w:bCs/>
        </w:rPr>
        <w:t>’</w:t>
      </w:r>
      <w:r w:rsidR="009B6C5C" w:rsidRPr="003B5EA4">
        <w:rPr>
          <w:bCs/>
        </w:rPr>
        <w:t>annexe III pour de plus amples précisions) :</w:t>
      </w:r>
    </w:p>
    <w:p w:rsidR="009B6C5C" w:rsidRPr="003B5EA4" w:rsidRDefault="009B6C5C" w:rsidP="00395EAD">
      <w:pPr>
        <w:pStyle w:val="Bullet1G"/>
      </w:pPr>
      <w:r w:rsidRPr="003B5EA4">
        <w:t>En cas de nomination, de changement de lieu d</w:t>
      </w:r>
      <w:r w:rsidR="00762E0A">
        <w:t>’</w:t>
      </w:r>
      <w:r w:rsidRPr="003B5EA4">
        <w:t xml:space="preserve">affectation, de rapatriement et cessation de service, de congé dans les foyers et de visite familiale, le droit à la classe affaires, sans égard à la longueur du voyage, est la norme dans 13 organismes, dont </w:t>
      </w:r>
      <w:r w:rsidR="00555104">
        <w:t>9</w:t>
      </w:r>
      <w:r w:rsidRPr="003B5EA4">
        <w:t xml:space="preserve"> l</w:t>
      </w:r>
      <w:r w:rsidR="00762E0A">
        <w:t>’</w:t>
      </w:r>
      <w:r w:rsidRPr="003B5EA4">
        <w:t>étendent également aux évacuations et aux voyages effectués pour des raisons sanitaires, de sûreté et de sécurité</w:t>
      </w:r>
      <w:r w:rsidR="00395EAD" w:rsidRPr="003B5EA4">
        <w:t> ;</w:t>
      </w:r>
    </w:p>
    <w:p w:rsidR="009B6C5C" w:rsidRPr="003B5EA4" w:rsidRDefault="009B6C5C" w:rsidP="00395EAD">
      <w:pPr>
        <w:pStyle w:val="Bullet1G"/>
      </w:pPr>
      <w:r w:rsidRPr="003B5EA4">
        <w:t xml:space="preserve">Dans le cas du voyage au titre des études, la classe économique est la norme en vigueur dans 19 organismes, tandis que </w:t>
      </w:r>
      <w:r w:rsidR="00555104">
        <w:t>4</w:t>
      </w:r>
      <w:r w:rsidR="00395EAD" w:rsidRPr="003B5EA4">
        <w:t xml:space="preserve"> octroient la classe affaires ;</w:t>
      </w:r>
    </w:p>
    <w:p w:rsidR="009B6C5C" w:rsidRPr="003B5EA4" w:rsidRDefault="009B6C5C" w:rsidP="00395EAD">
      <w:pPr>
        <w:pStyle w:val="Bullet1G"/>
      </w:pPr>
      <w:r w:rsidRPr="003B5EA4">
        <w:t>Lorsque le voyage est effectué aux fins d</w:t>
      </w:r>
      <w:r w:rsidR="00762E0A">
        <w:t>’</w:t>
      </w:r>
      <w:r w:rsidRPr="003B5EA4">
        <w:t xml:space="preserve">activités de formation et de perfectionnement, 10 organismes appliquent la classe affaires sans égard à la durée du voyage, et </w:t>
      </w:r>
      <w:r w:rsidR="00555104">
        <w:t>8</w:t>
      </w:r>
      <w:r w:rsidRPr="003B5EA4">
        <w:t xml:space="preserve"> a</w:t>
      </w:r>
      <w:r w:rsidR="00395EAD" w:rsidRPr="003B5EA4">
        <w:t>ppliquent la classe économique ;</w:t>
      </w:r>
    </w:p>
    <w:p w:rsidR="009B6C5C" w:rsidRPr="003B5EA4" w:rsidRDefault="009B6C5C" w:rsidP="00395EAD">
      <w:pPr>
        <w:pStyle w:val="Bullet1G"/>
      </w:pPr>
      <w:r w:rsidRPr="003B5EA4">
        <w:lastRenderedPageBreak/>
        <w:t>Cinq organismes (AIEA, OMI, OMS, OMT et ONUSIDA) limitent les conditions de voyage en avion à la classe économique pour tous les voyages statutaires des fonctionnaires de haut rang</w:t>
      </w:r>
      <w:r w:rsidR="00395EAD" w:rsidRPr="003B5EA4">
        <w:t> ;</w:t>
      </w:r>
    </w:p>
    <w:p w:rsidR="009B6C5C" w:rsidRPr="003B5EA4" w:rsidRDefault="009B6C5C" w:rsidP="00395EAD">
      <w:pPr>
        <w:pStyle w:val="Bullet1G"/>
      </w:pPr>
      <w:r w:rsidRPr="003B5EA4">
        <w:t>Deux agences qui ont leur siège à Rome (FAO et PAM) n</w:t>
      </w:r>
      <w:r w:rsidR="00762E0A">
        <w:t>’</w:t>
      </w:r>
      <w:r w:rsidRPr="003B5EA4">
        <w:t>appliquent la classe affaires qu</w:t>
      </w:r>
      <w:r w:rsidR="00762E0A">
        <w:t>’</w:t>
      </w:r>
      <w:r w:rsidRPr="003B5EA4">
        <w:t xml:space="preserve">à partir de seuils respectivement fixés à 9 heures et 12 heures, pour des voyages relevant respectivement de </w:t>
      </w:r>
      <w:r w:rsidR="00A37C58">
        <w:t>7</w:t>
      </w:r>
      <w:r w:rsidRPr="003B5EA4">
        <w:t xml:space="preserve"> et </w:t>
      </w:r>
      <w:r w:rsidR="00A37C58">
        <w:t>6</w:t>
      </w:r>
      <w:r w:rsidRPr="003B5EA4">
        <w:t xml:space="preserve"> catégories.</w:t>
      </w:r>
    </w:p>
    <w:p w:rsidR="00395EAD" w:rsidRPr="003B5EA4" w:rsidRDefault="00395EAD" w:rsidP="00395EAD">
      <w:pPr>
        <w:pStyle w:val="SingleTxtG"/>
      </w:pPr>
      <w:r w:rsidRPr="003B5EA4">
        <w:t>41.</w:t>
      </w:r>
      <w:r w:rsidRPr="003B5EA4">
        <w:tab/>
        <w:t>À titre de comparaison, des entités ne relevant pas des Nations Unies comme le Fonds monétaire international et le Groupe de la Banque mondiale n</w:t>
      </w:r>
      <w:r w:rsidR="00762E0A">
        <w:t>’</w:t>
      </w:r>
      <w:r w:rsidRPr="003B5EA4">
        <w:t>autorisent le voyage en première que pour des raisons médicales, moyennant vérification médicale. La BID n</w:t>
      </w:r>
      <w:r w:rsidR="00762E0A">
        <w:t>’</w:t>
      </w:r>
      <w:r w:rsidRPr="003B5EA4">
        <w:t>autorise la première classe pour les voyages de son personnel de direction que lorsque la classe affaires n</w:t>
      </w:r>
      <w:r w:rsidR="00762E0A">
        <w:t>’</w:t>
      </w:r>
      <w:r w:rsidRPr="003B5EA4">
        <w:t>est pas disponible. L</w:t>
      </w:r>
      <w:r w:rsidR="00762E0A">
        <w:t>’</w:t>
      </w:r>
      <w:r w:rsidRPr="003B5EA4">
        <w:t>Alliance GAVI, le Fonds mondial, l</w:t>
      </w:r>
      <w:r w:rsidR="00762E0A">
        <w:t>’</w:t>
      </w:r>
      <w:r w:rsidRPr="003B5EA4">
        <w:t>OCDE et l</w:t>
      </w:r>
      <w:r w:rsidR="00762E0A">
        <w:t>’</w:t>
      </w:r>
      <w:r w:rsidRPr="003B5EA4">
        <w:t>OIM n</w:t>
      </w:r>
      <w:r w:rsidR="00762E0A">
        <w:t>’</w:t>
      </w:r>
      <w:r w:rsidRPr="003B5EA4">
        <w:t>autorisent pas la première classe, rejoignant en cela deux des États Membres interrogés (la France et les États-Unis d</w:t>
      </w:r>
      <w:r w:rsidR="00762E0A">
        <w:t>’</w:t>
      </w:r>
      <w:r w:rsidRPr="003B5EA4">
        <w:t xml:space="preserve">Amérique). </w:t>
      </w:r>
      <w:r w:rsidRPr="003B5EA4">
        <w:rPr>
          <w:b/>
          <w:bCs/>
        </w:rPr>
        <w:t>La tendance générale à ne pas financer le voyage en première classe est, de l</w:t>
      </w:r>
      <w:r w:rsidR="00762E0A">
        <w:rPr>
          <w:b/>
          <w:bCs/>
        </w:rPr>
        <w:t>’</w:t>
      </w:r>
      <w:r w:rsidRPr="003B5EA4">
        <w:rPr>
          <w:b/>
          <w:bCs/>
        </w:rPr>
        <w:t>avis de l</w:t>
      </w:r>
      <w:r w:rsidR="00762E0A">
        <w:rPr>
          <w:b/>
          <w:bCs/>
        </w:rPr>
        <w:t>’</w:t>
      </w:r>
      <w:r w:rsidRPr="003B5EA4">
        <w:rPr>
          <w:b/>
          <w:bCs/>
        </w:rPr>
        <w:t>Inspectrice, une pratique recommandable</w:t>
      </w:r>
      <w:r w:rsidRPr="003B5EA4">
        <w:t>.</w:t>
      </w:r>
    </w:p>
    <w:p w:rsidR="00395EAD" w:rsidRPr="003B5EA4" w:rsidRDefault="00395EAD" w:rsidP="00395EAD">
      <w:pPr>
        <w:pStyle w:val="H23G"/>
      </w:pPr>
      <w:r w:rsidRPr="003B5EA4">
        <w:tab/>
      </w:r>
      <w:r w:rsidRPr="003B5EA4">
        <w:tab/>
        <w:t xml:space="preserve">Conditions de voyage en avion appliquées aux autres fonctionnaires </w:t>
      </w:r>
      <w:r w:rsidR="00296B6F" w:rsidRPr="003B5EA4">
        <w:br/>
      </w:r>
      <w:r w:rsidRPr="003B5EA4">
        <w:t>(de rang D-2 ou inférieur)</w:t>
      </w:r>
    </w:p>
    <w:p w:rsidR="00395EAD" w:rsidRPr="003B5EA4" w:rsidRDefault="00395EAD" w:rsidP="00395EAD">
      <w:pPr>
        <w:pStyle w:val="SingleTxtG"/>
      </w:pPr>
      <w:r w:rsidRPr="003B5EA4">
        <w:t>42.</w:t>
      </w:r>
      <w:r w:rsidRPr="003B5EA4">
        <w:tab/>
      </w:r>
      <w:r w:rsidRPr="003B5EA4">
        <w:rPr>
          <w:bCs/>
        </w:rPr>
        <w:t>L</w:t>
      </w:r>
      <w:r w:rsidR="00762E0A">
        <w:rPr>
          <w:bCs/>
        </w:rPr>
        <w:t>’</w:t>
      </w:r>
      <w:r w:rsidRPr="003B5EA4">
        <w:rPr>
          <w:bCs/>
        </w:rPr>
        <w:t>ensemble du système des Nations Unies applique au personnel de rang D-2 ou inférieur des conditions de voyage en avion inférieures à celles octroyées aux fonctionnaires de haut rang, à l</w:t>
      </w:r>
      <w:r w:rsidR="00762E0A">
        <w:rPr>
          <w:bCs/>
        </w:rPr>
        <w:t>’</w:t>
      </w:r>
      <w:r w:rsidRPr="003B5EA4">
        <w:rPr>
          <w:bCs/>
        </w:rPr>
        <w:t xml:space="preserve">exception de quatre organismes </w:t>
      </w:r>
      <w:r w:rsidR="005C5A09">
        <w:rPr>
          <w:bCs/>
        </w:rPr>
        <w:t>(</w:t>
      </w:r>
      <w:r w:rsidRPr="003B5EA4">
        <w:rPr>
          <w:bCs/>
        </w:rPr>
        <w:t>FAO, OMPI, OMT et PAM</w:t>
      </w:r>
      <w:r w:rsidR="005C5A09">
        <w:rPr>
          <w:bCs/>
        </w:rPr>
        <w:t>)</w:t>
      </w:r>
      <w:r w:rsidRPr="003B5EA4">
        <w:rPr>
          <w:bCs/>
        </w:rPr>
        <w:t>, soit le même nombre qu</w:t>
      </w:r>
      <w:r w:rsidR="00762E0A">
        <w:rPr>
          <w:bCs/>
        </w:rPr>
        <w:t>’</w:t>
      </w:r>
      <w:r w:rsidRPr="003B5EA4">
        <w:rPr>
          <w:bCs/>
        </w:rPr>
        <w:t>en 2004</w:t>
      </w:r>
      <w:r w:rsidRPr="003B5EA4">
        <w:rPr>
          <w:rStyle w:val="Appelnotedebasdep"/>
        </w:rPr>
        <w:footnoteReference w:id="33"/>
      </w:r>
      <w:r w:rsidRPr="003B5EA4">
        <w:t xml:space="preserve"> (voir </w:t>
      </w:r>
      <w:r w:rsidRPr="003B5EA4">
        <w:rPr>
          <w:bCs/>
        </w:rPr>
        <w:t>annexe IV). Dix-neuf organismes autorisent la classe affaires à partir de 9 heures de voyage</w:t>
      </w:r>
      <w:r w:rsidRPr="003B5EA4">
        <w:t xml:space="preserve"> (la classe économique étant d</w:t>
      </w:r>
      <w:r w:rsidR="00762E0A">
        <w:t>’</w:t>
      </w:r>
      <w:r w:rsidRPr="003B5EA4">
        <w:t>application pour les voyages de moins de 9 heures), tandis que l</w:t>
      </w:r>
      <w:r w:rsidR="00762E0A">
        <w:t>’</w:t>
      </w:r>
      <w:r w:rsidRPr="003B5EA4">
        <w:t>AIEA et l</w:t>
      </w:r>
      <w:r w:rsidR="00762E0A">
        <w:t>’</w:t>
      </w:r>
      <w:r w:rsidRPr="003B5EA4">
        <w:t>OMI fixent ce seuil à 7 heures, et la FAO à 12 heures. Quatre organismes continuent d</w:t>
      </w:r>
      <w:r w:rsidR="00762E0A">
        <w:t>’</w:t>
      </w:r>
      <w:r w:rsidRPr="003B5EA4">
        <w:t>autoriser les voyages en classe affaires pour les déplacements relatifs à la formation et au perfectionnement :</w:t>
      </w:r>
      <w:r w:rsidRPr="003B5EA4">
        <w:rPr>
          <w:bCs/>
        </w:rPr>
        <w:t xml:space="preserve"> l</w:t>
      </w:r>
      <w:r w:rsidR="00762E0A">
        <w:rPr>
          <w:bCs/>
        </w:rPr>
        <w:t>’</w:t>
      </w:r>
      <w:r w:rsidRPr="003B5EA4">
        <w:rPr>
          <w:bCs/>
        </w:rPr>
        <w:t>OIT, l</w:t>
      </w:r>
      <w:r w:rsidR="00762E0A">
        <w:rPr>
          <w:bCs/>
        </w:rPr>
        <w:t>’</w:t>
      </w:r>
      <w:r w:rsidRPr="003B5EA4">
        <w:rPr>
          <w:bCs/>
        </w:rPr>
        <w:t xml:space="preserve">OMPI et </w:t>
      </w:r>
      <w:r w:rsidRPr="003B5EA4">
        <w:t>l</w:t>
      </w:r>
      <w:r w:rsidR="00762E0A">
        <w:t>’</w:t>
      </w:r>
      <w:r w:rsidRPr="003B5EA4">
        <w:rPr>
          <w:bCs/>
        </w:rPr>
        <w:t>ONUDI à partir de 9 heures de vol et l</w:t>
      </w:r>
      <w:r w:rsidR="00762E0A">
        <w:rPr>
          <w:bCs/>
        </w:rPr>
        <w:t>’</w:t>
      </w:r>
      <w:r w:rsidRPr="003B5EA4">
        <w:rPr>
          <w:bCs/>
        </w:rPr>
        <w:t>OMI à partir de 7 heures de vol.</w:t>
      </w:r>
      <w:r w:rsidRPr="003B5EA4">
        <w:t xml:space="preserve"> L</w:t>
      </w:r>
      <w:r w:rsidR="00762E0A">
        <w:t>’</w:t>
      </w:r>
      <w:r w:rsidRPr="003B5EA4">
        <w:t>ONUSIDA octroie la classe économique « premium » à partir de 12 heures. L</w:t>
      </w:r>
      <w:r w:rsidR="00762E0A">
        <w:t>’</w:t>
      </w:r>
      <w:r w:rsidRPr="003B5EA4">
        <w:t>UPU prescrit la classe économique quelle que soit la durée du voyage, et l</w:t>
      </w:r>
      <w:r w:rsidR="00762E0A">
        <w:t>’</w:t>
      </w:r>
      <w:r w:rsidRPr="003B5EA4">
        <w:t>UNESCO a abandonné la classe affaires depuis 2012, à une exception près</w:t>
      </w:r>
      <w:r w:rsidRPr="003B5EA4">
        <w:rPr>
          <w:rStyle w:val="Appelnotedebasdep"/>
        </w:rPr>
        <w:footnoteReference w:id="34"/>
      </w:r>
      <w:r w:rsidRPr="003B5EA4">
        <w:t>.</w:t>
      </w:r>
    </w:p>
    <w:p w:rsidR="00395EAD" w:rsidRPr="003B5EA4" w:rsidRDefault="00395EAD" w:rsidP="00395EAD">
      <w:pPr>
        <w:pStyle w:val="SingleTxtG"/>
      </w:pPr>
      <w:r w:rsidRPr="003B5EA4">
        <w:t>43.</w:t>
      </w:r>
      <w:r w:rsidRPr="003B5EA4">
        <w:tab/>
        <w:t>En ce qui concerne les voyages statutaires, le seuil ouvrant droit à la classe affaires diffère selon l</w:t>
      </w:r>
      <w:r w:rsidR="00762E0A">
        <w:t>’</w:t>
      </w:r>
      <w:r w:rsidRPr="003B5EA4">
        <w:t>organisme et la catégorie de voyage (voir l</w:t>
      </w:r>
      <w:r w:rsidR="00762E0A">
        <w:t>’</w:t>
      </w:r>
      <w:r w:rsidRPr="003B5EA4">
        <w:t>annexe IV pour plus de précisions)</w:t>
      </w:r>
      <w:r w:rsidR="00CE289E" w:rsidRPr="003B5EA4">
        <w:t> :</w:t>
      </w:r>
    </w:p>
    <w:p w:rsidR="009B6C5C" w:rsidRPr="003B5EA4" w:rsidRDefault="00CE289E" w:rsidP="00CE289E">
      <w:pPr>
        <w:pStyle w:val="Bullet1G"/>
      </w:pPr>
      <w:r w:rsidRPr="003B5EA4">
        <w:t>En cas de nomination, de changement de lieu d</w:t>
      </w:r>
      <w:r w:rsidR="00762E0A">
        <w:t>’</w:t>
      </w:r>
      <w:r w:rsidRPr="003B5EA4">
        <w:t>affectation et de rapatriement et cessation de service, 17 organis</w:t>
      </w:r>
      <w:r w:rsidR="00B72C78">
        <w:t>me</w:t>
      </w:r>
      <w:r w:rsidRPr="003B5EA4">
        <w:t>s appliquent la classe affaires à partir de 9 heures de voyage (sauf dans deux cas). La FAO l</w:t>
      </w:r>
      <w:r w:rsidR="00762E0A">
        <w:t>’</w:t>
      </w:r>
      <w:r w:rsidRPr="003B5EA4">
        <w:t>octroie quant à elle à partir de 12 heures, et sept organismes s</w:t>
      </w:r>
      <w:r w:rsidR="00762E0A">
        <w:t>’</w:t>
      </w:r>
      <w:r w:rsidRPr="003B5EA4">
        <w:t>en tiennent à la classe économique, peu importe la durée de voyage ;</w:t>
      </w:r>
    </w:p>
    <w:p w:rsidR="00CE289E" w:rsidRPr="003B5EA4" w:rsidRDefault="00CE289E" w:rsidP="00CE289E">
      <w:pPr>
        <w:pStyle w:val="Bullet1G"/>
      </w:pPr>
      <w:r w:rsidRPr="003B5EA4">
        <w:t>En cas d</w:t>
      </w:r>
      <w:r w:rsidR="00762E0A">
        <w:t>’</w:t>
      </w:r>
      <w:r w:rsidRPr="003B5EA4">
        <w:t xml:space="preserve">évacuation, </w:t>
      </w:r>
      <w:r w:rsidR="005C5A09">
        <w:t>8</w:t>
      </w:r>
      <w:r w:rsidR="00147180">
        <w:t> </w:t>
      </w:r>
      <w:r w:rsidRPr="003B5EA4">
        <w:t xml:space="preserve">organismes réservent la classe affaires aux voyages comptant 9 heures ou plus. À la FAO, il faut que le voyage compte plus de 12 heures, tandis que </w:t>
      </w:r>
      <w:r w:rsidR="00147180">
        <w:t>8 </w:t>
      </w:r>
      <w:r w:rsidRPr="003B5EA4">
        <w:t>organismes appliquent la classe économique à tous les voyages, sans considération de leur durée ;</w:t>
      </w:r>
    </w:p>
    <w:p w:rsidR="00CE289E" w:rsidRPr="003B5EA4" w:rsidRDefault="00CE289E" w:rsidP="00CE289E">
      <w:pPr>
        <w:pStyle w:val="Bullet1G"/>
      </w:pPr>
      <w:r w:rsidRPr="003B5EA4">
        <w:t>Dans le cas de cinq autres catégories de voyages statutaires − raisons médicales, de sûreté et de sécurité, formation et perfectionnement, congé dans les foyers, visite familiale, et études −</w:t>
      </w:r>
      <w:r w:rsidRPr="003B5EA4" w:rsidDel="009F1F28">
        <w:t xml:space="preserve"> </w:t>
      </w:r>
      <w:r w:rsidRPr="003B5EA4">
        <w:t>la classe économique est la norme dans 19 organismes, tandis que la classe affaires est appliquée à certaines catégories de voyages par 8 organismes, à des seuils différents.</w:t>
      </w:r>
    </w:p>
    <w:p w:rsidR="00CE289E" w:rsidRPr="003B5EA4" w:rsidRDefault="00CE289E" w:rsidP="00CE289E">
      <w:pPr>
        <w:pStyle w:val="SingleTxtG"/>
      </w:pPr>
      <w:r w:rsidRPr="003B5EA4">
        <w:t>44.</w:t>
      </w:r>
      <w:r w:rsidRPr="003B5EA4">
        <w:tab/>
        <w:t>Certains fonctionnaires du Secrétariat de l</w:t>
      </w:r>
      <w:r w:rsidR="00762E0A">
        <w:t>’</w:t>
      </w:r>
      <w:r w:rsidRPr="003B5EA4">
        <w:t>ONU interrogés dans le cadre du présent examen ont exprimé leur préoccupation face à l</w:t>
      </w:r>
      <w:r w:rsidR="000F3274">
        <w:t>a complexité de la plus récente</w:t>
      </w:r>
      <w:r w:rsidRPr="003B5EA4">
        <w:t xml:space="preserve"> des instructions administratives relative aux voyages et à la charge administrative </w:t>
      </w:r>
      <w:r w:rsidRPr="003B5EA4">
        <w:lastRenderedPageBreak/>
        <w:t>supplémentaire qu</w:t>
      </w:r>
      <w:r w:rsidR="00762E0A">
        <w:t>’</w:t>
      </w:r>
      <w:r w:rsidRPr="003B5EA4">
        <w:t>elle fait peser sur la détermination des conditions de voyage en avion et la sélection des vols. Selon cette politique, les fonctionnaires de rang inférieur à celui de sous-secrétaire général voyagent dans la classe immédiatement inférieure à la première classe pour tout vol sans escale d</w:t>
      </w:r>
      <w:r w:rsidR="00762E0A">
        <w:t>’</w:t>
      </w:r>
      <w:r w:rsidRPr="003B5EA4">
        <w:t>une durée égale ou supérieure à 9 heures ou pour tout vol à escales multiples d</w:t>
      </w:r>
      <w:r w:rsidR="00762E0A">
        <w:t>’</w:t>
      </w:r>
      <w:r w:rsidRPr="003B5EA4">
        <w:t>une durée totale égale ou supérieure à 11 heures, dont au moins 2 heures de correspondance, à condition que le voyage jusqu</w:t>
      </w:r>
      <w:r w:rsidR="00762E0A">
        <w:t>’</w:t>
      </w:r>
      <w:r w:rsidRPr="003B5EA4">
        <w:t>à la destination suivante reprenne dans les 12 heures</w:t>
      </w:r>
      <w:r w:rsidRPr="003B5EA4">
        <w:rPr>
          <w:rStyle w:val="Appelnotedebasdep"/>
        </w:rPr>
        <w:footnoteReference w:id="35"/>
      </w:r>
      <w:r w:rsidRPr="003B5EA4">
        <w:t>. La politique prescrit également que l</w:t>
      </w:r>
      <w:r w:rsidR="00762E0A">
        <w:t>’</w:t>
      </w:r>
      <w:r w:rsidRPr="003B5EA4">
        <w:t>itinéraire normal pour tout voyage autorisé est l</w:t>
      </w:r>
      <w:r w:rsidR="00762E0A">
        <w:t>’</w:t>
      </w:r>
      <w:r w:rsidRPr="003B5EA4">
        <w:t>itinéraire le plus économique qui soit disponible, sous réserve que le temps supplémentaire en résultant pour l</w:t>
      </w:r>
      <w:r w:rsidR="00762E0A">
        <w:t>’</w:t>
      </w:r>
      <w:r w:rsidRPr="003B5EA4">
        <w:t>ensemble du voyage par rapport à l</w:t>
      </w:r>
      <w:r w:rsidR="00762E0A">
        <w:t>’</w:t>
      </w:r>
      <w:r w:rsidRPr="003B5EA4">
        <w:t>itinéraire le plus direct n</w:t>
      </w:r>
      <w:r w:rsidR="00762E0A">
        <w:t>’</w:t>
      </w:r>
      <w:r w:rsidRPr="003B5EA4">
        <w:t>excède pas quatre heures</w:t>
      </w:r>
      <w:r w:rsidRPr="003B5EA4">
        <w:rPr>
          <w:rStyle w:val="Appelnotedebasdep"/>
        </w:rPr>
        <w:footnoteReference w:id="36"/>
      </w:r>
      <w:r w:rsidRPr="003B5EA4">
        <w:t>.</w:t>
      </w:r>
    </w:p>
    <w:p w:rsidR="00CE289E" w:rsidRPr="003B5EA4" w:rsidRDefault="00CE289E" w:rsidP="00CE289E">
      <w:pPr>
        <w:pStyle w:val="SingleTxtG"/>
      </w:pPr>
      <w:r w:rsidRPr="003B5EA4">
        <w:t>45.</w:t>
      </w:r>
      <w:r w:rsidRPr="003B5EA4">
        <w:tab/>
        <w:t>Il a également été relevé par des fonctionnaires interrogés que cette politique pouvait conduire à une augmentation du nombre d</w:t>
      </w:r>
      <w:r w:rsidR="00762E0A">
        <w:t>’</w:t>
      </w:r>
      <w:r w:rsidRPr="003B5EA4">
        <w:t>escales, exposant ainsi les voyageur</w:t>
      </w:r>
      <w:r w:rsidR="00353607">
        <w:t>s</w:t>
      </w:r>
      <w:r w:rsidRPr="003B5EA4">
        <w:t xml:space="preserve"> à des risques accrus, notamment en matière de sûreté. Elle pouvait également augmenter le temps de voyage total, avec ce que cela pouvait avoir comme effet négatif sur la productivité et le bien-être des intéressés. De fait, par la stricte application des dispositions susmentionnées, l</w:t>
      </w:r>
      <w:r w:rsidR="00762E0A">
        <w:t>’</w:t>
      </w:r>
      <w:r w:rsidRPr="003B5EA4">
        <w:t>organisateur du voyage peut se trouver contraint de sélectionner à l</w:t>
      </w:r>
      <w:r w:rsidR="00762E0A">
        <w:t>’</w:t>
      </w:r>
      <w:r w:rsidRPr="003B5EA4">
        <w:t>intention du fonctionnaire un vol jusqu</w:t>
      </w:r>
      <w:r w:rsidR="00762E0A">
        <w:t>’</w:t>
      </w:r>
      <w:r w:rsidRPr="003B5EA4">
        <w:t>à quatre heures plus long que le vol le plus direct du simple fait qu</w:t>
      </w:r>
      <w:r w:rsidR="00762E0A">
        <w:t>’</w:t>
      </w:r>
      <w:r w:rsidRPr="003B5EA4">
        <w:t>il représente une économie de quelques dollars. La politique de l</w:t>
      </w:r>
      <w:r w:rsidR="00762E0A">
        <w:t>’</w:t>
      </w:r>
      <w:r w:rsidRPr="003B5EA4">
        <w:t>OIT à cet égard représente une bonne pratique en ce qu</w:t>
      </w:r>
      <w:r w:rsidR="00762E0A">
        <w:t>’</w:t>
      </w:r>
      <w:r w:rsidRPr="003B5EA4">
        <w:t>elle dispose que l</w:t>
      </w:r>
      <w:r w:rsidR="00762E0A">
        <w:t>’</w:t>
      </w:r>
      <w:r w:rsidRPr="003B5EA4">
        <w:t>itinéraire le plus économique ne peut être préféré au plus direct que si le plus direct est d</w:t>
      </w:r>
      <w:r w:rsidR="00762E0A">
        <w:t>’</w:t>
      </w:r>
      <w:r w:rsidRPr="003B5EA4">
        <w:t>au moins 25 % plus cher et que le plus économique n</w:t>
      </w:r>
      <w:r w:rsidR="00762E0A">
        <w:t>’</w:t>
      </w:r>
      <w:r w:rsidRPr="003B5EA4">
        <w:t>ajoute pas plus de quatre heures au voyage</w:t>
      </w:r>
      <w:r w:rsidRPr="003B5EA4">
        <w:rPr>
          <w:rStyle w:val="Appelnotedebasdep"/>
        </w:rPr>
        <w:footnoteReference w:id="37"/>
      </w:r>
      <w:r w:rsidRPr="003B5EA4">
        <w:t>. À l</w:t>
      </w:r>
      <w:r w:rsidR="00762E0A">
        <w:t>’</w:t>
      </w:r>
      <w:r w:rsidRPr="003B5EA4">
        <w:t>AIEA, un vol sans escale qui n</w:t>
      </w:r>
      <w:r w:rsidR="00762E0A">
        <w:t>’</w:t>
      </w:r>
      <w:r w:rsidRPr="003B5EA4">
        <w:t>emprunte pas l</w:t>
      </w:r>
      <w:r w:rsidR="00762E0A">
        <w:t>’</w:t>
      </w:r>
      <w:r w:rsidRPr="003B5EA4">
        <w:t>itinéraire le plus direct peut être choisi s</w:t>
      </w:r>
      <w:r w:rsidR="00762E0A">
        <w:t>’</w:t>
      </w:r>
      <w:r w:rsidRPr="003B5EA4">
        <w:t>il permet une économie d</w:t>
      </w:r>
      <w:r w:rsidR="00762E0A">
        <w:t>’</w:t>
      </w:r>
      <w:r w:rsidRPr="003B5EA4">
        <w:t xml:space="preserve">au moins 200 euros et si sa durée totale, aller retour, ne dépasse pas de plus de </w:t>
      </w:r>
      <w:r w:rsidR="00712FB8">
        <w:t>deux</w:t>
      </w:r>
      <w:r w:rsidRPr="003B5EA4">
        <w:t> heures celle de l</w:t>
      </w:r>
      <w:r w:rsidR="00762E0A">
        <w:t>’</w:t>
      </w:r>
      <w:r w:rsidRPr="003B5EA4">
        <w:t>itinéraire le plus direct. De même, un vol comprenant une escale peut être retenu s</w:t>
      </w:r>
      <w:r w:rsidR="00762E0A">
        <w:t>’</w:t>
      </w:r>
      <w:r w:rsidRPr="003B5EA4">
        <w:t>il permet une économie d</w:t>
      </w:r>
      <w:r w:rsidR="00762E0A">
        <w:t>’</w:t>
      </w:r>
      <w:r w:rsidRPr="003B5EA4">
        <w:t xml:space="preserve">au moins 1 000 euros et si sa durée totale, aller et retour, ne dépasse pas de plus de </w:t>
      </w:r>
      <w:r w:rsidR="00712FB8">
        <w:t>huit</w:t>
      </w:r>
      <w:r w:rsidRPr="003B5EA4">
        <w:t> heures celle de l</w:t>
      </w:r>
      <w:r w:rsidR="00762E0A">
        <w:t>’</w:t>
      </w:r>
      <w:r w:rsidRPr="003B5EA4">
        <w:t>itinéraire le plus direct</w:t>
      </w:r>
      <w:r w:rsidRPr="003B5EA4">
        <w:rPr>
          <w:rStyle w:val="Appelnotedebasdep"/>
        </w:rPr>
        <w:footnoteReference w:id="38"/>
      </w:r>
      <w:r w:rsidRPr="003B5EA4">
        <w:t>. L</w:t>
      </w:r>
      <w:r w:rsidR="00762E0A">
        <w:t>’</w:t>
      </w:r>
      <w:r w:rsidRPr="003B5EA4">
        <w:t>OACI</w:t>
      </w:r>
      <w:r w:rsidRPr="003B5EA4">
        <w:rPr>
          <w:rStyle w:val="Appelnotedebasdep"/>
        </w:rPr>
        <w:footnoteReference w:id="39"/>
      </w:r>
      <w:r w:rsidRPr="003B5EA4">
        <w:t xml:space="preserve"> et le PAM</w:t>
      </w:r>
      <w:r w:rsidRPr="003B5EA4">
        <w:rPr>
          <w:rStyle w:val="Appelnotedebasdep"/>
        </w:rPr>
        <w:footnoteReference w:id="40"/>
      </w:r>
      <w:r w:rsidRPr="003B5EA4">
        <w:t xml:space="preserve"> retiennent l</w:t>
      </w:r>
      <w:r w:rsidR="00762E0A">
        <w:t>’</w:t>
      </w:r>
      <w:r w:rsidRPr="003B5EA4">
        <w:t>itinéraire le plus direct sans qu</w:t>
      </w:r>
      <w:r w:rsidR="00762E0A">
        <w:t>’</w:t>
      </w:r>
      <w:r w:rsidRPr="003B5EA4">
        <w:t>il ne soit question de conditions.</w:t>
      </w:r>
    </w:p>
    <w:p w:rsidR="00CE289E" w:rsidRPr="003B5EA4" w:rsidRDefault="00CE289E" w:rsidP="00CE289E">
      <w:pPr>
        <w:pStyle w:val="SingleTxtG"/>
        <w:rPr>
          <w:bCs/>
        </w:rPr>
      </w:pPr>
      <w:r w:rsidRPr="003B5EA4">
        <w:t>46.</w:t>
      </w:r>
      <w:r w:rsidRPr="003B5EA4">
        <w:tab/>
      </w:r>
      <w:r w:rsidRPr="003B5EA4">
        <w:rPr>
          <w:bCs/>
        </w:rPr>
        <w:t>Compte tenu de l</w:t>
      </w:r>
      <w:r w:rsidR="00762E0A">
        <w:rPr>
          <w:bCs/>
        </w:rPr>
        <w:t>’</w:t>
      </w:r>
      <w:r w:rsidRPr="003B5EA4">
        <w:rPr>
          <w:bCs/>
        </w:rPr>
        <w:t>importance de la sûreté, de la sécurité et du bien-être du fonctionnaire qui voyage, l</w:t>
      </w:r>
      <w:r w:rsidR="00762E0A">
        <w:rPr>
          <w:bCs/>
        </w:rPr>
        <w:t>’</w:t>
      </w:r>
      <w:r w:rsidRPr="003B5EA4">
        <w:rPr>
          <w:bCs/>
        </w:rPr>
        <w:t>Inspectrice est d</w:t>
      </w:r>
      <w:r w:rsidR="00762E0A">
        <w:rPr>
          <w:bCs/>
        </w:rPr>
        <w:t>’</w:t>
      </w:r>
      <w:r w:rsidRPr="003B5EA4">
        <w:rPr>
          <w:bCs/>
        </w:rPr>
        <w:t>avis que la mise en œuvre de la recommandation suivante permettra d</w:t>
      </w:r>
      <w:r w:rsidR="00762E0A">
        <w:rPr>
          <w:bCs/>
        </w:rPr>
        <w:t>’</w:t>
      </w:r>
      <w:r w:rsidRPr="003B5EA4">
        <w:rPr>
          <w:bCs/>
        </w:rPr>
        <w:t>administrer les voyages de façon plus efficiente, en faisant une application plus rationnelle de la politique des voyages.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E289E" w:rsidRPr="003B5EA4" w:rsidTr="0046111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CE289E" w:rsidRPr="003B5EA4" w:rsidRDefault="00CE289E" w:rsidP="0046111D"/>
        </w:tc>
      </w:tr>
      <w:tr w:rsidR="00CE289E" w:rsidRPr="003B5EA4" w:rsidTr="0046111D">
        <w:trPr>
          <w:jc w:val="center"/>
        </w:trPr>
        <w:tc>
          <w:tcPr>
            <w:tcW w:w="7653" w:type="dxa"/>
            <w:tcBorders>
              <w:left w:val="single" w:sz="4" w:space="0" w:color="auto"/>
              <w:bottom w:val="nil"/>
              <w:right w:val="single" w:sz="4" w:space="0" w:color="auto"/>
            </w:tcBorders>
            <w:shd w:val="clear" w:color="auto" w:fill="auto"/>
          </w:tcPr>
          <w:p w:rsidR="00CE289E" w:rsidRPr="003B5EA4" w:rsidRDefault="00CE289E" w:rsidP="0046111D">
            <w:pPr>
              <w:spacing w:after="120"/>
              <w:jc w:val="both"/>
            </w:pPr>
            <w:r w:rsidRPr="003B5EA4">
              <w:rPr>
                <w:b/>
                <w:bCs/>
              </w:rPr>
              <w:t>Recommandation 1</w:t>
            </w:r>
          </w:p>
        </w:tc>
      </w:tr>
      <w:tr w:rsidR="00CE289E" w:rsidRPr="003B5EA4" w:rsidTr="0046111D">
        <w:trPr>
          <w:jc w:val="center"/>
        </w:trPr>
        <w:tc>
          <w:tcPr>
            <w:tcW w:w="7653" w:type="dxa"/>
            <w:tcBorders>
              <w:left w:val="single" w:sz="4" w:space="0" w:color="auto"/>
              <w:bottom w:val="nil"/>
              <w:right w:val="single" w:sz="4" w:space="0" w:color="auto"/>
            </w:tcBorders>
            <w:shd w:val="clear" w:color="auto" w:fill="auto"/>
          </w:tcPr>
          <w:p w:rsidR="00CE289E" w:rsidRPr="003B5EA4" w:rsidRDefault="00CE289E" w:rsidP="00CE289E">
            <w:pPr>
              <w:spacing w:after="120"/>
              <w:ind w:firstLine="567"/>
              <w:jc w:val="both"/>
            </w:pPr>
            <w:r w:rsidRPr="003B5EA4">
              <w:rPr>
                <w:b/>
              </w:rPr>
              <w:t>Les organes délibérants des organismes des Nations Unies devraient prier les chefs de secrétariat qui ne l</w:t>
            </w:r>
            <w:r w:rsidR="00762E0A">
              <w:rPr>
                <w:b/>
              </w:rPr>
              <w:t>’</w:t>
            </w:r>
            <w:r w:rsidRPr="003B5EA4">
              <w:rPr>
                <w:b/>
              </w:rPr>
              <w:t>ont pas encore fait de fixer d</w:t>
            </w:r>
            <w:r w:rsidR="00762E0A">
              <w:rPr>
                <w:b/>
              </w:rPr>
              <w:t>’</w:t>
            </w:r>
            <w:r w:rsidRPr="003B5EA4">
              <w:rPr>
                <w:b/>
              </w:rPr>
              <w:t>ici à 2019 un seuil de coût supplémentaire cohérent, exprimé en pourcentage, au-dessous duquel l</w:t>
            </w:r>
            <w:r w:rsidR="00762E0A">
              <w:rPr>
                <w:b/>
              </w:rPr>
              <w:t>’</w:t>
            </w:r>
            <w:r w:rsidRPr="003B5EA4">
              <w:rPr>
                <w:b/>
              </w:rPr>
              <w:t>itinéraire le plus direct peut être choisi au lieu de l</w:t>
            </w:r>
            <w:r w:rsidR="00762E0A">
              <w:rPr>
                <w:b/>
              </w:rPr>
              <w:t>’</w:t>
            </w:r>
            <w:r w:rsidRPr="003B5EA4">
              <w:rPr>
                <w:b/>
              </w:rPr>
              <w:t>itinéraire le plus économique, compte tenu du seuil de durée supplémentaire au-dessous duquel l</w:t>
            </w:r>
            <w:r w:rsidR="00762E0A">
              <w:rPr>
                <w:b/>
              </w:rPr>
              <w:t>’</w:t>
            </w:r>
            <w:r w:rsidRPr="003B5EA4">
              <w:rPr>
                <w:b/>
              </w:rPr>
              <w:t>itinéraire le plus économique se justifierait au regard de la politique des voyages de chaque organisme.</w:t>
            </w:r>
          </w:p>
        </w:tc>
      </w:tr>
      <w:tr w:rsidR="00CE289E" w:rsidRPr="003B5EA4" w:rsidTr="0046111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CE289E" w:rsidRPr="003B5EA4" w:rsidRDefault="00CE289E" w:rsidP="0046111D"/>
        </w:tc>
      </w:tr>
    </w:tbl>
    <w:p w:rsidR="00CE289E" w:rsidRPr="003B5EA4" w:rsidRDefault="00D8747D" w:rsidP="00D8747D">
      <w:pPr>
        <w:pStyle w:val="SingleTxtG"/>
        <w:spacing w:before="120"/>
      </w:pPr>
      <w:r w:rsidRPr="003B5EA4">
        <w:t>47.</w:t>
      </w:r>
      <w:r w:rsidRPr="003B5EA4">
        <w:tab/>
        <w:t>Il ressort des réponses reçues que certains organismes des Nations Unies ont entrepris d</w:t>
      </w:r>
      <w:r w:rsidR="00762E0A">
        <w:t>’</w:t>
      </w:r>
      <w:r w:rsidRPr="003B5EA4">
        <w:t>importantes mises à jour et réformes de leurs politiques en matière de voyages au fil des ans, modifiant notamment leurs conditions de voyage en avion afin de réaliser des gains d</w:t>
      </w:r>
      <w:r w:rsidR="00762E0A">
        <w:t>’</w:t>
      </w:r>
      <w:r w:rsidRPr="003B5EA4">
        <w:t>efficience, une plus grande harmonisation et des économies. Certains de ces changements sont présentés ci-dessous.</w:t>
      </w:r>
    </w:p>
    <w:p w:rsidR="00D8747D" w:rsidRPr="003B5EA4" w:rsidRDefault="00D8747D" w:rsidP="00CF4965">
      <w:pPr>
        <w:pStyle w:val="SingleTxtG"/>
        <w:ind w:firstLine="567"/>
        <w:rPr>
          <w:bCs/>
        </w:rPr>
      </w:pPr>
      <w:r w:rsidRPr="003B5EA4">
        <w:rPr>
          <w:bCs/>
        </w:rPr>
        <w:t>a)</w:t>
      </w:r>
      <w:r w:rsidR="001B655A" w:rsidRPr="003B5EA4">
        <w:rPr>
          <w:bCs/>
        </w:rPr>
        <w:tab/>
      </w:r>
      <w:r w:rsidRPr="003B5EA4">
        <w:rPr>
          <w:bCs/>
        </w:rPr>
        <w:t>La FAO a rapporté avoir réalisé pendant la période 2012-2013 des gains d</w:t>
      </w:r>
      <w:r w:rsidR="00762E0A">
        <w:rPr>
          <w:bCs/>
        </w:rPr>
        <w:t>’</w:t>
      </w:r>
      <w:r w:rsidRPr="003B5EA4">
        <w:rPr>
          <w:bCs/>
        </w:rPr>
        <w:t>efficience de 6,5 million</w:t>
      </w:r>
      <w:r w:rsidR="00D935B5">
        <w:rPr>
          <w:bCs/>
        </w:rPr>
        <w:t>s</w:t>
      </w:r>
      <w:r w:rsidRPr="003B5EA4">
        <w:rPr>
          <w:bCs/>
        </w:rPr>
        <w:t xml:space="preserve"> de dollars des États-Unis en prenant plusieurs dispositions relatives au voyage. Elle a notamment fait passer de 9 heures à 12 heures le seuil ouvrant droit à la classe affaires au titre des voyages officiels et de sept catégories de voyages </w:t>
      </w:r>
      <w:r w:rsidRPr="003B5EA4">
        <w:rPr>
          <w:bCs/>
        </w:rPr>
        <w:lastRenderedPageBreak/>
        <w:t>statutaires, se dotant ainsi du seuil le plus élevé parmi les entités des Nations Unies. Elle a également introduit un programme par lequel la responsabilité de la sélection des hôtels lui revient plutôt qu</w:t>
      </w:r>
      <w:r w:rsidR="00762E0A">
        <w:rPr>
          <w:bCs/>
        </w:rPr>
        <w:t>’</w:t>
      </w:r>
      <w:r w:rsidRPr="003B5EA4">
        <w:rPr>
          <w:bCs/>
        </w:rPr>
        <w:t>aux voyageurs ce qui lui permet de réaliser des économies en négociant des tarifs préférentiels</w:t>
      </w:r>
      <w:r w:rsidRPr="003B5EA4">
        <w:rPr>
          <w:rStyle w:val="Appelnotedebasdep"/>
        </w:rPr>
        <w:footnoteReference w:id="41"/>
      </w:r>
      <w:r w:rsidR="00CF4965" w:rsidRPr="003B5EA4">
        <w:rPr>
          <w:bCs/>
        </w:rPr>
        <w:t> ;</w:t>
      </w:r>
    </w:p>
    <w:p w:rsidR="00CF4965" w:rsidRPr="003B5EA4" w:rsidRDefault="00CF4965" w:rsidP="00CF4965">
      <w:pPr>
        <w:pStyle w:val="SingleTxtG"/>
        <w:ind w:firstLine="567"/>
        <w:rPr>
          <w:bCs/>
        </w:rPr>
      </w:pPr>
      <w:r w:rsidRPr="003B5EA4">
        <w:rPr>
          <w:bCs/>
        </w:rPr>
        <w:t>b)</w:t>
      </w:r>
      <w:r w:rsidRPr="003B5EA4">
        <w:rPr>
          <w:bCs/>
        </w:rPr>
        <w:tab/>
        <w:t>En 2012, l</w:t>
      </w:r>
      <w:r w:rsidR="00762E0A">
        <w:rPr>
          <w:bCs/>
        </w:rPr>
        <w:t>’</w:t>
      </w:r>
      <w:r w:rsidRPr="003B5EA4">
        <w:rPr>
          <w:bCs/>
        </w:rPr>
        <w:t xml:space="preserve">UNESCO a supprimé les voyages en classe affaires pour les voyages officiels, sauf pour les missions ne comptant pas plus de trois jours au lieu de destination et à condition que la durée du vol soit supérieur à </w:t>
      </w:r>
      <w:r w:rsidR="00DA6557">
        <w:rPr>
          <w:bCs/>
        </w:rPr>
        <w:t>neuf</w:t>
      </w:r>
      <w:r w:rsidRPr="003B5EA4">
        <w:rPr>
          <w:bCs/>
        </w:rPr>
        <w:t> heures par l</w:t>
      </w:r>
      <w:r w:rsidR="00762E0A">
        <w:rPr>
          <w:bCs/>
        </w:rPr>
        <w:t>’</w:t>
      </w:r>
      <w:r w:rsidRPr="003B5EA4">
        <w:rPr>
          <w:bCs/>
        </w:rPr>
        <w:t>itinéraire le plus direct. Dans ce cas, le voyage peut être effectué dans la classe immédiatement supérieure à la classe économique (en classe économique « premium » par exemple). Pour tous les autres déplacements, la classe économique est obligatoire</w:t>
      </w:r>
      <w:r w:rsidRPr="003B5EA4">
        <w:rPr>
          <w:rStyle w:val="Appelnotedebasdep"/>
        </w:rPr>
        <w:footnoteReference w:id="42"/>
      </w:r>
      <w:r w:rsidRPr="003B5EA4">
        <w:rPr>
          <w:bCs/>
        </w:rPr>
        <w:t> ;</w:t>
      </w:r>
    </w:p>
    <w:p w:rsidR="00CF4965" w:rsidRPr="003B5EA4" w:rsidRDefault="00CF4965" w:rsidP="00CF4965">
      <w:pPr>
        <w:pStyle w:val="SingleTxtG"/>
        <w:ind w:firstLine="567"/>
        <w:rPr>
          <w:bCs/>
        </w:rPr>
      </w:pPr>
      <w:r w:rsidRPr="003B5EA4">
        <w:rPr>
          <w:bCs/>
        </w:rPr>
        <w:t>c)</w:t>
      </w:r>
      <w:r w:rsidRPr="003B5EA4">
        <w:rPr>
          <w:bCs/>
        </w:rPr>
        <w:tab/>
        <w:t xml:space="preserve">En 2012, le PAM a revu à la baisse les conditions de voyage en avion applicables aux rangs de secrétaire général adjoint et de sous-secrétaire général, les ramenant au niveau de tous les autres fonctionnaires (classe économique et seuil de </w:t>
      </w:r>
      <w:r w:rsidR="00613594">
        <w:rPr>
          <w:bCs/>
        </w:rPr>
        <w:t>neuf</w:t>
      </w:r>
      <w:r w:rsidRPr="003B5EA4">
        <w:rPr>
          <w:bCs/>
        </w:rPr>
        <w:t> heures ouvrant droit à la classe affaires). En 2017, il a supprimé l</w:t>
      </w:r>
      <w:r w:rsidR="00762E0A">
        <w:rPr>
          <w:bCs/>
        </w:rPr>
        <w:t>’</w:t>
      </w:r>
      <w:r w:rsidRPr="003B5EA4">
        <w:rPr>
          <w:bCs/>
        </w:rPr>
        <w:t>indemnité journalière de subsistance payée au titre d</w:t>
      </w:r>
      <w:r w:rsidR="00762E0A">
        <w:rPr>
          <w:bCs/>
        </w:rPr>
        <w:t>’</w:t>
      </w:r>
      <w:r w:rsidRPr="003B5EA4">
        <w:rPr>
          <w:bCs/>
        </w:rPr>
        <w:t>un voyage de nuit, a supprimé les faux frais au départ et à l</w:t>
      </w:r>
      <w:r w:rsidR="00762E0A">
        <w:rPr>
          <w:bCs/>
        </w:rPr>
        <w:t>’</w:t>
      </w:r>
      <w:r w:rsidRPr="003B5EA4">
        <w:rPr>
          <w:bCs/>
        </w:rPr>
        <w:t>arrivée lorsqu</w:t>
      </w:r>
      <w:r w:rsidR="00762E0A">
        <w:rPr>
          <w:bCs/>
        </w:rPr>
        <w:t>’</w:t>
      </w:r>
      <w:r w:rsidRPr="003B5EA4">
        <w:rPr>
          <w:bCs/>
        </w:rPr>
        <w:t>un moyen de transport officiel est mis à disposition, a réduit la somme forfaitaire en la fixant à 70 % au lieu de 75 % du prix du billet concerné, et a également supprimé le paiement du transport des bagages non accompagnés lorsque le voyageur opte pour la somme forfaitaire ;</w:t>
      </w:r>
    </w:p>
    <w:p w:rsidR="00CF4965" w:rsidRPr="003B5EA4" w:rsidRDefault="00CF4965" w:rsidP="00CF4965">
      <w:pPr>
        <w:pStyle w:val="SingleTxtG"/>
        <w:ind w:firstLine="567"/>
        <w:rPr>
          <w:bCs/>
        </w:rPr>
      </w:pPr>
      <w:r w:rsidRPr="003B5EA4">
        <w:rPr>
          <w:bCs/>
        </w:rPr>
        <w:t>d)</w:t>
      </w:r>
      <w:r w:rsidRPr="003B5EA4">
        <w:rPr>
          <w:bCs/>
        </w:rPr>
        <w:tab/>
        <w:t>En 2004, l</w:t>
      </w:r>
      <w:r w:rsidR="00762E0A">
        <w:rPr>
          <w:bCs/>
        </w:rPr>
        <w:t>’</w:t>
      </w:r>
      <w:r w:rsidRPr="003B5EA4">
        <w:rPr>
          <w:bCs/>
        </w:rPr>
        <w:t>AIEA a supprimé la classe affaires pour les voyages au titre de la nomination et de la cessation de service. En janvier 2016, elle a supprimé la possibilité d</w:t>
      </w:r>
      <w:r w:rsidR="00762E0A">
        <w:rPr>
          <w:bCs/>
        </w:rPr>
        <w:t>’</w:t>
      </w:r>
      <w:r w:rsidRPr="003B5EA4">
        <w:rPr>
          <w:bCs/>
        </w:rPr>
        <w:t>opter pour la formule des billets prépayés aux fins de tous les voyages autorisés, faisant de la somme forfaitaire la formule par défaut</w:t>
      </w:r>
      <w:r w:rsidRPr="003B5EA4">
        <w:rPr>
          <w:rStyle w:val="Appelnotedebasdep"/>
        </w:rPr>
        <w:footnoteReference w:id="43"/>
      </w:r>
      <w:r w:rsidRPr="003B5EA4">
        <w:rPr>
          <w:bCs/>
        </w:rPr>
        <w:t>. Lorsqu</w:t>
      </w:r>
      <w:r w:rsidR="00762E0A">
        <w:rPr>
          <w:bCs/>
        </w:rPr>
        <w:t>’</w:t>
      </w:r>
      <w:r w:rsidRPr="003B5EA4">
        <w:rPr>
          <w:bCs/>
        </w:rPr>
        <w:t xml:space="preserve">un voyage autorisé dure plus de </w:t>
      </w:r>
      <w:r w:rsidR="00613594">
        <w:rPr>
          <w:bCs/>
        </w:rPr>
        <w:t>sept</w:t>
      </w:r>
      <w:r w:rsidRPr="003B5EA4">
        <w:rPr>
          <w:bCs/>
        </w:rPr>
        <w:t> heures, la classe affaires ne peut être appliquée que si aucune autre possibilité n</w:t>
      </w:r>
      <w:r w:rsidR="00762E0A">
        <w:rPr>
          <w:bCs/>
        </w:rPr>
        <w:t>’</w:t>
      </w:r>
      <w:r w:rsidRPr="003B5EA4">
        <w:rPr>
          <w:bCs/>
        </w:rPr>
        <w:t>existe</w:t>
      </w:r>
      <w:r w:rsidRPr="003B5EA4">
        <w:rPr>
          <w:rStyle w:val="Appelnotedebasdep"/>
        </w:rPr>
        <w:footnoteReference w:id="44"/>
      </w:r>
      <w:r w:rsidRPr="003B5EA4">
        <w:rPr>
          <w:bCs/>
        </w:rPr>
        <w:t> ;</w:t>
      </w:r>
    </w:p>
    <w:p w:rsidR="00CF4965" w:rsidRPr="003B5EA4" w:rsidRDefault="00CF4965" w:rsidP="00CF4965">
      <w:pPr>
        <w:pStyle w:val="SingleTxtG"/>
        <w:ind w:firstLine="567"/>
        <w:rPr>
          <w:bCs/>
        </w:rPr>
      </w:pPr>
      <w:r w:rsidRPr="003B5EA4">
        <w:rPr>
          <w:bCs/>
        </w:rPr>
        <w:t>e)</w:t>
      </w:r>
      <w:r w:rsidRPr="003B5EA4">
        <w:rPr>
          <w:bCs/>
        </w:rPr>
        <w:tab/>
        <w:t>En 2016, à titre de mesure de réduction des coûts, l</w:t>
      </w:r>
      <w:r w:rsidR="00762E0A">
        <w:rPr>
          <w:bCs/>
        </w:rPr>
        <w:t>’</w:t>
      </w:r>
      <w:r w:rsidRPr="003B5EA4">
        <w:rPr>
          <w:bCs/>
        </w:rPr>
        <w:t xml:space="preserve">ONUSIDA a substitué la classe économique « premium » à la classe affaires pour tous les voyages autorisés de plus de </w:t>
      </w:r>
      <w:r w:rsidR="00613594">
        <w:rPr>
          <w:bCs/>
        </w:rPr>
        <w:t>douze</w:t>
      </w:r>
      <w:r w:rsidRPr="003B5EA4">
        <w:rPr>
          <w:bCs/>
        </w:rPr>
        <w:t> heures. Cette mesure a permis de réduire de 25 % l</w:t>
      </w:r>
      <w:r w:rsidR="00762E0A">
        <w:rPr>
          <w:bCs/>
        </w:rPr>
        <w:t>’</w:t>
      </w:r>
      <w:r w:rsidRPr="003B5EA4">
        <w:rPr>
          <w:bCs/>
        </w:rPr>
        <w:t>émission de billets de la classe affaires (si l</w:t>
      </w:r>
      <w:r w:rsidR="00762E0A">
        <w:rPr>
          <w:bCs/>
        </w:rPr>
        <w:t>’</w:t>
      </w:r>
      <w:r w:rsidRPr="003B5EA4">
        <w:rPr>
          <w:bCs/>
        </w:rPr>
        <w:t>on compare la période de janvier à août 2016 à la même période en 2015), les voyages de Genève à New York accusant également une baisse de 30 % ;</w:t>
      </w:r>
    </w:p>
    <w:p w:rsidR="00CF4965" w:rsidRPr="003B5EA4" w:rsidRDefault="00CF4965" w:rsidP="00CF4965">
      <w:pPr>
        <w:pStyle w:val="SingleTxtG"/>
        <w:ind w:firstLine="567"/>
        <w:rPr>
          <w:bCs/>
        </w:rPr>
      </w:pPr>
      <w:r w:rsidRPr="003B5EA4">
        <w:rPr>
          <w:bCs/>
        </w:rPr>
        <w:t>f)</w:t>
      </w:r>
      <w:r w:rsidRPr="003B5EA4">
        <w:rPr>
          <w:bCs/>
        </w:rPr>
        <w:tab/>
      </w:r>
      <w:r w:rsidR="00980E30" w:rsidRPr="003B5EA4">
        <w:rPr>
          <w:bCs/>
        </w:rPr>
        <w:t>En 2013, une instruction administrative de l</w:t>
      </w:r>
      <w:r w:rsidR="00762E0A">
        <w:rPr>
          <w:bCs/>
        </w:rPr>
        <w:t>’</w:t>
      </w:r>
      <w:r w:rsidR="00980E30" w:rsidRPr="003B5EA4">
        <w:rPr>
          <w:bCs/>
        </w:rPr>
        <w:t>ONU disposait que la classe économique serait de rigueur, peu importe la durée du voyage</w:t>
      </w:r>
      <w:r w:rsidR="00423553">
        <w:rPr>
          <w:bCs/>
        </w:rPr>
        <w:t> :</w:t>
      </w:r>
      <w:r w:rsidR="00980E30" w:rsidRPr="003B5EA4">
        <w:rPr>
          <w:bCs/>
        </w:rPr>
        <w:t xml:space="preserve"> i) pour tous les consultants et vacataires</w:t>
      </w:r>
      <w:r w:rsidR="00423553">
        <w:rPr>
          <w:bCs/>
        </w:rPr>
        <w:t> ;</w:t>
      </w:r>
      <w:r w:rsidR="00980E30" w:rsidRPr="003B5EA4">
        <w:rPr>
          <w:bCs/>
        </w:rPr>
        <w:t xml:space="preserve"> et ii) tous les fonctionnaires (hormis formateurs concernés) se déplaçant dans le cadre d</w:t>
      </w:r>
      <w:r w:rsidR="00762E0A">
        <w:rPr>
          <w:bCs/>
        </w:rPr>
        <w:t>’</w:t>
      </w:r>
      <w:r w:rsidR="00980E30" w:rsidRPr="003B5EA4">
        <w:rPr>
          <w:bCs/>
        </w:rPr>
        <w:t>activités de formation et de perfectionnement</w:t>
      </w:r>
      <w:r w:rsidR="00980E30" w:rsidRPr="003B5EA4">
        <w:rPr>
          <w:rStyle w:val="Appelnotedebasdep"/>
        </w:rPr>
        <w:footnoteReference w:id="45"/>
      </w:r>
      <w:r w:rsidR="00980E30" w:rsidRPr="003B5EA4">
        <w:rPr>
          <w:bCs/>
        </w:rPr>
        <w:t>.</w:t>
      </w:r>
    </w:p>
    <w:p w:rsidR="00980E30" w:rsidRPr="003B5EA4" w:rsidRDefault="00980E30" w:rsidP="00980E30">
      <w:pPr>
        <w:pStyle w:val="H23G"/>
      </w:pPr>
      <w:r w:rsidRPr="003B5EA4">
        <w:tab/>
      </w:r>
      <w:r w:rsidRPr="003B5EA4">
        <w:tab/>
        <w:t>Pratiques en vigueur dans certaines entités étrangères au système des Nations Unies</w:t>
      </w:r>
    </w:p>
    <w:p w:rsidR="00980E30" w:rsidRPr="003B5EA4" w:rsidRDefault="00980E30" w:rsidP="00980E30">
      <w:pPr>
        <w:pStyle w:val="SingleTxtG"/>
      </w:pPr>
      <w:r w:rsidRPr="003B5EA4">
        <w:t>48.</w:t>
      </w:r>
      <w:r w:rsidRPr="003B5EA4">
        <w:tab/>
        <w:t xml:space="preserve">À des fins comparatives, il a été procédé à une étude des politiques relatives aux conditions de voyage en avion </w:t>
      </w:r>
      <w:r w:rsidR="00353607">
        <w:t>a</w:t>
      </w:r>
      <w:r w:rsidRPr="003B5EA4">
        <w:t>ppliquées par des entités ne relevant pas du système des Nations Unies, parmi lesquelles des États Membres, d</w:t>
      </w:r>
      <w:r w:rsidR="00762E0A">
        <w:t>’</w:t>
      </w:r>
      <w:r w:rsidRPr="003B5EA4">
        <w:t>autres organisations internationales, des institutions multilatérales et financières et des entreprises du secteur privé. Le seuil ouvrant droit au voyage en classe affaires pour les fonctionnaires de trois grands pays donateurs (</w:t>
      </w:r>
      <w:r w:rsidR="00423553" w:rsidRPr="003B5EA4">
        <w:t>les États-Unis d</w:t>
      </w:r>
      <w:r w:rsidR="00762E0A">
        <w:t>’</w:t>
      </w:r>
      <w:r w:rsidR="00423553" w:rsidRPr="003B5EA4">
        <w:t>Amérique</w:t>
      </w:r>
      <w:r w:rsidR="00423553">
        <w:t>,</w:t>
      </w:r>
      <w:r w:rsidR="00423553" w:rsidRPr="003B5EA4">
        <w:t xml:space="preserve"> </w:t>
      </w:r>
      <w:r w:rsidRPr="003B5EA4">
        <w:t xml:space="preserve">la </w:t>
      </w:r>
      <w:r w:rsidR="00423553">
        <w:t>France et</w:t>
      </w:r>
      <w:r w:rsidRPr="003B5EA4">
        <w:t xml:space="preserve"> le Royaume-Uni de Grande-Bretagne et d</w:t>
      </w:r>
      <w:r w:rsidR="00762E0A">
        <w:t>’</w:t>
      </w:r>
      <w:r w:rsidRPr="003B5EA4">
        <w:t>Irlande du Nord) varie entre 7 et 14 heures</w:t>
      </w:r>
      <w:r w:rsidRPr="003B5EA4">
        <w:rPr>
          <w:rStyle w:val="Appelnotedebasdep"/>
        </w:rPr>
        <w:footnoteReference w:id="46"/>
      </w:r>
      <w:r w:rsidRPr="003B5EA4">
        <w:t>. Parmi les organisation</w:t>
      </w:r>
      <w:r w:rsidR="00A24DDD">
        <w:t>s</w:t>
      </w:r>
      <w:r w:rsidRPr="003B5EA4">
        <w:t xml:space="preserve"> internationales, le seuil varie de 4 heures seulement pour les agents (et 9 heures </w:t>
      </w:r>
      <w:r w:rsidR="00A24DDD">
        <w:t xml:space="preserve">pour </w:t>
      </w:r>
      <w:r w:rsidRPr="003B5EA4">
        <w:t>les voyageurs hors personnel) du Fonds international de développement agricole (FIDA)</w:t>
      </w:r>
      <w:r w:rsidRPr="003B5EA4">
        <w:rPr>
          <w:rStyle w:val="Appelnotedebasdep"/>
        </w:rPr>
        <w:footnoteReference w:id="47"/>
      </w:r>
      <w:r w:rsidRPr="003B5EA4">
        <w:t xml:space="preserve">, à 6 heures </w:t>
      </w:r>
      <w:r w:rsidRPr="003B5EA4">
        <w:lastRenderedPageBreak/>
        <w:t>(ou</w:t>
      </w:r>
      <w:r w:rsidR="00923CE1">
        <w:t> </w:t>
      </w:r>
      <w:r w:rsidRPr="003B5EA4">
        <w:t>5 heures pour les vols de nuit seulement) à l</w:t>
      </w:r>
      <w:r w:rsidR="00762E0A">
        <w:t>’</w:t>
      </w:r>
      <w:r w:rsidRPr="003B5EA4">
        <w:t>OCDE</w:t>
      </w:r>
      <w:r w:rsidRPr="003B5EA4">
        <w:rPr>
          <w:rStyle w:val="Appelnotedebasdep"/>
        </w:rPr>
        <w:footnoteReference w:id="48"/>
      </w:r>
      <w:r w:rsidRPr="003B5EA4">
        <w:t>, et à 9 heures au Fonds mondial</w:t>
      </w:r>
      <w:r w:rsidRPr="003B5EA4">
        <w:rPr>
          <w:rStyle w:val="Appelnotedebasdep"/>
        </w:rPr>
        <w:footnoteReference w:id="49"/>
      </w:r>
      <w:r w:rsidRPr="003B5EA4">
        <w:t xml:space="preserve"> et à la BID</w:t>
      </w:r>
      <w:r w:rsidRPr="003B5EA4">
        <w:rPr>
          <w:rStyle w:val="Appelnotedebasdep"/>
        </w:rPr>
        <w:footnoteReference w:id="50"/>
      </w:r>
      <w:r w:rsidRPr="003B5EA4">
        <w:t>.</w:t>
      </w:r>
    </w:p>
    <w:p w:rsidR="006C48D9" w:rsidRPr="003B5EA4" w:rsidRDefault="006C48D9" w:rsidP="006C48D9">
      <w:pPr>
        <w:pStyle w:val="H1G"/>
      </w:pPr>
      <w:r w:rsidRPr="003B5EA4">
        <w:tab/>
        <w:t>B.</w:t>
      </w:r>
      <w:r w:rsidRPr="003B5EA4">
        <w:tab/>
        <w:t xml:space="preserve">Conditions de voyage en avion appliquées aux non-fonctionnaires </w:t>
      </w:r>
      <w:r w:rsidRPr="003B5EA4">
        <w:br/>
        <w:t>et coûts associés</w:t>
      </w:r>
    </w:p>
    <w:p w:rsidR="006C48D9" w:rsidRPr="003B5EA4" w:rsidRDefault="00183A9C" w:rsidP="006C48D9">
      <w:pPr>
        <w:pStyle w:val="SingleTxtG"/>
      </w:pPr>
      <w:r w:rsidRPr="003B5EA4">
        <w:t>49.</w:t>
      </w:r>
      <w:r w:rsidRPr="003B5EA4">
        <w:tab/>
        <w:t>Les catégories de voyageurs qui n</w:t>
      </w:r>
      <w:r w:rsidR="00762E0A">
        <w:t>’</w:t>
      </w:r>
      <w:r w:rsidRPr="003B5EA4">
        <w:t>ont pas la qualité de fonctionnaire et dont les frais de voyage sont payés par la plupart des organismes des Nations Unies se sont faites plus nombreuses au fil des ans et représentent un coût substantiel. Dans la présente section, l</w:t>
      </w:r>
      <w:r w:rsidR="00762E0A">
        <w:t>’</w:t>
      </w:r>
      <w:r w:rsidRPr="003B5EA4">
        <w:t>Inspectrice souhaite dresser à l</w:t>
      </w:r>
      <w:r w:rsidR="00762E0A">
        <w:t>’</w:t>
      </w:r>
      <w:r w:rsidRPr="003B5EA4">
        <w:t>intention des chefs de secrétariat et des organes délibérants un tableau clair de cet ensemble de voyageurs, des conditions de voyage en avion qui leur sont réservées au sein du système des Nations Unies et des coûts qui en résultent.</w:t>
      </w:r>
    </w:p>
    <w:p w:rsidR="00183A9C" w:rsidRPr="003B5EA4" w:rsidRDefault="00183A9C" w:rsidP="008D4681">
      <w:pPr>
        <w:pStyle w:val="SingleTxtG"/>
      </w:pPr>
      <w:r w:rsidRPr="003B5EA4">
        <w:t>50.</w:t>
      </w:r>
      <w:r w:rsidRPr="003B5EA4">
        <w:tab/>
        <w:t>Les catégories de voyageurs non fonctionnaires sont nombreuses au sein du système des Nations Unies</w:t>
      </w:r>
      <w:r w:rsidRPr="003B5EA4">
        <w:rPr>
          <w:rStyle w:val="Appelnotedebasdep"/>
        </w:rPr>
        <w:footnoteReference w:id="51"/>
      </w:r>
      <w:r w:rsidRPr="003B5EA4">
        <w:t>. L</w:t>
      </w:r>
      <w:r w:rsidR="00762E0A">
        <w:t>’</w:t>
      </w:r>
      <w:r w:rsidRPr="003B5EA4">
        <w:t>examen est centré sur quatre groupes visés par la circulaire</w:t>
      </w:r>
      <w:r w:rsidR="008E624B">
        <w:t xml:space="preserve"> </w:t>
      </w:r>
      <w:r w:rsidRPr="003B5EA4">
        <w:t>ST/SGB/107/Rev.6 : a) les membres des organes et organes subsidiaires de l</w:t>
      </w:r>
      <w:r w:rsidR="00762E0A">
        <w:t>’</w:t>
      </w:r>
      <w:r w:rsidRPr="003B5EA4">
        <w:t>ONU et d</w:t>
      </w:r>
      <w:r w:rsidR="00762E0A">
        <w:t>’</w:t>
      </w:r>
      <w:r w:rsidRPr="003B5EA4">
        <w:t>autres entités des Nations Unies ; b) les représentants des États Membres ; c) les délégations ; et d)</w:t>
      </w:r>
      <w:r w:rsidR="00D227E5">
        <w:t> </w:t>
      </w:r>
      <w:r w:rsidRPr="003B5EA4">
        <w:t>les consultants et vacataires. Les conditions de voyage en avion associées à ces catégories de voyageurs dans chaque organisme sont fournies à l</w:t>
      </w:r>
      <w:r w:rsidR="00762E0A">
        <w:t>’</w:t>
      </w:r>
      <w:r w:rsidRPr="003B5EA4">
        <w:t>annexe V.</w:t>
      </w:r>
    </w:p>
    <w:p w:rsidR="00503511" w:rsidRPr="003B5EA4" w:rsidRDefault="00503511" w:rsidP="00503511">
      <w:pPr>
        <w:pStyle w:val="H23G"/>
        <w:rPr>
          <w:bCs/>
        </w:rPr>
      </w:pPr>
      <w:r w:rsidRPr="003B5EA4">
        <w:tab/>
        <w:t>1.</w:t>
      </w:r>
      <w:r w:rsidRPr="003B5EA4">
        <w:tab/>
      </w:r>
      <w:r w:rsidRPr="003B5EA4">
        <w:rPr>
          <w:bCs/>
        </w:rPr>
        <w:t>Membres des organes et organes subsidiaires</w:t>
      </w:r>
      <w:r w:rsidRPr="008E624B">
        <w:rPr>
          <w:rStyle w:val="Appelnotedebasdep"/>
          <w:b w:val="0"/>
        </w:rPr>
        <w:footnoteReference w:id="52"/>
      </w:r>
    </w:p>
    <w:p w:rsidR="00503511" w:rsidRPr="003B5EA4" w:rsidRDefault="00503511" w:rsidP="008D4681">
      <w:pPr>
        <w:pStyle w:val="SingleTxtG"/>
      </w:pPr>
      <w:r w:rsidRPr="003B5EA4">
        <w:t>51.</w:t>
      </w:r>
      <w:r w:rsidRPr="003B5EA4">
        <w:tab/>
        <w:t>Les membres des organes et organes subsidiaires siègent à titre personnel, et non en tant que représentants de leurs gouvernements respectifs. Les conditions de voyage en avion qui leur sont réservées varient grandement au sein du système des Nations Unies. Ces variantes peuvent se récapituler comme suit : l</w:t>
      </w:r>
      <w:r w:rsidR="00762E0A">
        <w:t>’</w:t>
      </w:r>
      <w:r w:rsidRPr="003B5EA4">
        <w:t>AIEA, la FAO, le FNUAP, l</w:t>
      </w:r>
      <w:r w:rsidR="00762E0A">
        <w:t>’</w:t>
      </w:r>
      <w:r w:rsidRPr="003B5EA4">
        <w:t>UNICEF et l</w:t>
      </w:r>
      <w:r w:rsidR="00762E0A">
        <w:t>’</w:t>
      </w:r>
      <w:r w:rsidRPr="003B5EA4">
        <w:t>UPU n</w:t>
      </w:r>
      <w:r w:rsidR="00762E0A">
        <w:t>’</w:t>
      </w:r>
      <w:r w:rsidRPr="003B5EA4">
        <w:t>appliquent que la classe économique aux fins des voyages des membres des organes et organes subsidiaires</w:t>
      </w:r>
      <w:r w:rsidR="007959C4">
        <w:t> ;</w:t>
      </w:r>
      <w:r w:rsidRPr="003B5EA4">
        <w:t xml:space="preserve"> l</w:t>
      </w:r>
      <w:r w:rsidR="00762E0A">
        <w:t>’</w:t>
      </w:r>
      <w:r w:rsidRPr="003B5EA4">
        <w:t>OIT et l</w:t>
      </w:r>
      <w:r w:rsidR="00762E0A">
        <w:t>’</w:t>
      </w:r>
      <w:r w:rsidRPr="003B5EA4">
        <w:t xml:space="preserve">ONUSIDA leur attribuent, selon les comités concernés, soit la classe économique seulement, soit la classe affaires à partir de </w:t>
      </w:r>
      <w:r w:rsidR="00613594">
        <w:t>9</w:t>
      </w:r>
      <w:r w:rsidRPr="003B5EA4">
        <w:t> heures de voyage, l</w:t>
      </w:r>
      <w:r w:rsidR="00762E0A">
        <w:t>’</w:t>
      </w:r>
      <w:r w:rsidRPr="003B5EA4">
        <w:t>OACI, l</w:t>
      </w:r>
      <w:r w:rsidR="00762E0A">
        <w:t>’</w:t>
      </w:r>
      <w:r w:rsidRPr="003B5EA4">
        <w:t>OMPI, ONU-Femmes</w:t>
      </w:r>
      <w:r w:rsidRPr="003B5EA4">
        <w:rPr>
          <w:rStyle w:val="Appelnotedebasdep"/>
        </w:rPr>
        <w:footnoteReference w:id="53"/>
      </w:r>
      <w:r w:rsidRPr="003B5EA4">
        <w:t>, le PAM, et l</w:t>
      </w:r>
      <w:r w:rsidR="00762E0A">
        <w:t>’</w:t>
      </w:r>
      <w:r w:rsidRPr="003B5EA4">
        <w:t xml:space="preserve">UIT appliquent la classe affaires à partir de </w:t>
      </w:r>
      <w:r w:rsidR="00613594">
        <w:t>9</w:t>
      </w:r>
      <w:r w:rsidRPr="003B5EA4">
        <w:t> heures de vol, tandis que le HCR, l</w:t>
      </w:r>
      <w:r w:rsidR="00762E0A">
        <w:t>’</w:t>
      </w:r>
      <w:r w:rsidRPr="003B5EA4">
        <w:t>ONU, ONU-Femmes</w:t>
      </w:r>
      <w:r w:rsidRPr="003B5EA4">
        <w:rPr>
          <w:rStyle w:val="Appelnotedebasdep"/>
        </w:rPr>
        <w:footnoteReference w:id="54"/>
      </w:r>
      <w:r w:rsidRPr="003B5EA4">
        <w:t>, l</w:t>
      </w:r>
      <w:r w:rsidR="00762E0A">
        <w:t>’</w:t>
      </w:r>
      <w:r w:rsidRPr="003B5EA4">
        <w:t>ONUDC et l</w:t>
      </w:r>
      <w:r w:rsidR="00762E0A">
        <w:t>’</w:t>
      </w:r>
      <w:r w:rsidRPr="003B5EA4">
        <w:t>ONUDI, octroient la classe affaires sans égard à la durée du voyage.</w:t>
      </w:r>
    </w:p>
    <w:p w:rsidR="00503511" w:rsidRPr="003B5EA4" w:rsidRDefault="00503511" w:rsidP="00503511">
      <w:pPr>
        <w:pStyle w:val="H23G"/>
      </w:pPr>
      <w:r w:rsidRPr="003B5EA4">
        <w:tab/>
        <w:t>2.</w:t>
      </w:r>
      <w:r w:rsidRPr="003B5EA4">
        <w:tab/>
        <w:t>Représentants des États Membres</w:t>
      </w:r>
    </w:p>
    <w:p w:rsidR="00503511" w:rsidRPr="003B5EA4" w:rsidRDefault="00503511" w:rsidP="008D4681">
      <w:pPr>
        <w:pStyle w:val="SingleTxtG"/>
      </w:pPr>
      <w:r w:rsidRPr="003B5EA4">
        <w:t>52.</w:t>
      </w:r>
      <w:r w:rsidRPr="003B5EA4">
        <w:tab/>
      </w:r>
      <w:r w:rsidR="00F83F0E" w:rsidRPr="003B5EA4">
        <w:t xml:space="preserve">Les représentants des États Membres sont des personnes chargées de représenter leurs gouvernements respectifs dans le cadre de réunions, séminaires et programmes de formation, </w:t>
      </w:r>
      <w:r w:rsidR="0055478D">
        <w:t>y compris</w:t>
      </w:r>
      <w:r w:rsidR="00F83F0E" w:rsidRPr="003B5EA4">
        <w:t xml:space="preserve"> les sessions des organes délibérants et les réunions des organes subsidiaires. À l</w:t>
      </w:r>
      <w:r w:rsidR="00762E0A">
        <w:t>’</w:t>
      </w:r>
      <w:r w:rsidR="00F83F0E" w:rsidRPr="003B5EA4">
        <w:t>analyse des informations fournies, d</w:t>
      </w:r>
      <w:r w:rsidR="00762E0A">
        <w:t>’</w:t>
      </w:r>
      <w:r w:rsidR="00F83F0E" w:rsidRPr="003B5EA4">
        <w:t>importantes différences se font jour dans la façon dont les conditions de voyage en avion et les prestations de voyage sont administrées au sein du système des Nations Unies. Elle peuvent se récapituler comme suit : le CCI* et l</w:t>
      </w:r>
      <w:r w:rsidR="00762E0A">
        <w:t>’</w:t>
      </w:r>
      <w:r w:rsidR="00F83F0E" w:rsidRPr="003B5EA4">
        <w:t>OMI indiquent ne pas prendre en charge les frais de déplacement de cette catégorie de voyageurs</w:t>
      </w:r>
      <w:r w:rsidR="007959C4">
        <w:t> ;</w:t>
      </w:r>
      <w:r w:rsidR="00F83F0E" w:rsidRPr="003B5EA4">
        <w:t xml:space="preserve"> le FNUAP, l</w:t>
      </w:r>
      <w:r w:rsidR="00762E0A">
        <w:t>’</w:t>
      </w:r>
      <w:r w:rsidR="00F83F0E" w:rsidRPr="003B5EA4">
        <w:t>ONUDI et l</w:t>
      </w:r>
      <w:r w:rsidR="00762E0A">
        <w:t>’</w:t>
      </w:r>
      <w:r w:rsidR="00F83F0E" w:rsidRPr="003B5EA4">
        <w:t xml:space="preserve">ONUSIDA disent assurer le voyage en </w:t>
      </w:r>
      <w:r w:rsidR="00F83F0E" w:rsidRPr="003B5EA4">
        <w:lastRenderedPageBreak/>
        <w:t>classe affaires quelle que soit la durée du voyage lorsqu</w:t>
      </w:r>
      <w:r w:rsidR="00762E0A">
        <w:t>’</w:t>
      </w:r>
      <w:r w:rsidR="00F83F0E" w:rsidRPr="003B5EA4">
        <w:t>il s</w:t>
      </w:r>
      <w:r w:rsidR="00762E0A">
        <w:t>’</w:t>
      </w:r>
      <w:r w:rsidR="00F83F0E" w:rsidRPr="003B5EA4">
        <w:t xml:space="preserve">agit de ministres invités, </w:t>
      </w:r>
      <w:r w:rsidR="000B42BA">
        <w:t>9 </w:t>
      </w:r>
      <w:r w:rsidR="00F83F0E" w:rsidRPr="003B5EA4">
        <w:t>organismes (AIEA</w:t>
      </w:r>
      <w:r w:rsidR="00F83F0E" w:rsidRPr="003B5EA4">
        <w:rPr>
          <w:rStyle w:val="Appelnotedebasdep"/>
        </w:rPr>
        <w:footnoteReference w:id="55"/>
      </w:r>
      <w:r w:rsidR="00F83F0E" w:rsidRPr="003B5EA4">
        <w:t>, FAO, ONU, ONU-Femmes</w:t>
      </w:r>
      <w:r w:rsidR="00F83F0E" w:rsidRPr="003B5EA4">
        <w:rPr>
          <w:rStyle w:val="Appelnotedebasdep"/>
        </w:rPr>
        <w:footnoteReference w:id="56"/>
      </w:r>
      <w:r w:rsidR="00F83F0E" w:rsidRPr="003B5EA4">
        <w:t xml:space="preserve">, OMPI, OMS, ONUSIDA, UNICEF et UPU,) ont pour règle de ne financer que la classe économique, et </w:t>
      </w:r>
      <w:r w:rsidR="000B42BA">
        <w:t>7</w:t>
      </w:r>
      <w:r w:rsidR="00F83F0E" w:rsidRPr="003B5EA4">
        <w:t xml:space="preserve"> autres (HCR, OACI, OIT, OMPI</w:t>
      </w:r>
      <w:r w:rsidR="00F83F0E" w:rsidRPr="003B5EA4">
        <w:rPr>
          <w:rStyle w:val="Appelnotedebasdep"/>
        </w:rPr>
        <w:footnoteReference w:id="57"/>
      </w:r>
      <w:r w:rsidR="00F83F0E" w:rsidRPr="003B5EA4">
        <w:t>, PAM, ONUDC</w:t>
      </w:r>
      <w:r w:rsidR="00F83F0E" w:rsidRPr="003B5EA4">
        <w:rPr>
          <w:rStyle w:val="Appelnotedebasdep"/>
        </w:rPr>
        <w:footnoteReference w:id="58"/>
      </w:r>
      <w:r w:rsidR="00F83F0E" w:rsidRPr="003B5EA4">
        <w:t xml:space="preserve"> et UIT) la réservent aux voyages de moins de </w:t>
      </w:r>
      <w:r w:rsidR="000B42BA">
        <w:t>neuf</w:t>
      </w:r>
      <w:r w:rsidR="00F83F0E" w:rsidRPr="003B5EA4">
        <w:t> heures, ce seuil ouvrant droit à la classe affaires. Les voyages des membres des conseils d</w:t>
      </w:r>
      <w:r w:rsidR="00762E0A">
        <w:t>’</w:t>
      </w:r>
      <w:r w:rsidR="00F83F0E" w:rsidRPr="003B5EA4">
        <w:t>administration du FNUAP et du PNUD sont régis par la politique et les procédures relatives aux voyages officiels du personnel et ont droit aux mêmes conditions de voyage en avion que les membres du personnel.</w:t>
      </w:r>
    </w:p>
    <w:p w:rsidR="00F83F0E" w:rsidRPr="003B5EA4" w:rsidRDefault="00F83F0E" w:rsidP="00F83F0E">
      <w:pPr>
        <w:pStyle w:val="H23G"/>
      </w:pPr>
      <w:r w:rsidRPr="003B5EA4">
        <w:tab/>
        <w:t>3.</w:t>
      </w:r>
      <w:r w:rsidRPr="003B5EA4">
        <w:tab/>
        <w:t>Délégations</w:t>
      </w:r>
    </w:p>
    <w:p w:rsidR="00F83F0E" w:rsidRPr="003B5EA4" w:rsidRDefault="00F83F0E" w:rsidP="00F83F0E">
      <w:pPr>
        <w:pStyle w:val="SingleTxtG"/>
        <w:rPr>
          <w:bCs/>
        </w:rPr>
      </w:pPr>
      <w:r w:rsidRPr="003B5EA4">
        <w:t>53.</w:t>
      </w:r>
      <w:r w:rsidRPr="003B5EA4">
        <w:tab/>
      </w:r>
      <w:r w:rsidRPr="003B5EA4">
        <w:rPr>
          <w:bCs/>
        </w:rPr>
        <w:t>Sont également financés les voyages d</w:t>
      </w:r>
      <w:r w:rsidR="00762E0A">
        <w:rPr>
          <w:bCs/>
        </w:rPr>
        <w:t>’</w:t>
      </w:r>
      <w:r w:rsidRPr="003B5EA4">
        <w:rPr>
          <w:bCs/>
        </w:rPr>
        <w:t>un maximum de cinq représentants de chacun des pays les moins avancés aux sessions ordinaires et extraordinaires de l</w:t>
      </w:r>
      <w:r w:rsidR="00762E0A">
        <w:rPr>
          <w:bCs/>
        </w:rPr>
        <w:t>’</w:t>
      </w:r>
      <w:r w:rsidRPr="003B5EA4">
        <w:rPr>
          <w:bCs/>
        </w:rPr>
        <w:t>Assemblée générale. La première classe est attribuée au chef de la délégation, conformément à la résolution 42/214 de l</w:t>
      </w:r>
      <w:r w:rsidR="00762E0A">
        <w:rPr>
          <w:bCs/>
        </w:rPr>
        <w:t>’</w:t>
      </w:r>
      <w:r w:rsidRPr="003B5EA4">
        <w:rPr>
          <w:bCs/>
        </w:rPr>
        <w:t xml:space="preserve">Assemblée générale, tandis que le vol en classe économique ou en classe affaires (à partir de </w:t>
      </w:r>
      <w:r w:rsidR="000B42BA">
        <w:rPr>
          <w:bCs/>
        </w:rPr>
        <w:t>neuf</w:t>
      </w:r>
      <w:r w:rsidRPr="003B5EA4">
        <w:rPr>
          <w:bCs/>
        </w:rPr>
        <w:t> heures de voyage) est financé pour les quatre autres représentants. Nonobstant le grand nombre d</w:t>
      </w:r>
      <w:r w:rsidR="00762E0A">
        <w:rPr>
          <w:bCs/>
        </w:rPr>
        <w:t>’</w:t>
      </w:r>
      <w:r w:rsidRPr="003B5EA4">
        <w:rPr>
          <w:bCs/>
        </w:rPr>
        <w:t>États Membres relevant de la catégorie des pays les moins avancés (48), les demandes de billets de première classe se sont faites moins nombreuses ces dernières années. De juillet</w:t>
      </w:r>
      <w:r w:rsidR="00295238" w:rsidRPr="003B5EA4">
        <w:rPr>
          <w:bCs/>
        </w:rPr>
        <w:t xml:space="preserve"> </w:t>
      </w:r>
      <w:r w:rsidRPr="003B5EA4">
        <w:rPr>
          <w:bCs/>
        </w:rPr>
        <w:t>2014 à juin</w:t>
      </w:r>
      <w:r w:rsidR="00295238" w:rsidRPr="003B5EA4">
        <w:rPr>
          <w:bCs/>
        </w:rPr>
        <w:t xml:space="preserve"> </w:t>
      </w:r>
      <w:r w:rsidRPr="003B5EA4">
        <w:rPr>
          <w:bCs/>
        </w:rPr>
        <w:t xml:space="preserve">2016, </w:t>
      </w:r>
      <w:r w:rsidR="00295238" w:rsidRPr="003B5EA4">
        <w:rPr>
          <w:bCs/>
        </w:rPr>
        <w:t>neuf</w:t>
      </w:r>
      <w:r w:rsidRPr="003B5EA4">
        <w:rPr>
          <w:bCs/>
        </w:rPr>
        <w:t> voyages en première classe ont été autorisés, à un coût total de 127 600 dollars des États-Unis, par rapport à 15</w:t>
      </w:r>
      <w:r w:rsidR="00295238" w:rsidRPr="003B5EA4">
        <w:rPr>
          <w:bCs/>
        </w:rPr>
        <w:t> </w:t>
      </w:r>
      <w:r w:rsidRPr="003B5EA4">
        <w:rPr>
          <w:bCs/>
        </w:rPr>
        <w:t>voyages, coûtant en tout 207 673 dollars des États-Unis, de juillet 2012 à juin 2014</w:t>
      </w:r>
      <w:r w:rsidRPr="003B5EA4">
        <w:rPr>
          <w:rStyle w:val="Appelnotedebasdep"/>
        </w:rPr>
        <w:footnoteReference w:id="59"/>
      </w:r>
      <w:r w:rsidRPr="003B5EA4">
        <w:rPr>
          <w:bCs/>
        </w:rPr>
        <w:t>.</w:t>
      </w:r>
    </w:p>
    <w:p w:rsidR="00295238" w:rsidRPr="003B5EA4" w:rsidRDefault="00295238" w:rsidP="00FD555B">
      <w:pPr>
        <w:pStyle w:val="SingleTxtG"/>
      </w:pPr>
      <w:r w:rsidRPr="003B5EA4">
        <w:t>54.</w:t>
      </w:r>
      <w:r w:rsidRPr="003B5EA4">
        <w:tab/>
        <w:t>Des règles particulières s</w:t>
      </w:r>
      <w:r w:rsidR="00762E0A">
        <w:t>’</w:t>
      </w:r>
      <w:r w:rsidRPr="003B5EA4">
        <w:t>appliquent aux voyageurs qui assistent aux réunions des commissions techniques du Conseil économique et social ou aux réunions des sous</w:t>
      </w:r>
      <w:r w:rsidR="000B42BA">
        <w:noBreakHyphen/>
      </w:r>
      <w:r w:rsidRPr="003B5EA4">
        <w:t>commissions ou sous-commissions des commissions techniques. Les frais de voyage sont couverts à concurrence d</w:t>
      </w:r>
      <w:r w:rsidR="00762E0A">
        <w:t>’</w:t>
      </w:r>
      <w:r w:rsidRPr="003B5EA4">
        <w:t>un représentant de chaque État Membre participant, pour autant que l</w:t>
      </w:r>
      <w:r w:rsidR="00762E0A">
        <w:t>’</w:t>
      </w:r>
      <w:r w:rsidRPr="003B5EA4">
        <w:t>intéressé soit nommé par son gouvernement. Quant aux conditions de voyage en avion, la classe économique est d</w:t>
      </w:r>
      <w:r w:rsidR="00762E0A">
        <w:t>’</w:t>
      </w:r>
      <w:r w:rsidRPr="003B5EA4">
        <w:t xml:space="preserve">application pour les voyages de moins de </w:t>
      </w:r>
      <w:r w:rsidR="007563A8">
        <w:t>9</w:t>
      </w:r>
      <w:r w:rsidRPr="003B5EA4">
        <w:t> heures et la classe immédiatement inférieure à la première classe pour les voyages d</w:t>
      </w:r>
      <w:r w:rsidR="00762E0A">
        <w:t>’</w:t>
      </w:r>
      <w:r w:rsidRPr="003B5EA4">
        <w:t xml:space="preserve">une durée de </w:t>
      </w:r>
      <w:r w:rsidR="007563A8">
        <w:t>9</w:t>
      </w:r>
      <w:r w:rsidRPr="003B5EA4">
        <w:t> heures ou plus.</w:t>
      </w:r>
    </w:p>
    <w:p w:rsidR="00295238" w:rsidRPr="003B5EA4" w:rsidRDefault="00295238" w:rsidP="00F83F0E">
      <w:pPr>
        <w:pStyle w:val="SingleTxtG"/>
        <w:rPr>
          <w:bCs/>
        </w:rPr>
      </w:pPr>
      <w:r w:rsidRPr="003B5EA4">
        <w:rPr>
          <w:bCs/>
        </w:rPr>
        <w:t>55.</w:t>
      </w:r>
      <w:r w:rsidRPr="003B5EA4">
        <w:rPr>
          <w:bCs/>
        </w:rPr>
        <w:tab/>
        <w:t>Le présent examen a permis d</w:t>
      </w:r>
      <w:r w:rsidR="00762E0A">
        <w:rPr>
          <w:bCs/>
        </w:rPr>
        <w:t>’</w:t>
      </w:r>
      <w:r w:rsidRPr="003B5EA4">
        <w:rPr>
          <w:bCs/>
        </w:rPr>
        <w:t>établir que les droits à prestations des catégories susmentionnées variaient à la fois selon les organismes prestataires et les catégories de voyageurs, et que ces questions revenaient fréquemment à l</w:t>
      </w:r>
      <w:r w:rsidR="00762E0A">
        <w:rPr>
          <w:bCs/>
        </w:rPr>
        <w:t>’</w:t>
      </w:r>
      <w:r w:rsidRPr="003B5EA4">
        <w:rPr>
          <w:bCs/>
        </w:rPr>
        <w:t>ordre du jour des organes délibérants des organismes, en particulier de l</w:t>
      </w:r>
      <w:r w:rsidR="00762E0A">
        <w:rPr>
          <w:bCs/>
        </w:rPr>
        <w:t>’</w:t>
      </w:r>
      <w:r w:rsidRPr="003B5EA4">
        <w:rPr>
          <w:bCs/>
        </w:rPr>
        <w:t xml:space="preserve">Assemblée générale. </w:t>
      </w:r>
      <w:r w:rsidRPr="003B5EA4">
        <w:rPr>
          <w:b/>
          <w:bCs/>
        </w:rPr>
        <w:t>À cet égard, l</w:t>
      </w:r>
      <w:r w:rsidR="00762E0A">
        <w:rPr>
          <w:b/>
          <w:bCs/>
        </w:rPr>
        <w:t>’</w:t>
      </w:r>
      <w:r w:rsidR="00D12D74">
        <w:rPr>
          <w:b/>
          <w:bCs/>
        </w:rPr>
        <w:t>I</w:t>
      </w:r>
      <w:r w:rsidRPr="003B5EA4">
        <w:rPr>
          <w:b/>
          <w:bCs/>
        </w:rPr>
        <w:t>nspectrice réitère la recommandation antérieure du CCI tendant à ce que l</w:t>
      </w:r>
      <w:r w:rsidR="00762E0A">
        <w:rPr>
          <w:b/>
          <w:bCs/>
        </w:rPr>
        <w:t>’</w:t>
      </w:r>
      <w:r w:rsidRPr="003B5EA4">
        <w:rPr>
          <w:b/>
          <w:bCs/>
        </w:rPr>
        <w:t>Assemblée générale prie le Secrétaire général d</w:t>
      </w:r>
      <w:r w:rsidR="00762E0A">
        <w:rPr>
          <w:b/>
          <w:bCs/>
        </w:rPr>
        <w:t>’</w:t>
      </w:r>
      <w:r w:rsidRPr="003B5EA4">
        <w:rPr>
          <w:b/>
          <w:bCs/>
        </w:rPr>
        <w:t>examiner, dans le cadre du CCS, les conditions de voyage en avion et les prestations prévues pour les membres des divers organes et organes subsidiaires de l</w:t>
      </w:r>
      <w:r w:rsidR="00762E0A">
        <w:rPr>
          <w:b/>
          <w:bCs/>
        </w:rPr>
        <w:t>’</w:t>
      </w:r>
      <w:r w:rsidRPr="003B5EA4">
        <w:rPr>
          <w:b/>
          <w:bCs/>
        </w:rPr>
        <w:t>ONU, en vue de faire des propositions pour harmoniser ces conditions à l</w:t>
      </w:r>
      <w:r w:rsidR="00762E0A">
        <w:rPr>
          <w:b/>
          <w:bCs/>
        </w:rPr>
        <w:t>’</w:t>
      </w:r>
      <w:r w:rsidRPr="003B5EA4">
        <w:rPr>
          <w:b/>
          <w:bCs/>
        </w:rPr>
        <w:t>échelle du système</w:t>
      </w:r>
      <w:r w:rsidRPr="003B5EA4">
        <w:rPr>
          <w:rStyle w:val="Appelnotedebasdep"/>
        </w:rPr>
        <w:footnoteReference w:id="60"/>
      </w:r>
      <w:r w:rsidRPr="003B5EA4">
        <w:rPr>
          <w:bCs/>
        </w:rPr>
        <w:t>.</w:t>
      </w:r>
    </w:p>
    <w:p w:rsidR="00295238" w:rsidRPr="00AC55A3" w:rsidRDefault="00295238" w:rsidP="00481015">
      <w:pPr>
        <w:pStyle w:val="H23G"/>
        <w:keepNext w:val="0"/>
      </w:pPr>
      <w:r w:rsidRPr="003B5EA4">
        <w:tab/>
        <w:t>4.</w:t>
      </w:r>
      <w:r w:rsidRPr="003B5EA4">
        <w:tab/>
        <w:t>Consultants et vacataires</w:t>
      </w:r>
    </w:p>
    <w:p w:rsidR="00295238" w:rsidRPr="003B5EA4" w:rsidRDefault="00295238" w:rsidP="00481015">
      <w:pPr>
        <w:pStyle w:val="SingleTxtG"/>
        <w:rPr>
          <w:bCs/>
        </w:rPr>
      </w:pPr>
      <w:r w:rsidRPr="003B5EA4">
        <w:t>56.</w:t>
      </w:r>
      <w:r w:rsidRPr="003B5EA4">
        <w:tab/>
      </w:r>
      <w:r w:rsidRPr="003B5EA4">
        <w:rPr>
          <w:bCs/>
        </w:rPr>
        <w:t>Pour répondre aux besoins de projets à court terme ou au manque de capacités résidentes dans un domaine d</w:t>
      </w:r>
      <w:r w:rsidR="00762E0A">
        <w:rPr>
          <w:bCs/>
        </w:rPr>
        <w:t>’</w:t>
      </w:r>
      <w:r w:rsidRPr="003B5EA4">
        <w:rPr>
          <w:bCs/>
        </w:rPr>
        <w:t xml:space="preserve">expertise particulier, les organismes des Nations Unies </w:t>
      </w:r>
      <w:r w:rsidRPr="003B5EA4">
        <w:rPr>
          <w:bCs/>
        </w:rPr>
        <w:lastRenderedPageBreak/>
        <w:t>peuvent s</w:t>
      </w:r>
      <w:r w:rsidR="00762E0A">
        <w:rPr>
          <w:bCs/>
        </w:rPr>
        <w:t>’</w:t>
      </w:r>
      <w:r w:rsidRPr="003B5EA4">
        <w:rPr>
          <w:bCs/>
        </w:rPr>
        <w:t xml:space="preserve">assurer les services de consultants </w:t>
      </w:r>
      <w:r w:rsidR="00536685" w:rsidRPr="003B5EA4">
        <w:rPr>
          <w:bCs/>
        </w:rPr>
        <w:t>p</w:t>
      </w:r>
      <w:r w:rsidRPr="003B5EA4">
        <w:rPr>
          <w:bCs/>
        </w:rPr>
        <w:t>our de vacataires. Vingt</w:t>
      </w:r>
      <w:r w:rsidR="00536685" w:rsidRPr="003B5EA4">
        <w:rPr>
          <w:bCs/>
        </w:rPr>
        <w:t xml:space="preserve"> </w:t>
      </w:r>
      <w:r w:rsidRPr="003B5EA4">
        <w:rPr>
          <w:bCs/>
        </w:rPr>
        <w:t>et</w:t>
      </w:r>
      <w:r w:rsidR="00536685" w:rsidRPr="003B5EA4">
        <w:rPr>
          <w:bCs/>
        </w:rPr>
        <w:t xml:space="preserve"> </w:t>
      </w:r>
      <w:r w:rsidRPr="003B5EA4">
        <w:rPr>
          <w:bCs/>
        </w:rPr>
        <w:t>un organismes</w:t>
      </w:r>
      <w:r w:rsidRPr="003B5EA4">
        <w:rPr>
          <w:rStyle w:val="Appelnotedebasdep"/>
        </w:rPr>
        <w:footnoteReference w:id="61"/>
      </w:r>
      <w:r w:rsidRPr="003B5EA4">
        <w:rPr>
          <w:bCs/>
        </w:rPr>
        <w:t xml:space="preserve"> qui ont répondu au questionnaire du CCI ont pour règle de faire voyager les consultants et les vacataires en classe économique. Seuls quatre organismes ont recours à la classe affaires, à des seuils différents, pour les voyages de leurs consultants et vacataires, les alignant ainsi sur les règles en vigueur pour leur personnel</w:t>
      </w:r>
      <w:r w:rsidRPr="003B5EA4">
        <w:rPr>
          <w:rStyle w:val="Appelnotedebasdep"/>
        </w:rPr>
        <w:footnoteReference w:id="62"/>
      </w:r>
      <w:r w:rsidRPr="003B5EA4">
        <w:rPr>
          <w:bCs/>
        </w:rPr>
        <w:t>.</w:t>
      </w:r>
    </w:p>
    <w:p w:rsidR="00536685" w:rsidRPr="003B5EA4" w:rsidRDefault="00536685" w:rsidP="00295238">
      <w:pPr>
        <w:pStyle w:val="SingleTxtG"/>
        <w:rPr>
          <w:b/>
          <w:bCs/>
        </w:rPr>
      </w:pPr>
      <w:r w:rsidRPr="003B5EA4">
        <w:rPr>
          <w:bCs/>
        </w:rPr>
        <w:t>57.</w:t>
      </w:r>
      <w:r w:rsidRPr="003B5EA4">
        <w:rPr>
          <w:bCs/>
        </w:rPr>
        <w:tab/>
        <w:t>Au Secrétariat de l</w:t>
      </w:r>
      <w:r w:rsidR="00762E0A">
        <w:rPr>
          <w:bCs/>
        </w:rPr>
        <w:t>’</w:t>
      </w:r>
      <w:r w:rsidRPr="003B5EA4">
        <w:rPr>
          <w:bCs/>
        </w:rPr>
        <w:t>ONU, les conditions de voyage en avion applicables aux consultants et vacataires est la classe économique, quelle que soit le temps de voyage, sauf si le Secrétaire général en décide autrement</w:t>
      </w:r>
      <w:r w:rsidRPr="003B5EA4">
        <w:rPr>
          <w:rStyle w:val="Appelnotedebasdep"/>
        </w:rPr>
        <w:footnoteReference w:id="63"/>
      </w:r>
      <w:r w:rsidRPr="003B5EA4">
        <w:rPr>
          <w:bCs/>
        </w:rPr>
        <w:t xml:space="preserve">. </w:t>
      </w:r>
      <w:r w:rsidRPr="003B5EA4">
        <w:rPr>
          <w:b/>
          <w:bCs/>
        </w:rPr>
        <w:t>L</w:t>
      </w:r>
      <w:r w:rsidR="00762E0A">
        <w:rPr>
          <w:b/>
          <w:bCs/>
        </w:rPr>
        <w:t>’</w:t>
      </w:r>
      <w:r w:rsidRPr="003B5EA4">
        <w:rPr>
          <w:b/>
          <w:bCs/>
        </w:rPr>
        <w:t>Inspectrice salue cette pratique et est d</w:t>
      </w:r>
      <w:r w:rsidR="00762E0A">
        <w:rPr>
          <w:b/>
          <w:bCs/>
        </w:rPr>
        <w:t>’</w:t>
      </w:r>
      <w:r w:rsidRPr="003B5EA4">
        <w:rPr>
          <w:b/>
          <w:bCs/>
        </w:rPr>
        <w:t>avis que les chefs de secrétariat des organismes des Nations Unies qui ne l</w:t>
      </w:r>
      <w:r w:rsidR="00762E0A">
        <w:rPr>
          <w:b/>
          <w:bCs/>
        </w:rPr>
        <w:t>’</w:t>
      </w:r>
      <w:r w:rsidRPr="003B5EA4">
        <w:rPr>
          <w:b/>
          <w:bCs/>
        </w:rPr>
        <w:t>ont pas encore fait devraient, le cas échéant, adopter la classe économique pour les voyages de leurs consultants et vacataires, quelle que soit la durée du voyage, sauf circonstances spéciales ou justifiées.</w:t>
      </w:r>
    </w:p>
    <w:p w:rsidR="00536685" w:rsidRPr="00481015" w:rsidRDefault="00536685" w:rsidP="00481015">
      <w:pPr>
        <w:pStyle w:val="H23G"/>
      </w:pPr>
      <w:r w:rsidRPr="003B5EA4">
        <w:tab/>
      </w:r>
      <w:r w:rsidRPr="003B5EA4">
        <w:tab/>
        <w:t xml:space="preserve">Coût pour chaque organisme des conditions de voyage en avion accordées </w:t>
      </w:r>
      <w:r w:rsidRPr="003B5EA4">
        <w:br/>
        <w:t>aux non-fonctionnaires</w:t>
      </w:r>
    </w:p>
    <w:p w:rsidR="00684B61" w:rsidRPr="003B5EA4" w:rsidRDefault="00536685" w:rsidP="00684B61">
      <w:pPr>
        <w:pStyle w:val="Titre1"/>
        <w:rPr>
          <w:b/>
        </w:rPr>
      </w:pPr>
      <w:r w:rsidRPr="003B5EA4">
        <w:t xml:space="preserve">Figure VII </w:t>
      </w:r>
      <w:r w:rsidRPr="003B5EA4">
        <w:br/>
      </w:r>
      <w:r w:rsidR="00684B61" w:rsidRPr="003B5EA4">
        <w:rPr>
          <w:b/>
          <w:bCs/>
        </w:rPr>
        <w:t>Dépenses engagées par chaque organisme au titre des voyages en avion et des prestations connexes à l</w:t>
      </w:r>
      <w:r w:rsidR="00762E0A">
        <w:rPr>
          <w:b/>
          <w:bCs/>
        </w:rPr>
        <w:t>’</w:t>
      </w:r>
      <w:r w:rsidR="00684B61" w:rsidRPr="003B5EA4">
        <w:rPr>
          <w:b/>
          <w:bCs/>
        </w:rPr>
        <w:t>intention des non-fonctionnaires pendant la période</w:t>
      </w:r>
      <w:r w:rsidR="005E075C">
        <w:rPr>
          <w:b/>
          <w:bCs/>
        </w:rPr>
        <w:t xml:space="preserve"> </w:t>
      </w:r>
      <w:r w:rsidR="00684B61" w:rsidRPr="003B5EA4">
        <w:rPr>
          <w:b/>
        </w:rPr>
        <w:t>2012-2015</w:t>
      </w:r>
    </w:p>
    <w:p w:rsidR="00536685" w:rsidRDefault="00684B61" w:rsidP="00AD1302">
      <w:pPr>
        <w:pStyle w:val="Titre1"/>
        <w:spacing w:after="120"/>
        <w:rPr>
          <w:sz w:val="16"/>
          <w:szCs w:val="16"/>
        </w:rPr>
      </w:pPr>
      <w:r w:rsidRPr="003B5EA4">
        <w:rPr>
          <w:sz w:val="16"/>
          <w:szCs w:val="16"/>
        </w:rPr>
        <w:t xml:space="preserve">(En millions de dollars des États-Unis et en pourcentage des dépenses totales engagées au titre des voyages des fonctionnaires </w:t>
      </w:r>
      <w:r w:rsidRPr="003B5EA4">
        <w:rPr>
          <w:sz w:val="16"/>
          <w:szCs w:val="16"/>
        </w:rPr>
        <w:br/>
        <w:t>et non-fonctionnaires)</w:t>
      </w:r>
    </w:p>
    <w:p w:rsidR="001378D4" w:rsidRPr="003B5EA4" w:rsidRDefault="00626D56" w:rsidP="00FB39BB">
      <w:pPr>
        <w:pStyle w:val="SingleTxtG"/>
        <w:spacing w:after="0" w:line="240" w:lineRule="auto"/>
      </w:pPr>
      <w:r>
        <w:rPr>
          <w:rFonts w:eastAsiaTheme="minorEastAsia"/>
          <w:i/>
          <w:noProof/>
          <w:sz w:val="18"/>
          <w:szCs w:val="18"/>
          <w:lang w:eastAsia="fr-CH"/>
        </w:rPr>
        <mc:AlternateContent>
          <mc:Choice Requires="wps">
            <w:drawing>
              <wp:anchor distT="0" distB="0" distL="114300" distR="114300" simplePos="0" relativeHeight="251680768" behindDoc="0" locked="0" layoutInCell="1" allowOverlap="1" wp14:anchorId="01583F5B" wp14:editId="318328AD">
                <wp:simplePos x="0" y="0"/>
                <wp:positionH relativeFrom="column">
                  <wp:posOffset>754380</wp:posOffset>
                </wp:positionH>
                <wp:positionV relativeFrom="page">
                  <wp:posOffset>6016213</wp:posOffset>
                </wp:positionV>
                <wp:extent cx="205740" cy="145415"/>
                <wp:effectExtent l="0" t="0" r="3810" b="6985"/>
                <wp:wrapNone/>
                <wp:docPr id="50" name="Zone de texte 50"/>
                <wp:cNvGraphicFramePr/>
                <a:graphic xmlns:a="http://schemas.openxmlformats.org/drawingml/2006/main">
                  <a:graphicData uri="http://schemas.microsoft.com/office/word/2010/wordprocessingShape">
                    <wps:wsp>
                      <wps:cNvSpPr txBox="1"/>
                      <wps:spPr>
                        <a:xfrm>
                          <a:off x="0" y="0"/>
                          <a:ext cx="205740" cy="145415"/>
                        </a:xfrm>
                        <a:prstGeom prst="rect">
                          <a:avLst/>
                        </a:prstGeom>
                        <a:solidFill>
                          <a:schemeClr val="lt1"/>
                        </a:solidFill>
                        <a:ln w="6350">
                          <a:noFill/>
                        </a:ln>
                      </wps:spPr>
                      <wps:txbx>
                        <w:txbxContent>
                          <w:p w:rsidR="00ED0903" w:rsidRPr="003F0A6C" w:rsidRDefault="00ED0903" w:rsidP="001B7C6C">
                            <w:pPr>
                              <w:spacing w:line="240" w:lineRule="auto"/>
                              <w:jc w:val="right"/>
                              <w:rPr>
                                <w:color w:val="1F497D" w:themeColor="text2"/>
                                <w:spacing w:val="-2"/>
                                <w:sz w:val="16"/>
                                <w:szCs w:val="16"/>
                              </w:rPr>
                            </w:pP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83F5B" id="Zone de texte 50" o:spid="_x0000_s1033" type="#_x0000_t202" style="position:absolute;left:0;text-align:left;margin-left:59.4pt;margin-top:473.7pt;width:16.2pt;height:1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" fillcolor="white [3201]" stroked="f" strokeweight=".5pt">
                <v:textbox inset="0,0,0,0">
                  <w:txbxContent>
                    <w:p w:rsidR="00ED0903" w:rsidRPr="003F0A6C" w:rsidRDefault="00ED0903" w:rsidP="001B7C6C">
                      <w:pPr>
                        <w:spacing w:line="240" w:lineRule="auto"/>
                        <w:jc w:val="right"/>
                        <w:rPr>
                          <w:color w:val="1F497D" w:themeColor="text2"/>
                          <w:spacing w:val="-2"/>
                          <w:sz w:val="16"/>
                          <w:szCs w:val="16"/>
                        </w:rPr>
                      </w:pP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Pr>
          <w:rFonts w:eastAsiaTheme="minorEastAsia"/>
          <w:i/>
          <w:noProof/>
          <w:sz w:val="18"/>
          <w:szCs w:val="18"/>
          <w:lang w:eastAsia="fr-CH"/>
        </w:rPr>
        <mc:AlternateContent>
          <mc:Choice Requires="wps">
            <w:drawing>
              <wp:anchor distT="0" distB="0" distL="114300" distR="114300" simplePos="0" relativeHeight="251664384" behindDoc="0" locked="0" layoutInCell="1" allowOverlap="1" wp14:anchorId="608B76C3" wp14:editId="615811B8">
                <wp:simplePos x="0" y="0"/>
                <wp:positionH relativeFrom="column">
                  <wp:posOffset>742950</wp:posOffset>
                </wp:positionH>
                <wp:positionV relativeFrom="page">
                  <wp:posOffset>4557395</wp:posOffset>
                </wp:positionV>
                <wp:extent cx="226060" cy="145415"/>
                <wp:effectExtent l="0" t="0" r="2540" b="6985"/>
                <wp:wrapNone/>
                <wp:docPr id="44" name="Zone de texte 44"/>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401A14">
                            <w:pPr>
                              <w:spacing w:line="240" w:lineRule="auto"/>
                              <w:rPr>
                                <w:color w:val="1F497D" w:themeColor="text2"/>
                                <w:spacing w:val="-2"/>
                                <w:sz w:val="16"/>
                                <w:szCs w:val="16"/>
                              </w:rPr>
                            </w:pPr>
                            <w:r>
                              <w:rPr>
                                <w:color w:val="1F497D" w:themeColor="text2"/>
                                <w:spacing w:val="-2"/>
                                <w:sz w:val="16"/>
                                <w:szCs w:val="16"/>
                              </w:rPr>
                              <w:t>6</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76C3" id="Zone de texte 44" o:spid="_x0000_s1034" type="#_x0000_t202" style="position:absolute;left:0;text-align:left;margin-left:58.5pt;margin-top:358.85pt;width:17.8pt;height: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" fillcolor="white [3201]" stroked="f" strokeweight=".5pt">
                <v:textbox inset="0,0,0,0">
                  <w:txbxContent>
                    <w:p w:rsidR="00ED0903" w:rsidRPr="003F0A6C" w:rsidRDefault="00ED0903" w:rsidP="00401A14">
                      <w:pPr>
                        <w:spacing w:line="240" w:lineRule="auto"/>
                        <w:rPr>
                          <w:color w:val="1F497D" w:themeColor="text2"/>
                          <w:spacing w:val="-2"/>
                          <w:sz w:val="16"/>
                          <w:szCs w:val="16"/>
                        </w:rPr>
                      </w:pPr>
                      <w:r>
                        <w:rPr>
                          <w:color w:val="1F497D" w:themeColor="text2"/>
                          <w:spacing w:val="-2"/>
                          <w:sz w:val="16"/>
                          <w:szCs w:val="16"/>
                        </w:rPr>
                        <w:t>6</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Pr>
          <w:rFonts w:eastAsiaTheme="minorEastAsia"/>
          <w:i/>
          <w:noProof/>
          <w:sz w:val="18"/>
          <w:szCs w:val="18"/>
          <w:lang w:eastAsia="fr-CH"/>
        </w:rPr>
        <mc:AlternateContent>
          <mc:Choice Requires="wps">
            <w:drawing>
              <wp:anchor distT="0" distB="0" distL="114300" distR="114300" simplePos="0" relativeHeight="251660288" behindDoc="0" locked="0" layoutInCell="1" allowOverlap="1" wp14:anchorId="023E4324" wp14:editId="29A280B7">
                <wp:simplePos x="0" y="0"/>
                <wp:positionH relativeFrom="column">
                  <wp:posOffset>738505</wp:posOffset>
                </wp:positionH>
                <wp:positionV relativeFrom="page">
                  <wp:posOffset>4316095</wp:posOffset>
                </wp:positionV>
                <wp:extent cx="226060" cy="145415"/>
                <wp:effectExtent l="0" t="0" r="2540" b="6985"/>
                <wp:wrapNone/>
                <wp:docPr id="43" name="Zone de texte 43"/>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401A14">
                            <w:pPr>
                              <w:spacing w:line="240" w:lineRule="auto"/>
                              <w:rPr>
                                <w:color w:val="1F497D" w:themeColor="text2"/>
                                <w:spacing w:val="-2"/>
                                <w:sz w:val="16"/>
                                <w:szCs w:val="16"/>
                              </w:rPr>
                            </w:pPr>
                            <w:r>
                              <w:rPr>
                                <w:color w:val="1F497D" w:themeColor="text2"/>
                                <w:spacing w:val="-2"/>
                                <w:sz w:val="16"/>
                                <w:szCs w:val="16"/>
                              </w:rPr>
                              <w:t>7</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4324" id="Zone de texte 43" o:spid="_x0000_s1035" type="#_x0000_t202" style="position:absolute;left:0;text-align:left;margin-left:58.15pt;margin-top:339.85pt;width:17.8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" fillcolor="white [3201]" stroked="f" strokeweight=".5pt">
                <v:textbox inset="0,0,0,0">
                  <w:txbxContent>
                    <w:p w:rsidR="00ED0903" w:rsidRPr="003F0A6C" w:rsidRDefault="00ED0903" w:rsidP="00401A14">
                      <w:pPr>
                        <w:spacing w:line="240" w:lineRule="auto"/>
                        <w:rPr>
                          <w:color w:val="1F497D" w:themeColor="text2"/>
                          <w:spacing w:val="-2"/>
                          <w:sz w:val="16"/>
                          <w:szCs w:val="16"/>
                        </w:rPr>
                      </w:pPr>
                      <w:r>
                        <w:rPr>
                          <w:color w:val="1F497D" w:themeColor="text2"/>
                          <w:spacing w:val="-2"/>
                          <w:sz w:val="16"/>
                          <w:szCs w:val="16"/>
                        </w:rPr>
                        <w:t>7</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Pr>
          <w:rFonts w:eastAsiaTheme="minorEastAsia"/>
          <w:i/>
          <w:noProof/>
          <w:sz w:val="18"/>
          <w:szCs w:val="18"/>
          <w:lang w:eastAsia="fr-CH"/>
        </w:rPr>
        <mc:AlternateContent>
          <mc:Choice Requires="wps">
            <w:drawing>
              <wp:anchor distT="0" distB="0" distL="114300" distR="114300" simplePos="0" relativeHeight="251668480" behindDoc="0" locked="0" layoutInCell="1" allowOverlap="1" wp14:anchorId="608B76C3" wp14:editId="615811B8">
                <wp:simplePos x="0" y="0"/>
                <wp:positionH relativeFrom="column">
                  <wp:posOffset>742950</wp:posOffset>
                </wp:positionH>
                <wp:positionV relativeFrom="page">
                  <wp:posOffset>4798695</wp:posOffset>
                </wp:positionV>
                <wp:extent cx="226060" cy="145415"/>
                <wp:effectExtent l="0" t="0" r="2540" b="6985"/>
                <wp:wrapNone/>
                <wp:docPr id="45" name="Zone de texte 45"/>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5</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76C3" id="Zone de texte 45" o:spid="_x0000_s1036" type="#_x0000_t202" style="position:absolute;left:0;text-align:left;margin-left:58.5pt;margin-top:377.85pt;width:17.8pt;height:1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" fillcolor="white [3201]" stroked="f" strokeweight=".5pt">
                <v:textbox inset="0,0,0,0">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5</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Pr>
          <w:rFonts w:eastAsiaTheme="minorEastAsia"/>
          <w:i/>
          <w:noProof/>
          <w:sz w:val="18"/>
          <w:szCs w:val="18"/>
          <w:lang w:eastAsia="fr-CH"/>
        </w:rPr>
        <mc:AlternateContent>
          <mc:Choice Requires="wps">
            <w:drawing>
              <wp:anchor distT="0" distB="0" distL="114300" distR="114300" simplePos="0" relativeHeight="251684864" behindDoc="0" locked="0" layoutInCell="1" allowOverlap="1" wp14:anchorId="4610F73C" wp14:editId="13E997BC">
                <wp:simplePos x="0" y="0"/>
                <wp:positionH relativeFrom="column">
                  <wp:posOffset>738505</wp:posOffset>
                </wp:positionH>
                <wp:positionV relativeFrom="page">
                  <wp:posOffset>5053965</wp:posOffset>
                </wp:positionV>
                <wp:extent cx="226060" cy="145415"/>
                <wp:effectExtent l="0" t="0" r="2540" b="6985"/>
                <wp:wrapNone/>
                <wp:docPr id="46" name="Zone de texte 46"/>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4</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0F73C" id="Zone de texte 46" o:spid="_x0000_s1037" type="#_x0000_t202" style="position:absolute;left:0;text-align:left;margin-left:58.15pt;margin-top:397.95pt;width:17.8pt;height:1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" fillcolor="white [3201]" stroked="f" strokeweight=".5pt">
                <v:textbox inset="0,0,0,0">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4</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Pr>
          <w:rFonts w:eastAsiaTheme="minorEastAsia"/>
          <w:i/>
          <w:noProof/>
          <w:sz w:val="18"/>
          <w:szCs w:val="18"/>
          <w:lang w:eastAsia="fr-CH"/>
        </w:rPr>
        <mc:AlternateContent>
          <mc:Choice Requires="wps">
            <w:drawing>
              <wp:anchor distT="0" distB="0" distL="114300" distR="114300" simplePos="0" relativeHeight="251688960" behindDoc="0" locked="0" layoutInCell="1" allowOverlap="1" wp14:anchorId="28F8D4AB" wp14:editId="6D03708C">
                <wp:simplePos x="0" y="0"/>
                <wp:positionH relativeFrom="column">
                  <wp:posOffset>738505</wp:posOffset>
                </wp:positionH>
                <wp:positionV relativeFrom="page">
                  <wp:posOffset>5304790</wp:posOffset>
                </wp:positionV>
                <wp:extent cx="226060" cy="145415"/>
                <wp:effectExtent l="0" t="0" r="2540" b="6985"/>
                <wp:wrapNone/>
                <wp:docPr id="47" name="Zone de texte 47"/>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 xml:space="preserve">30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D4AB" id="Zone de texte 47" o:spid="_x0000_s1038" type="#_x0000_t202" style="position:absolute;left:0;text-align:left;margin-left:58.15pt;margin-top:417.7pt;width:17.8pt;height:1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" fillcolor="white [3201]" stroked="f" strokeweight=".5pt">
                <v:textbox inset="0,0,0,0">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 xml:space="preserve">30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Pr>
          <w:rFonts w:eastAsiaTheme="minorEastAsia"/>
          <w:i/>
          <w:noProof/>
          <w:sz w:val="18"/>
          <w:szCs w:val="18"/>
          <w:lang w:eastAsia="fr-CH"/>
        </w:rPr>
        <mc:AlternateContent>
          <mc:Choice Requires="wps">
            <w:drawing>
              <wp:anchor distT="0" distB="0" distL="114300" distR="114300" simplePos="0" relativeHeight="251672576" behindDoc="0" locked="0" layoutInCell="1" allowOverlap="1" wp14:anchorId="176EB0FE" wp14:editId="0C88C643">
                <wp:simplePos x="0" y="0"/>
                <wp:positionH relativeFrom="column">
                  <wp:posOffset>738505</wp:posOffset>
                </wp:positionH>
                <wp:positionV relativeFrom="page">
                  <wp:posOffset>5547360</wp:posOffset>
                </wp:positionV>
                <wp:extent cx="226060" cy="145415"/>
                <wp:effectExtent l="0" t="0" r="2540" b="6985"/>
                <wp:wrapNone/>
                <wp:docPr id="48" name="Zone de texte 48"/>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2</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EB0FE" id="Zone de texte 48" o:spid="_x0000_s1039" type="#_x0000_t202" style="position:absolute;left:0;text-align:left;margin-left:58.15pt;margin-top:436.8pt;width:17.8pt;height:1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" fillcolor="white [3201]" stroked="f" strokeweight=".5pt">
                <v:textbox inset="0,0,0,0">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2</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Pr>
          <w:rFonts w:eastAsiaTheme="minorEastAsia"/>
          <w:i/>
          <w:noProof/>
          <w:sz w:val="18"/>
          <w:szCs w:val="18"/>
          <w:lang w:eastAsia="fr-CH"/>
        </w:rPr>
        <mc:AlternateContent>
          <mc:Choice Requires="wps">
            <w:drawing>
              <wp:anchor distT="0" distB="0" distL="114300" distR="114300" simplePos="0" relativeHeight="251676672" behindDoc="0" locked="0" layoutInCell="1" allowOverlap="1" wp14:anchorId="1AFDFC26" wp14:editId="1CBF042A">
                <wp:simplePos x="0" y="0"/>
                <wp:positionH relativeFrom="column">
                  <wp:posOffset>738505</wp:posOffset>
                </wp:positionH>
                <wp:positionV relativeFrom="page">
                  <wp:posOffset>5793517</wp:posOffset>
                </wp:positionV>
                <wp:extent cx="226060" cy="145415"/>
                <wp:effectExtent l="0" t="0" r="2540" b="6985"/>
                <wp:wrapNone/>
                <wp:docPr id="49" name="Zone de texte 49"/>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1</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FC26" id="Zone de texte 49" o:spid="_x0000_s1040" type="#_x0000_t202" style="position:absolute;left:0;text-align:left;margin-left:58.15pt;margin-top:456.2pt;width:17.8pt;height:1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" fillcolor="white [3201]" stroked="f" strokeweight=".5pt">
                <v:textbox inset="0,0,0,0">
                  <w:txbxContent>
                    <w:p w:rsidR="00ED0903" w:rsidRPr="003F0A6C" w:rsidRDefault="00ED0903" w:rsidP="001B7C6C">
                      <w:pPr>
                        <w:spacing w:line="240" w:lineRule="auto"/>
                        <w:rPr>
                          <w:color w:val="1F497D" w:themeColor="text2"/>
                          <w:spacing w:val="-2"/>
                          <w:sz w:val="16"/>
                          <w:szCs w:val="16"/>
                        </w:rPr>
                      </w:pPr>
                      <w:r>
                        <w:rPr>
                          <w:color w:val="1F497D" w:themeColor="text2"/>
                          <w:spacing w:val="-2"/>
                          <w:sz w:val="16"/>
                          <w:szCs w:val="16"/>
                        </w:rPr>
                        <w:t>1</w:t>
                      </w:r>
                      <w:r w:rsidRPr="003F0A6C">
                        <w:rPr>
                          <w:color w:val="1F497D" w:themeColor="text2"/>
                          <w:spacing w:val="-2"/>
                          <w:sz w:val="16"/>
                          <w:szCs w:val="16"/>
                        </w:rPr>
                        <w:t>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sidR="007253B9">
        <w:rPr>
          <w:rFonts w:eastAsiaTheme="minorEastAsia"/>
          <w:i/>
          <w:noProof/>
          <w:sz w:val="18"/>
          <w:szCs w:val="18"/>
          <w:lang w:eastAsia="fr-CH"/>
        </w:rPr>
        <mc:AlternateContent>
          <mc:Choice Requires="wps">
            <w:drawing>
              <wp:anchor distT="0" distB="0" distL="114300" distR="114300" simplePos="0" relativeHeight="251656192" behindDoc="0" locked="0" layoutInCell="1" allowOverlap="1" wp14:anchorId="72139CB7" wp14:editId="7570148F">
                <wp:simplePos x="0" y="0"/>
                <wp:positionH relativeFrom="column">
                  <wp:posOffset>740410</wp:posOffset>
                </wp:positionH>
                <wp:positionV relativeFrom="page">
                  <wp:posOffset>4094257</wp:posOffset>
                </wp:positionV>
                <wp:extent cx="226060" cy="145415"/>
                <wp:effectExtent l="0" t="0" r="2540" b="6985"/>
                <wp:wrapNone/>
                <wp:docPr id="42" name="Zone de texte 42"/>
                <wp:cNvGraphicFramePr/>
                <a:graphic xmlns:a="http://schemas.openxmlformats.org/drawingml/2006/main">
                  <a:graphicData uri="http://schemas.microsoft.com/office/word/2010/wordprocessingShape">
                    <wps:wsp>
                      <wps:cNvSpPr txBox="1"/>
                      <wps:spPr>
                        <a:xfrm>
                          <a:off x="0" y="0"/>
                          <a:ext cx="226060" cy="145415"/>
                        </a:xfrm>
                        <a:prstGeom prst="rect">
                          <a:avLst/>
                        </a:prstGeom>
                        <a:solidFill>
                          <a:schemeClr val="lt1"/>
                        </a:solidFill>
                        <a:ln w="6350">
                          <a:noFill/>
                        </a:ln>
                      </wps:spPr>
                      <wps:txbx>
                        <w:txbxContent>
                          <w:p w:rsidR="00ED0903" w:rsidRPr="003F0A6C" w:rsidRDefault="00ED0903" w:rsidP="009D172B">
                            <w:pPr>
                              <w:spacing w:line="240" w:lineRule="auto"/>
                              <w:rPr>
                                <w:color w:val="1F497D" w:themeColor="text2"/>
                                <w:spacing w:val="-2"/>
                                <w:sz w:val="16"/>
                                <w:szCs w:val="16"/>
                              </w:rPr>
                            </w:pPr>
                            <w:r w:rsidRPr="003F0A6C">
                              <w:rPr>
                                <w:color w:val="1F497D" w:themeColor="text2"/>
                                <w:spacing w:val="-2"/>
                                <w:sz w:val="16"/>
                                <w:szCs w:val="16"/>
                              </w:rPr>
                              <w:t>80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9CB7" id="Zone de texte 42" o:spid="_x0000_s1041" type="#_x0000_t202" style="position:absolute;left:0;text-align:left;margin-left:58.3pt;margin-top:322.4pt;width:17.8pt;height:1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" fillcolor="white [3201]" stroked="f" strokeweight=".5pt">
                <v:textbox inset="0,0,0,0">
                  <w:txbxContent>
                    <w:p w:rsidR="00ED0903" w:rsidRPr="003F0A6C" w:rsidRDefault="00ED0903" w:rsidP="009D172B">
                      <w:pPr>
                        <w:spacing w:line="240" w:lineRule="auto"/>
                        <w:rPr>
                          <w:color w:val="1F497D" w:themeColor="text2"/>
                          <w:spacing w:val="-2"/>
                          <w:sz w:val="16"/>
                          <w:szCs w:val="16"/>
                        </w:rPr>
                      </w:pPr>
                      <w:r w:rsidRPr="003F0A6C">
                        <w:rPr>
                          <w:color w:val="1F497D" w:themeColor="text2"/>
                          <w:spacing w:val="-2"/>
                          <w:sz w:val="16"/>
                          <w:szCs w:val="16"/>
                        </w:rPr>
                        <w:t>80</w:t>
                      </w:r>
                      <w:r>
                        <w:rPr>
                          <w:color w:val="1F497D" w:themeColor="text2"/>
                          <w:spacing w:val="-2"/>
                          <w:sz w:val="16"/>
                          <w:szCs w:val="16"/>
                        </w:rPr>
                        <w:t xml:space="preserve"> </w:t>
                      </w:r>
                      <w:r w:rsidRPr="003F0A6C">
                        <w:rPr>
                          <w:color w:val="1F497D" w:themeColor="text2"/>
                          <w:spacing w:val="-2"/>
                          <w:sz w:val="16"/>
                          <w:szCs w:val="16"/>
                        </w:rPr>
                        <w:t>%</w:t>
                      </w:r>
                      <w:r>
                        <w:rPr>
                          <w:color w:val="1F497D" w:themeColor="text2"/>
                          <w:spacing w:val="-2"/>
                          <w:sz w:val="16"/>
                          <w:szCs w:val="16"/>
                        </w:rPr>
                        <w:t xml:space="preserve"> </w:t>
                      </w:r>
                    </w:p>
                  </w:txbxContent>
                </v:textbox>
                <w10:wrap anchory="page"/>
              </v:shape>
            </w:pict>
          </mc:Fallback>
        </mc:AlternateContent>
      </w:r>
      <w:r w:rsidR="00FB39BB" w:rsidRPr="000A4F7E">
        <w:rPr>
          <w:noProof/>
          <w:lang w:eastAsia="fr-CH"/>
        </w:rPr>
        <w:drawing>
          <wp:inline distT="0" distB="0" distL="0" distR="0" wp14:anchorId="26E9F691" wp14:editId="78A4E6F9">
            <wp:extent cx="5431135" cy="2613025"/>
            <wp:effectExtent l="0" t="0" r="17780" b="15875"/>
            <wp:docPr id="40" name="Chart 28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4B61" w:rsidRPr="003B5EA4" w:rsidRDefault="00A018FE" w:rsidP="00A018FE">
      <w:pPr>
        <w:pStyle w:val="SingleTxtG"/>
        <w:spacing w:before="120" w:after="240"/>
        <w:ind w:firstLine="170"/>
        <w:jc w:val="left"/>
        <w:rPr>
          <w:rFonts w:eastAsiaTheme="minorEastAsia"/>
          <w:sz w:val="18"/>
          <w:szCs w:val="18"/>
        </w:rPr>
      </w:pPr>
      <w:r w:rsidRPr="003B5EA4">
        <w:rPr>
          <w:rFonts w:eastAsiaTheme="minorEastAsia"/>
          <w:i/>
          <w:sz w:val="18"/>
          <w:szCs w:val="18"/>
        </w:rPr>
        <w:t>Source</w:t>
      </w:r>
      <w:r w:rsidRPr="003B5EA4">
        <w:rPr>
          <w:rFonts w:eastAsiaTheme="minorEastAsia"/>
          <w:sz w:val="18"/>
          <w:szCs w:val="18"/>
        </w:rPr>
        <w:t> : Réponses des organismes au questionnaire du CCI.</w:t>
      </w:r>
    </w:p>
    <w:p w:rsidR="00A018FE" w:rsidRPr="003B5EA4" w:rsidRDefault="00111298" w:rsidP="00505CA9">
      <w:pPr>
        <w:pStyle w:val="SingleTxtG"/>
      </w:pPr>
      <w:r w:rsidRPr="003B5EA4">
        <w:t>58.</w:t>
      </w:r>
      <w:r w:rsidRPr="003B5EA4">
        <w:tab/>
        <w:t>Parmi les organismes du système des Nations Unies, 16 seulement</w:t>
      </w:r>
      <w:r w:rsidRPr="003B5EA4">
        <w:rPr>
          <w:rStyle w:val="Appelnotedebasdep"/>
        </w:rPr>
        <w:footnoteReference w:id="64"/>
      </w:r>
      <w:r w:rsidRPr="003B5EA4">
        <w:t xml:space="preserve"> ont fourni des données ventilées rendant compte, à certaines exceptions près</w:t>
      </w:r>
      <w:r w:rsidRPr="003B5EA4">
        <w:rPr>
          <w:rStyle w:val="Appelnotedebasdep"/>
        </w:rPr>
        <w:footnoteReference w:id="65"/>
      </w:r>
      <w:r w:rsidRPr="003B5EA4">
        <w:t>, des dépenses (inscrites au budget ordinaire et d</w:t>
      </w:r>
      <w:r w:rsidR="00762E0A">
        <w:t>’</w:t>
      </w:r>
      <w:r w:rsidRPr="003B5EA4">
        <w:t>origine extrabudgétaire) qu</w:t>
      </w:r>
      <w:r w:rsidR="00762E0A">
        <w:t>’</w:t>
      </w:r>
      <w:r w:rsidRPr="003B5EA4">
        <w:t>ils avaient engagées au titre des voyages en avion et des prestations connexes destinés aux non-fonctionnaires pendant la période de quatre</w:t>
      </w:r>
      <w:r w:rsidR="00592DC4">
        <w:t> </w:t>
      </w:r>
      <w:r w:rsidRPr="003B5EA4">
        <w:t xml:space="preserve">ans allant de 2012 à 2015 (voir annexe I). Les coûts ainsi rapportés totalisaient </w:t>
      </w:r>
      <w:r w:rsidRPr="003B5EA4">
        <w:lastRenderedPageBreak/>
        <w:t>1,35 milliard de dollars des États-Unis et représentaient 43,8 % des dépenses totales engagées par ces organismes au titre des voyages en avion et des prestations connexes. La figure VII fournit les dépenses relatives au</w:t>
      </w:r>
      <w:r w:rsidR="00944AFE">
        <w:t>x</w:t>
      </w:r>
      <w:r w:rsidRPr="003B5EA4">
        <w:t xml:space="preserve"> voyages en avion des non-fonctionnaires pour chacun des organismes concernés et les représente en pourcentage de leurs dépenses totales relatives aux voyages des fonctionnaire</w:t>
      </w:r>
      <w:r w:rsidR="00944AFE">
        <w:t>s</w:t>
      </w:r>
      <w:r w:rsidRPr="003B5EA4">
        <w:t xml:space="preserve"> et non-fonctionnaires réunis. Il est regrettable que 12 organismes, parmi lesquels les plus grands que sont le Secrétariat de l</w:t>
      </w:r>
      <w:r w:rsidR="00762E0A">
        <w:t>’</w:t>
      </w:r>
      <w:r w:rsidRPr="003B5EA4">
        <w:t>ONU et le PNUD, n</w:t>
      </w:r>
      <w:r w:rsidR="00762E0A">
        <w:t>’</w:t>
      </w:r>
      <w:r w:rsidRPr="003B5EA4">
        <w:t>aient pas fourni de données ventilées en fonction de la qualité de fonctionnaire ou non des voyageurs. Cette lacune dans les données fournies n</w:t>
      </w:r>
      <w:r w:rsidR="00762E0A">
        <w:t>’</w:t>
      </w:r>
      <w:r w:rsidRPr="003B5EA4">
        <w:t>a pas permis d</w:t>
      </w:r>
      <w:r w:rsidR="00762E0A">
        <w:t>’</w:t>
      </w:r>
      <w:r w:rsidRPr="003B5EA4">
        <w:t>effectuer une analyse complète des frais de voyage relatifs aux non-fonctionnaires à l</w:t>
      </w:r>
      <w:r w:rsidR="00762E0A">
        <w:t>’</w:t>
      </w:r>
      <w:r w:rsidRPr="003B5EA4">
        <w:t>échelle du système.</w:t>
      </w:r>
    </w:p>
    <w:p w:rsidR="00111298" w:rsidRPr="003B5EA4" w:rsidRDefault="00111298" w:rsidP="00111298">
      <w:pPr>
        <w:pStyle w:val="SingleTxtG"/>
        <w:rPr>
          <w:bCs/>
        </w:rPr>
      </w:pPr>
      <w:r w:rsidRPr="003B5EA4">
        <w:t>59.</w:t>
      </w:r>
      <w:r w:rsidRPr="003B5EA4">
        <w:tab/>
        <w:t>Comme le montre l</w:t>
      </w:r>
      <w:r w:rsidR="00762E0A">
        <w:t>’</w:t>
      </w:r>
      <w:r w:rsidRPr="003B5EA4">
        <w:rPr>
          <w:bCs/>
        </w:rPr>
        <w:t>annexe I, durant la période de quatre ans s</w:t>
      </w:r>
      <w:r w:rsidR="00762E0A">
        <w:rPr>
          <w:bCs/>
        </w:rPr>
        <w:t>’</w:t>
      </w:r>
      <w:r w:rsidRPr="003B5EA4">
        <w:rPr>
          <w:bCs/>
        </w:rPr>
        <w:t>étendant de 2012 à 2015, six organismes ont vu augmenter progressivement, d</w:t>
      </w:r>
      <w:r w:rsidR="00762E0A">
        <w:rPr>
          <w:bCs/>
        </w:rPr>
        <w:t>’</w:t>
      </w:r>
      <w:r w:rsidRPr="003B5EA4">
        <w:rPr>
          <w:bCs/>
        </w:rPr>
        <w:t>année en année, les fonds qu</w:t>
      </w:r>
      <w:r w:rsidR="00762E0A">
        <w:rPr>
          <w:bCs/>
        </w:rPr>
        <w:t>’</w:t>
      </w:r>
      <w:r w:rsidRPr="003B5EA4">
        <w:rPr>
          <w:bCs/>
        </w:rPr>
        <w:t>ils consacraient aux voyages en avion et aux prestations connexes destinés aux voyageurs non fonctionnaires : la FAO, le HCR, l</w:t>
      </w:r>
      <w:r w:rsidR="00762E0A">
        <w:rPr>
          <w:bCs/>
        </w:rPr>
        <w:t>’</w:t>
      </w:r>
      <w:r w:rsidRPr="003B5EA4">
        <w:rPr>
          <w:bCs/>
        </w:rPr>
        <w:t>OMS, l</w:t>
      </w:r>
      <w:r w:rsidR="00762E0A">
        <w:rPr>
          <w:bCs/>
        </w:rPr>
        <w:t>’</w:t>
      </w:r>
      <w:r w:rsidRPr="003B5EA4">
        <w:rPr>
          <w:bCs/>
        </w:rPr>
        <w:t>ONUDI, le PAM, et l</w:t>
      </w:r>
      <w:r w:rsidR="00762E0A">
        <w:rPr>
          <w:bCs/>
        </w:rPr>
        <w:t>’</w:t>
      </w:r>
      <w:r w:rsidRPr="003B5EA4">
        <w:rPr>
          <w:bCs/>
        </w:rPr>
        <w:t>UPU. Seul l</w:t>
      </w:r>
      <w:r w:rsidR="00762E0A">
        <w:rPr>
          <w:bCs/>
        </w:rPr>
        <w:t>’</w:t>
      </w:r>
      <w:r w:rsidRPr="003B5EA4">
        <w:rPr>
          <w:bCs/>
        </w:rPr>
        <w:t>UIT a connu le scénario inverse, tandis que l</w:t>
      </w:r>
      <w:r w:rsidR="00762E0A">
        <w:rPr>
          <w:bCs/>
        </w:rPr>
        <w:t>’</w:t>
      </w:r>
      <w:r w:rsidRPr="003B5EA4">
        <w:rPr>
          <w:bCs/>
        </w:rPr>
        <w:t>OMI et l</w:t>
      </w:r>
      <w:r w:rsidR="00762E0A">
        <w:rPr>
          <w:bCs/>
        </w:rPr>
        <w:t>’</w:t>
      </w:r>
      <w:r w:rsidRPr="003B5EA4">
        <w:rPr>
          <w:bCs/>
        </w:rPr>
        <w:t>UNESCO ont assisté à une baisse progressive des montants concernés à partir de 2013. Le niveau de ces dépenses est par ailleurs resté constant à l</w:t>
      </w:r>
      <w:r w:rsidR="00762E0A">
        <w:rPr>
          <w:bCs/>
        </w:rPr>
        <w:t>’</w:t>
      </w:r>
      <w:r w:rsidRPr="003B5EA4">
        <w:rPr>
          <w:bCs/>
        </w:rPr>
        <w:t>AIEA depuis 2012, tandis que les fluctuations annuelles enregistrées par cinq autres organismes (CCI*, OIT, OMPI, UNICEF et ONUSIDA) ne permettent de déceler aucune tendance en la matière.</w:t>
      </w:r>
    </w:p>
    <w:p w:rsidR="00111298" w:rsidRPr="003B5EA4" w:rsidRDefault="00111298" w:rsidP="00267BE8">
      <w:pPr>
        <w:pStyle w:val="HChG"/>
        <w:spacing w:before="320" w:after="200"/>
      </w:pPr>
      <w:r w:rsidRPr="003B5EA4">
        <w:br w:type="page"/>
      </w:r>
      <w:r w:rsidR="000D5258" w:rsidRPr="003B5EA4">
        <w:lastRenderedPageBreak/>
        <w:tab/>
        <w:t>IV.</w:t>
      </w:r>
      <w:r w:rsidR="000D5258" w:rsidRPr="003B5EA4">
        <w:tab/>
        <w:t>Nécessité de revoir les classes de voyage en avion</w:t>
      </w:r>
    </w:p>
    <w:p w:rsidR="000D5258" w:rsidRPr="003B5EA4" w:rsidRDefault="000D5258" w:rsidP="00267BE8">
      <w:pPr>
        <w:pStyle w:val="H1G"/>
        <w:spacing w:before="320" w:after="200"/>
      </w:pPr>
      <w:r w:rsidRPr="003B5EA4">
        <w:tab/>
        <w:t>A.</w:t>
      </w:r>
      <w:r w:rsidRPr="003B5EA4">
        <w:tab/>
        <w:t>Révision de la politique relative aux voyages en première classe</w:t>
      </w:r>
    </w:p>
    <w:p w:rsidR="000D5258" w:rsidRPr="003B5EA4" w:rsidRDefault="000D5258" w:rsidP="000D5258">
      <w:pPr>
        <w:pStyle w:val="SingleTxtG"/>
      </w:pPr>
      <w:r w:rsidRPr="003B5EA4">
        <w:t>60.</w:t>
      </w:r>
      <w:r w:rsidRPr="003B5EA4">
        <w:tab/>
        <w:t>Cela fait des décennies que la question du voyage en première classe des fonctionnaires du système des Nations Unies fait l</w:t>
      </w:r>
      <w:r w:rsidR="00762E0A">
        <w:t>’</w:t>
      </w:r>
      <w:r w:rsidRPr="003B5EA4">
        <w:t>objet de discussions au sein des organes législatifs et de contrôle. À dater de 1972, il ne s</w:t>
      </w:r>
      <w:r w:rsidR="00762E0A">
        <w:t>’</w:t>
      </w:r>
      <w:r w:rsidRPr="003B5EA4">
        <w:t>est pas passer une décennie sans qu</w:t>
      </w:r>
      <w:r w:rsidR="00762E0A">
        <w:t>’</w:t>
      </w:r>
      <w:r w:rsidRPr="003B5EA4">
        <w:t>un rapport du CCI portant sur les voyages en avion ne souligne l</w:t>
      </w:r>
      <w:r w:rsidR="00762E0A">
        <w:t>’</w:t>
      </w:r>
      <w:r w:rsidRPr="003B5EA4">
        <w:t>importance des économies qui pourraient être réalisées en circonscrivant ou en supprimant le droit au voyage en première classe</w:t>
      </w:r>
      <w:r w:rsidRPr="003B5EA4">
        <w:rPr>
          <w:rStyle w:val="Appelnotedebasdep"/>
        </w:rPr>
        <w:footnoteReference w:id="66"/>
      </w:r>
      <w:r w:rsidRPr="003B5EA4">
        <w:t>. En 2004, le Comité consultatif pour les questions administratives et budgétaires a souligné que le moment était venu de « réexaminer dans son ensemble la question des voyages en première classe », relevant par ailleurs le fait que « de nombreuse</w:t>
      </w:r>
      <w:r w:rsidR="00016704">
        <w:t>s</w:t>
      </w:r>
      <w:r w:rsidRPr="003B5EA4">
        <w:t xml:space="preserve"> compagnies aériennes ont considérablement réduit, voire même éliminé, les premières classes », remplacées par « plusieurs catégories de classe affaires améliorées » ne présentant que des différences minimes avec la première classe</w:t>
      </w:r>
      <w:r w:rsidRPr="003B5EA4">
        <w:rPr>
          <w:rStyle w:val="Appelnotedebasdep"/>
        </w:rPr>
        <w:footnoteReference w:id="67"/>
      </w:r>
      <w:r w:rsidRPr="003B5EA4">
        <w:t>.</w:t>
      </w:r>
    </w:p>
    <w:p w:rsidR="000D5258" w:rsidRPr="003B5EA4" w:rsidRDefault="000D5258" w:rsidP="000D5258">
      <w:pPr>
        <w:pStyle w:val="SingleTxtG"/>
      </w:pPr>
      <w:r w:rsidRPr="003B5EA4">
        <w:t>61.</w:t>
      </w:r>
      <w:r w:rsidRPr="003B5EA4">
        <w:tab/>
        <w:t>Des représentants de la Division des services médicaux interrogés à New York ont confirmé qu</w:t>
      </w:r>
      <w:r w:rsidR="00762E0A">
        <w:t>’</w:t>
      </w:r>
      <w:r w:rsidRPr="003B5EA4">
        <w:t>il n</w:t>
      </w:r>
      <w:r w:rsidR="00762E0A">
        <w:t>’</w:t>
      </w:r>
      <w:r w:rsidRPr="003B5EA4">
        <w:t>y avait que peu de différence entre les niveaux de confort proposés en première classe et en classe affaires. Ce constat a également été confirmé par des représentants de compagnies aériennes interrogés à Genève, lesquels ont présenté la classe affaires d</w:t>
      </w:r>
      <w:r w:rsidR="00762E0A">
        <w:t>’</w:t>
      </w:r>
      <w:r w:rsidRPr="003B5EA4">
        <w:t>aujourd</w:t>
      </w:r>
      <w:r w:rsidR="00762E0A">
        <w:t>’</w:t>
      </w:r>
      <w:r w:rsidRPr="003B5EA4">
        <w:t>hui, avec l</w:t>
      </w:r>
      <w:r w:rsidR="00762E0A">
        <w:t>’</w:t>
      </w:r>
      <w:r w:rsidRPr="003B5EA4">
        <w:t>amélioration de ses équipements et services, comme l</w:t>
      </w:r>
      <w:r w:rsidR="00762E0A">
        <w:t>’</w:t>
      </w:r>
      <w:r w:rsidRPr="003B5EA4">
        <w:t>équivalent de la première classe d</w:t>
      </w:r>
      <w:r w:rsidR="00762E0A">
        <w:t>’</w:t>
      </w:r>
      <w:r w:rsidRPr="003B5EA4">
        <w:t>autrefois.</w:t>
      </w:r>
    </w:p>
    <w:p w:rsidR="000D5258" w:rsidRPr="003B5EA4" w:rsidRDefault="000D5258" w:rsidP="000D5258">
      <w:pPr>
        <w:pStyle w:val="SingleTxtG"/>
      </w:pPr>
      <w:r w:rsidRPr="003B5EA4">
        <w:t>62.</w:t>
      </w:r>
      <w:r w:rsidRPr="003B5EA4">
        <w:tab/>
        <w:t xml:space="preserve">La possibilité de réaliser des économies et les conclusions des organes législatifs sont étayées par les données que les organismes ont fournies quant aux coûts occasionnés par les voyages en première classe. Les dépenses totales engagées au titre des voyages en première classe par les 15 organismes des Nations Unies qui ont répondu sur ce point, dont </w:t>
      </w:r>
      <w:r w:rsidR="00016704">
        <w:t>6</w:t>
      </w:r>
      <w:r w:rsidRPr="003B5EA4">
        <w:t xml:space="preserve"> ont fourni des données concernant toutes les années contenues entre 2010 et 2015</w:t>
      </w:r>
      <w:r w:rsidRPr="003B5EA4">
        <w:rPr>
          <w:rStyle w:val="Appelnotedebasdep"/>
        </w:rPr>
        <w:footnoteReference w:id="68"/>
      </w:r>
      <w:r w:rsidRPr="003B5EA4">
        <w:t xml:space="preserve"> et </w:t>
      </w:r>
      <w:r w:rsidR="00016704">
        <w:t>9</w:t>
      </w:r>
      <w:r w:rsidRPr="003B5EA4">
        <w:t xml:space="preserve"> sur certaines de ces années</w:t>
      </w:r>
      <w:r w:rsidRPr="003B5EA4">
        <w:rPr>
          <w:rStyle w:val="Appelnotedebasdep"/>
        </w:rPr>
        <w:footnoteReference w:id="69"/>
      </w:r>
      <w:r w:rsidRPr="003B5EA4">
        <w:t>, s</w:t>
      </w:r>
      <w:r w:rsidR="00762E0A">
        <w:t>’</w:t>
      </w:r>
      <w:r w:rsidRPr="003B5EA4">
        <w:t>élevaient à 8,1 millions de dollars des États-Unis, soit un coût moyen de 5 798 dollars des États-Unis par voyage à raison de 1 400 voyages</w:t>
      </w:r>
      <w:r w:rsidRPr="003B5EA4">
        <w:rPr>
          <w:rStyle w:val="Appelnotedebasdep"/>
        </w:rPr>
        <w:footnoteReference w:id="70"/>
      </w:r>
      <w:r w:rsidRPr="003B5EA4">
        <w:t>. Par comparaison, les 141 380 voyages en classe affaires financés par ces 15 organismes pendant la même période ont coûté en tout 548,26 millions de dollars des États-Unis, à un coût moyen par voyage en classe affaires de 3 878 dollars des États-Unis.</w:t>
      </w:r>
    </w:p>
    <w:p w:rsidR="000D5258" w:rsidRPr="003B5EA4" w:rsidRDefault="000D5258" w:rsidP="000D5258">
      <w:pPr>
        <w:pStyle w:val="SingleTxtG"/>
      </w:pPr>
      <w:r w:rsidRPr="003B5EA4">
        <w:t>63.</w:t>
      </w:r>
      <w:r w:rsidRPr="003B5EA4">
        <w:tab/>
        <w:t>Le coût moyen du voyage en première classe financé par les entités des Nations Unies qui ont fourni des informations à ce sujet est de 33 % plus élevé (1 920 dollars des États-Unis) que celui du voyage en classe affaires. Les dépenses totales consacrées aux voyages en première classe ont du reste augmenté pendant la période concernée. Pour le Secrétariat de l</w:t>
      </w:r>
      <w:r w:rsidR="00762E0A">
        <w:t>’</w:t>
      </w:r>
      <w:r w:rsidRPr="003B5EA4">
        <w:t>ONU, par exemple, qui occasionne près des deux tiers (ou 65,7 %) de toutes les dépenses relatives aux voyages en première classe, le montant total dépensé à ce titre a augmenté de 19,6 % de 2011 à 2015.</w:t>
      </w:r>
    </w:p>
    <w:p w:rsidR="000D5258" w:rsidRPr="003B5EA4" w:rsidRDefault="000D5258" w:rsidP="000D5258">
      <w:pPr>
        <w:pStyle w:val="SingleTxtG"/>
      </w:pPr>
      <w:r w:rsidRPr="003B5EA4">
        <w:t>64.</w:t>
      </w:r>
      <w:r w:rsidRPr="003B5EA4">
        <w:tab/>
        <w:t>La possibilité de réaliser des économies substantielles en supprimant le voyage en première classe ressort également des résultats d</w:t>
      </w:r>
      <w:r w:rsidR="00762E0A">
        <w:t>’</w:t>
      </w:r>
      <w:r w:rsidRPr="003B5EA4">
        <w:t>une étude réalisée par le CCI sur un échantillon de tarifs aériens dans trois classes de voyage (première, affaires et économique) pour neuf itinéraires fréquemment utilisés entre six villes sièges</w:t>
      </w:r>
      <w:r w:rsidRPr="003B5EA4">
        <w:rPr>
          <w:rStyle w:val="Appelnotedebasdep"/>
        </w:rPr>
        <w:footnoteReference w:id="71"/>
      </w:r>
      <w:r w:rsidRPr="003B5EA4">
        <w:t xml:space="preserve"> et entre cinq commissions </w:t>
      </w:r>
      <w:r w:rsidRPr="003B5EA4">
        <w:lastRenderedPageBreak/>
        <w:t>régionales</w:t>
      </w:r>
      <w:r w:rsidRPr="003B5EA4">
        <w:rPr>
          <w:rStyle w:val="Appelnotedebasdep"/>
        </w:rPr>
        <w:footnoteReference w:id="72"/>
      </w:r>
      <w:r w:rsidRPr="003B5EA4">
        <w:t xml:space="preserve"> et des villes sièges. Les tarifs ont été obtenus au moyen d</w:t>
      </w:r>
      <w:r w:rsidR="00762E0A">
        <w:t>’</w:t>
      </w:r>
      <w:r w:rsidRPr="003B5EA4">
        <w:t>un site Web de comparaison des billets d</w:t>
      </w:r>
      <w:r w:rsidR="00762E0A">
        <w:t>’</w:t>
      </w:r>
      <w:r w:rsidRPr="003B5EA4">
        <w:t>avion réputé fiable, sur la base de vols dont l</w:t>
      </w:r>
      <w:r w:rsidR="00762E0A">
        <w:t>’</w:t>
      </w:r>
      <w:r w:rsidRPr="003B5EA4">
        <w:t>aller s</w:t>
      </w:r>
      <w:r w:rsidR="00762E0A">
        <w:t>’</w:t>
      </w:r>
      <w:r w:rsidRPr="003B5EA4">
        <w:t>effectuerait un lundi et le retour le vendredi suivant, et pour lesquels les billets seraient achetés 5 jours, 31 jours et 60 jours avant le départ</w:t>
      </w:r>
      <w:r w:rsidRPr="003B5EA4">
        <w:rPr>
          <w:rStyle w:val="Appelnotedebasdep"/>
        </w:rPr>
        <w:footnoteReference w:id="73"/>
      </w:r>
      <w:r w:rsidRPr="003B5EA4">
        <w:t>. Pour éviter toute préférence subjective, ce sont les itinéraires les plus directs et les tarifs normaux qui ont été retenus.</w:t>
      </w:r>
    </w:p>
    <w:p w:rsidR="00783E0B" w:rsidRPr="003B5EA4" w:rsidRDefault="00783E0B" w:rsidP="00A26D8F">
      <w:pPr>
        <w:pStyle w:val="Titre1"/>
        <w:rPr>
          <w:b/>
        </w:rPr>
      </w:pPr>
      <w:r w:rsidRPr="003B5EA4">
        <w:t xml:space="preserve">Tableau 3 </w:t>
      </w:r>
      <w:r w:rsidRPr="003B5EA4">
        <w:br/>
      </w:r>
      <w:r w:rsidRPr="003B5EA4">
        <w:rPr>
          <w:b/>
        </w:rPr>
        <w:t>Échantillon de prix moyens combinés par classe</w:t>
      </w:r>
    </w:p>
    <w:p w:rsidR="00A218E9" w:rsidRPr="003B5EA4" w:rsidRDefault="00783E0B" w:rsidP="00A26D8F">
      <w:pPr>
        <w:pStyle w:val="Titre1"/>
        <w:spacing w:after="120"/>
        <w:rPr>
          <w:sz w:val="16"/>
          <w:szCs w:val="16"/>
        </w:rPr>
      </w:pPr>
      <w:r w:rsidRPr="003B5EA4">
        <w:rPr>
          <w:sz w:val="16"/>
          <w:szCs w:val="16"/>
        </w:rPr>
        <w:t>(En dollars des États-Unis)</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119"/>
        <w:gridCol w:w="1417"/>
        <w:gridCol w:w="1417"/>
        <w:gridCol w:w="1417"/>
      </w:tblGrid>
      <w:tr w:rsidR="00094C32" w:rsidRPr="003B5EA4" w:rsidTr="007857E9">
        <w:trPr>
          <w:tblHeader/>
        </w:trPr>
        <w:tc>
          <w:tcPr>
            <w:tcW w:w="3119" w:type="dxa"/>
            <w:tcBorders>
              <w:top w:val="single" w:sz="4" w:space="0" w:color="auto"/>
              <w:bottom w:val="single" w:sz="12" w:space="0" w:color="auto"/>
            </w:tcBorders>
            <w:shd w:val="clear" w:color="auto" w:fill="auto"/>
            <w:vAlign w:val="bottom"/>
          </w:tcPr>
          <w:p w:rsidR="001D47F2" w:rsidRPr="003B5EA4" w:rsidRDefault="00FB2945" w:rsidP="007857E9">
            <w:pPr>
              <w:suppressAutoHyphens w:val="0"/>
              <w:spacing w:before="80" w:after="80" w:line="200" w:lineRule="exact"/>
              <w:rPr>
                <w:i/>
                <w:sz w:val="16"/>
              </w:rPr>
            </w:pPr>
            <w:r w:rsidRPr="003B5EA4">
              <w:rPr>
                <w:i/>
                <w:sz w:val="16"/>
              </w:rPr>
              <w:t>Itinéraire (aller retour le plus direct)</w:t>
            </w:r>
          </w:p>
        </w:tc>
        <w:tc>
          <w:tcPr>
            <w:tcW w:w="1418" w:type="dxa"/>
            <w:tcBorders>
              <w:top w:val="single" w:sz="4" w:space="0" w:color="auto"/>
              <w:bottom w:val="single" w:sz="12" w:space="0" w:color="auto"/>
            </w:tcBorders>
            <w:shd w:val="clear" w:color="auto" w:fill="auto"/>
            <w:vAlign w:val="bottom"/>
          </w:tcPr>
          <w:p w:rsidR="001D47F2" w:rsidRPr="003B5EA4" w:rsidRDefault="00FB2945" w:rsidP="007857E9">
            <w:pPr>
              <w:suppressAutoHyphens w:val="0"/>
              <w:spacing w:before="80" w:after="80" w:line="200" w:lineRule="exact"/>
              <w:jc w:val="right"/>
              <w:rPr>
                <w:i/>
                <w:sz w:val="16"/>
              </w:rPr>
            </w:pPr>
            <w:r w:rsidRPr="003B5EA4">
              <w:rPr>
                <w:i/>
                <w:sz w:val="16"/>
              </w:rPr>
              <w:t>Première</w:t>
            </w:r>
            <w:r w:rsidR="005373E8">
              <w:rPr>
                <w:i/>
                <w:sz w:val="16"/>
              </w:rPr>
              <w:t xml:space="preserve"> classe</w:t>
            </w:r>
          </w:p>
        </w:tc>
        <w:tc>
          <w:tcPr>
            <w:tcW w:w="1418" w:type="dxa"/>
            <w:tcBorders>
              <w:top w:val="single" w:sz="4" w:space="0" w:color="auto"/>
              <w:bottom w:val="single" w:sz="12" w:space="0" w:color="auto"/>
            </w:tcBorders>
            <w:shd w:val="clear" w:color="auto" w:fill="auto"/>
            <w:vAlign w:val="bottom"/>
          </w:tcPr>
          <w:p w:rsidR="001D47F2" w:rsidRPr="003B5EA4" w:rsidRDefault="005373E8" w:rsidP="005373E8">
            <w:pPr>
              <w:suppressAutoHyphens w:val="0"/>
              <w:spacing w:before="80" w:after="80" w:line="200" w:lineRule="exact"/>
              <w:jc w:val="right"/>
              <w:rPr>
                <w:i/>
                <w:sz w:val="16"/>
              </w:rPr>
            </w:pPr>
            <w:r>
              <w:rPr>
                <w:i/>
                <w:sz w:val="16"/>
              </w:rPr>
              <w:t>Classe a</w:t>
            </w:r>
            <w:r w:rsidR="00FB2945" w:rsidRPr="003B5EA4">
              <w:rPr>
                <w:i/>
                <w:sz w:val="16"/>
              </w:rPr>
              <w:t>ffaires</w:t>
            </w:r>
          </w:p>
        </w:tc>
        <w:tc>
          <w:tcPr>
            <w:tcW w:w="1418" w:type="dxa"/>
            <w:tcBorders>
              <w:top w:val="single" w:sz="4" w:space="0" w:color="auto"/>
              <w:bottom w:val="single" w:sz="12" w:space="0" w:color="auto"/>
            </w:tcBorders>
            <w:shd w:val="clear" w:color="auto" w:fill="auto"/>
            <w:vAlign w:val="bottom"/>
          </w:tcPr>
          <w:p w:rsidR="001D47F2" w:rsidRPr="003B5EA4" w:rsidRDefault="005373E8" w:rsidP="005373E8">
            <w:pPr>
              <w:suppressAutoHyphens w:val="0"/>
              <w:spacing w:before="80" w:after="80" w:line="200" w:lineRule="exact"/>
              <w:jc w:val="right"/>
              <w:rPr>
                <w:i/>
                <w:sz w:val="16"/>
              </w:rPr>
            </w:pPr>
            <w:r>
              <w:rPr>
                <w:i/>
                <w:sz w:val="16"/>
              </w:rPr>
              <w:t>Classe é</w:t>
            </w:r>
            <w:r w:rsidR="00FB2945" w:rsidRPr="003B5EA4">
              <w:rPr>
                <w:i/>
                <w:sz w:val="16"/>
              </w:rPr>
              <w:t>conomique</w:t>
            </w:r>
          </w:p>
        </w:tc>
      </w:tr>
      <w:tr w:rsidR="00094C32" w:rsidRPr="003B5EA4" w:rsidTr="007857E9">
        <w:tc>
          <w:tcPr>
            <w:tcW w:w="3119" w:type="dxa"/>
            <w:tcBorders>
              <w:top w:val="single" w:sz="12" w:space="0" w:color="auto"/>
            </w:tcBorders>
            <w:shd w:val="clear" w:color="auto" w:fill="auto"/>
          </w:tcPr>
          <w:p w:rsidR="005B617D" w:rsidRPr="003B5EA4" w:rsidRDefault="005B617D" w:rsidP="007857E9">
            <w:pPr>
              <w:suppressAutoHyphens w:val="0"/>
              <w:spacing w:before="40" w:after="40" w:line="220" w:lineRule="exact"/>
              <w:rPr>
                <w:sz w:val="18"/>
              </w:rPr>
            </w:pPr>
            <w:r w:rsidRPr="003B5EA4">
              <w:rPr>
                <w:sz w:val="18"/>
              </w:rPr>
              <w:t>New York (JFK)-Genève</w:t>
            </w:r>
          </w:p>
        </w:tc>
        <w:tc>
          <w:tcPr>
            <w:tcW w:w="1418" w:type="dxa"/>
            <w:tcBorders>
              <w:top w:val="single" w:sz="12" w:space="0" w:color="auto"/>
            </w:tcBorders>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11 788</w:t>
            </w:r>
          </w:p>
        </w:tc>
        <w:tc>
          <w:tcPr>
            <w:tcW w:w="1418" w:type="dxa"/>
            <w:tcBorders>
              <w:top w:val="single" w:sz="12" w:space="0" w:color="auto"/>
            </w:tcBorders>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5 148</w:t>
            </w:r>
          </w:p>
        </w:tc>
        <w:tc>
          <w:tcPr>
            <w:tcW w:w="1418" w:type="dxa"/>
            <w:tcBorders>
              <w:top w:val="single" w:sz="12" w:space="0" w:color="auto"/>
            </w:tcBorders>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1 310</w:t>
            </w:r>
          </w:p>
        </w:tc>
      </w:tr>
      <w:tr w:rsidR="005B617D" w:rsidRPr="003B5EA4" w:rsidTr="007857E9">
        <w:tc>
          <w:tcPr>
            <w:tcW w:w="3119" w:type="dxa"/>
            <w:shd w:val="clear" w:color="auto" w:fill="auto"/>
          </w:tcPr>
          <w:p w:rsidR="005B617D" w:rsidRPr="003B5EA4" w:rsidRDefault="005B617D" w:rsidP="007857E9">
            <w:pPr>
              <w:suppressAutoHyphens w:val="0"/>
              <w:spacing w:before="40" w:after="40" w:line="220" w:lineRule="exact"/>
              <w:rPr>
                <w:sz w:val="18"/>
              </w:rPr>
            </w:pPr>
            <w:r w:rsidRPr="003B5EA4">
              <w:rPr>
                <w:sz w:val="18"/>
              </w:rPr>
              <w:t>New York (JFK)-Rome</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12 492</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5 773</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1 650</w:t>
            </w:r>
          </w:p>
        </w:tc>
      </w:tr>
      <w:tr w:rsidR="005B617D" w:rsidRPr="003B5EA4" w:rsidTr="007857E9">
        <w:tc>
          <w:tcPr>
            <w:tcW w:w="3119" w:type="dxa"/>
            <w:shd w:val="clear" w:color="auto" w:fill="auto"/>
          </w:tcPr>
          <w:p w:rsidR="005B617D" w:rsidRPr="003B5EA4" w:rsidRDefault="005B617D" w:rsidP="007857E9">
            <w:pPr>
              <w:suppressAutoHyphens w:val="0"/>
              <w:spacing w:before="40" w:after="40" w:line="220" w:lineRule="exact"/>
              <w:rPr>
                <w:sz w:val="18"/>
              </w:rPr>
            </w:pPr>
            <w:r w:rsidRPr="003B5EA4">
              <w:rPr>
                <w:sz w:val="18"/>
              </w:rPr>
              <w:t>Paris-New York (JFK)</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9 175</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4 780</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1 330</w:t>
            </w:r>
          </w:p>
        </w:tc>
      </w:tr>
      <w:tr w:rsidR="005B617D" w:rsidRPr="003B5EA4" w:rsidTr="007857E9">
        <w:tc>
          <w:tcPr>
            <w:tcW w:w="3119" w:type="dxa"/>
            <w:shd w:val="clear" w:color="auto" w:fill="auto"/>
          </w:tcPr>
          <w:p w:rsidR="005B617D" w:rsidRPr="003B5EA4" w:rsidRDefault="005B617D" w:rsidP="007857E9">
            <w:pPr>
              <w:suppressAutoHyphens w:val="0"/>
              <w:spacing w:before="40" w:after="40" w:line="220" w:lineRule="exact"/>
              <w:rPr>
                <w:sz w:val="18"/>
              </w:rPr>
            </w:pPr>
            <w:r w:rsidRPr="003B5EA4">
              <w:rPr>
                <w:sz w:val="18"/>
              </w:rPr>
              <w:t>Vienne-New York (JFK)</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8 637</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4 574</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1 312</w:t>
            </w:r>
          </w:p>
        </w:tc>
      </w:tr>
      <w:tr w:rsidR="00094C32" w:rsidRPr="003B5EA4" w:rsidTr="007857E9">
        <w:tc>
          <w:tcPr>
            <w:tcW w:w="3119" w:type="dxa"/>
            <w:shd w:val="clear" w:color="auto" w:fill="auto"/>
          </w:tcPr>
          <w:p w:rsidR="005B617D" w:rsidRPr="00CE33FB" w:rsidRDefault="005B617D" w:rsidP="007857E9">
            <w:pPr>
              <w:suppressAutoHyphens w:val="0"/>
              <w:spacing w:before="40" w:after="40" w:line="220" w:lineRule="exact"/>
              <w:rPr>
                <w:sz w:val="18"/>
                <w:lang w:val="en-US"/>
              </w:rPr>
            </w:pPr>
            <w:r w:rsidRPr="00CE33FB">
              <w:rPr>
                <w:sz w:val="18"/>
                <w:lang w:val="en-US"/>
              </w:rPr>
              <w:t>Addis-Abeba-New York (JFK)</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10 601</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4 537</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1 463</w:t>
            </w:r>
          </w:p>
        </w:tc>
      </w:tr>
      <w:tr w:rsidR="00094C32" w:rsidRPr="003B5EA4" w:rsidTr="007857E9">
        <w:tc>
          <w:tcPr>
            <w:tcW w:w="3119" w:type="dxa"/>
            <w:shd w:val="clear" w:color="auto" w:fill="auto"/>
          </w:tcPr>
          <w:p w:rsidR="005B617D" w:rsidRPr="003B5EA4" w:rsidRDefault="005B617D" w:rsidP="007857E9">
            <w:pPr>
              <w:suppressAutoHyphens w:val="0"/>
              <w:spacing w:before="40" w:after="40" w:line="220" w:lineRule="exact"/>
              <w:rPr>
                <w:sz w:val="18"/>
              </w:rPr>
            </w:pPr>
            <w:r w:rsidRPr="003B5EA4">
              <w:rPr>
                <w:sz w:val="18"/>
              </w:rPr>
              <w:t>Beyrouth-New York (JFK)</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9 612</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4 725</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1 288</w:t>
            </w:r>
          </w:p>
        </w:tc>
      </w:tr>
      <w:tr w:rsidR="00094C32" w:rsidRPr="003B5EA4" w:rsidTr="007857E9">
        <w:tc>
          <w:tcPr>
            <w:tcW w:w="3119" w:type="dxa"/>
            <w:shd w:val="clear" w:color="auto" w:fill="auto"/>
          </w:tcPr>
          <w:p w:rsidR="005B617D" w:rsidRPr="003B5EA4" w:rsidRDefault="005B617D" w:rsidP="007857E9">
            <w:pPr>
              <w:suppressAutoHyphens w:val="0"/>
              <w:spacing w:before="40" w:after="40" w:line="220" w:lineRule="exact"/>
              <w:rPr>
                <w:sz w:val="18"/>
              </w:rPr>
            </w:pPr>
            <w:r w:rsidRPr="003B5EA4">
              <w:rPr>
                <w:sz w:val="18"/>
              </w:rPr>
              <w:t>Santiago-New York (JFK)</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8 181</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6 140</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1 817</w:t>
            </w:r>
          </w:p>
        </w:tc>
      </w:tr>
      <w:tr w:rsidR="005B617D" w:rsidRPr="003B5EA4" w:rsidTr="007857E9">
        <w:tc>
          <w:tcPr>
            <w:tcW w:w="3119" w:type="dxa"/>
            <w:shd w:val="clear" w:color="auto" w:fill="auto"/>
          </w:tcPr>
          <w:p w:rsidR="005B617D" w:rsidRPr="003B5EA4" w:rsidRDefault="005B617D" w:rsidP="007857E9">
            <w:pPr>
              <w:suppressAutoHyphens w:val="0"/>
              <w:spacing w:before="40" w:after="40" w:line="220" w:lineRule="exact"/>
              <w:rPr>
                <w:sz w:val="18"/>
              </w:rPr>
            </w:pPr>
            <w:r w:rsidRPr="003B5EA4">
              <w:rPr>
                <w:sz w:val="18"/>
              </w:rPr>
              <w:t>Genève-Nairobi</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9 067</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4 465</w:t>
            </w:r>
          </w:p>
        </w:tc>
        <w:tc>
          <w:tcPr>
            <w:tcW w:w="1418" w:type="dxa"/>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1 229</w:t>
            </w:r>
          </w:p>
        </w:tc>
      </w:tr>
      <w:tr w:rsidR="005B617D" w:rsidRPr="003B5EA4" w:rsidTr="00EB217A">
        <w:tc>
          <w:tcPr>
            <w:tcW w:w="3119" w:type="dxa"/>
            <w:tcBorders>
              <w:bottom w:val="single" w:sz="4" w:space="0" w:color="auto"/>
            </w:tcBorders>
            <w:shd w:val="clear" w:color="auto" w:fill="auto"/>
          </w:tcPr>
          <w:p w:rsidR="005B617D" w:rsidRPr="003B5EA4" w:rsidRDefault="005B617D" w:rsidP="007857E9">
            <w:pPr>
              <w:suppressAutoHyphens w:val="0"/>
              <w:spacing w:before="40" w:after="40" w:line="220" w:lineRule="exact"/>
              <w:rPr>
                <w:sz w:val="18"/>
              </w:rPr>
            </w:pPr>
            <w:r w:rsidRPr="003B5EA4">
              <w:rPr>
                <w:sz w:val="18"/>
              </w:rPr>
              <w:t>Genève-Bangkok</w:t>
            </w:r>
          </w:p>
        </w:tc>
        <w:tc>
          <w:tcPr>
            <w:tcW w:w="1418" w:type="dxa"/>
            <w:tcBorders>
              <w:bottom w:val="single" w:sz="4" w:space="0" w:color="auto"/>
            </w:tcBorders>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8 045</w:t>
            </w:r>
          </w:p>
        </w:tc>
        <w:tc>
          <w:tcPr>
            <w:tcW w:w="1418" w:type="dxa"/>
            <w:tcBorders>
              <w:bottom w:val="single" w:sz="4" w:space="0" w:color="auto"/>
            </w:tcBorders>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3 270</w:t>
            </w:r>
          </w:p>
        </w:tc>
        <w:tc>
          <w:tcPr>
            <w:tcW w:w="1418" w:type="dxa"/>
            <w:tcBorders>
              <w:bottom w:val="single" w:sz="4" w:space="0" w:color="auto"/>
            </w:tcBorders>
            <w:shd w:val="clear" w:color="auto" w:fill="auto"/>
            <w:vAlign w:val="bottom"/>
          </w:tcPr>
          <w:p w:rsidR="005B617D" w:rsidRPr="003B5EA4" w:rsidRDefault="005B617D" w:rsidP="007857E9">
            <w:pPr>
              <w:suppressAutoHyphens w:val="0"/>
              <w:spacing w:before="40" w:after="40" w:line="220" w:lineRule="exact"/>
              <w:jc w:val="right"/>
              <w:rPr>
                <w:sz w:val="18"/>
              </w:rPr>
            </w:pPr>
            <w:r w:rsidRPr="003B5EA4">
              <w:rPr>
                <w:sz w:val="18"/>
              </w:rPr>
              <w:t>582</w:t>
            </w:r>
            <w:r w:rsidRPr="003B5EA4">
              <w:rPr>
                <w:i/>
                <w:sz w:val="18"/>
                <w:vertAlign w:val="superscript"/>
              </w:rPr>
              <w:t>a</w:t>
            </w:r>
          </w:p>
        </w:tc>
      </w:tr>
      <w:tr w:rsidR="00554CFA" w:rsidRPr="003B5EA4" w:rsidTr="00EB217A">
        <w:tc>
          <w:tcPr>
            <w:tcW w:w="3119" w:type="dxa"/>
            <w:tcBorders>
              <w:top w:val="single" w:sz="4" w:space="0" w:color="auto"/>
              <w:bottom w:val="single" w:sz="12" w:space="0" w:color="auto"/>
            </w:tcBorders>
            <w:shd w:val="clear" w:color="auto" w:fill="auto"/>
          </w:tcPr>
          <w:p w:rsidR="00554CFA" w:rsidRPr="003B5EA4" w:rsidRDefault="00554CFA" w:rsidP="00EB217A">
            <w:pPr>
              <w:suppressAutoHyphens w:val="0"/>
              <w:spacing w:before="80" w:after="80" w:line="220" w:lineRule="exact"/>
              <w:ind w:firstLine="284"/>
              <w:rPr>
                <w:b/>
                <w:sz w:val="18"/>
              </w:rPr>
            </w:pPr>
            <w:r w:rsidRPr="003B5EA4">
              <w:rPr>
                <w:b/>
                <w:sz w:val="18"/>
              </w:rPr>
              <w:t>Moyenne</w:t>
            </w:r>
          </w:p>
        </w:tc>
        <w:tc>
          <w:tcPr>
            <w:tcW w:w="1418" w:type="dxa"/>
            <w:tcBorders>
              <w:top w:val="single" w:sz="4" w:space="0" w:color="auto"/>
              <w:bottom w:val="single" w:sz="12" w:space="0" w:color="auto"/>
            </w:tcBorders>
            <w:shd w:val="clear" w:color="auto" w:fill="auto"/>
            <w:vAlign w:val="bottom"/>
          </w:tcPr>
          <w:p w:rsidR="00554CFA" w:rsidRPr="003B5EA4" w:rsidRDefault="004C4779" w:rsidP="00EB217A">
            <w:pPr>
              <w:suppressAutoHyphens w:val="0"/>
              <w:spacing w:before="80" w:after="80" w:line="220" w:lineRule="exact"/>
              <w:jc w:val="right"/>
              <w:rPr>
                <w:b/>
                <w:sz w:val="18"/>
              </w:rPr>
            </w:pPr>
            <w:r>
              <w:rPr>
                <w:b/>
                <w:sz w:val="18"/>
              </w:rPr>
              <w:t>9 733</w:t>
            </w:r>
          </w:p>
        </w:tc>
        <w:tc>
          <w:tcPr>
            <w:tcW w:w="1418" w:type="dxa"/>
            <w:tcBorders>
              <w:top w:val="single" w:sz="4" w:space="0" w:color="auto"/>
              <w:bottom w:val="single" w:sz="12" w:space="0" w:color="auto"/>
            </w:tcBorders>
            <w:shd w:val="clear" w:color="auto" w:fill="auto"/>
            <w:vAlign w:val="bottom"/>
          </w:tcPr>
          <w:p w:rsidR="00554CFA" w:rsidRPr="003B5EA4" w:rsidRDefault="005B617D" w:rsidP="00EB217A">
            <w:pPr>
              <w:suppressAutoHyphens w:val="0"/>
              <w:spacing w:before="80" w:after="80" w:line="220" w:lineRule="exact"/>
              <w:jc w:val="right"/>
              <w:rPr>
                <w:b/>
                <w:sz w:val="18"/>
              </w:rPr>
            </w:pPr>
            <w:r w:rsidRPr="003B5EA4">
              <w:rPr>
                <w:b/>
                <w:sz w:val="18"/>
              </w:rPr>
              <w:t>4 824</w:t>
            </w:r>
          </w:p>
        </w:tc>
        <w:tc>
          <w:tcPr>
            <w:tcW w:w="1418" w:type="dxa"/>
            <w:tcBorders>
              <w:top w:val="single" w:sz="4" w:space="0" w:color="auto"/>
              <w:bottom w:val="single" w:sz="12" w:space="0" w:color="auto"/>
            </w:tcBorders>
            <w:shd w:val="clear" w:color="auto" w:fill="auto"/>
            <w:vAlign w:val="bottom"/>
          </w:tcPr>
          <w:p w:rsidR="00554CFA" w:rsidRPr="003B5EA4" w:rsidRDefault="005B617D" w:rsidP="00EB217A">
            <w:pPr>
              <w:suppressAutoHyphens w:val="0"/>
              <w:spacing w:before="80" w:after="80" w:line="220" w:lineRule="exact"/>
              <w:jc w:val="right"/>
              <w:rPr>
                <w:b/>
                <w:sz w:val="18"/>
              </w:rPr>
            </w:pPr>
            <w:r w:rsidRPr="003B5EA4">
              <w:rPr>
                <w:b/>
                <w:sz w:val="18"/>
              </w:rPr>
              <w:t>1 331</w:t>
            </w:r>
          </w:p>
        </w:tc>
      </w:tr>
    </w:tbl>
    <w:p w:rsidR="00783E0B" w:rsidRPr="003B5EA4" w:rsidRDefault="00094C32" w:rsidP="00E635EB">
      <w:pPr>
        <w:pStyle w:val="SingleTxtG"/>
        <w:spacing w:before="120" w:after="0"/>
        <w:ind w:firstLine="170"/>
        <w:jc w:val="left"/>
        <w:rPr>
          <w:rFonts w:eastAsiaTheme="minorEastAsia"/>
          <w:sz w:val="18"/>
          <w:szCs w:val="18"/>
          <w:lang w:eastAsia="zh-CN"/>
        </w:rPr>
      </w:pPr>
      <w:r w:rsidRPr="003B5EA4">
        <w:rPr>
          <w:rFonts w:eastAsiaTheme="minorEastAsia"/>
          <w:i/>
          <w:sz w:val="18"/>
          <w:szCs w:val="18"/>
          <w:lang w:eastAsia="zh-CN"/>
        </w:rPr>
        <w:t>Source </w:t>
      </w:r>
      <w:r w:rsidRPr="003B5EA4">
        <w:rPr>
          <w:rFonts w:eastAsiaTheme="minorEastAsia"/>
          <w:sz w:val="18"/>
          <w:szCs w:val="18"/>
          <w:lang w:eastAsia="zh-CN"/>
        </w:rPr>
        <w:t>: Étude du CCI.</w:t>
      </w:r>
    </w:p>
    <w:p w:rsidR="00094C32" w:rsidRPr="00CE33FB" w:rsidRDefault="00094C32" w:rsidP="00E635EB">
      <w:pPr>
        <w:pStyle w:val="SingleTxtG"/>
        <w:spacing w:after="0"/>
        <w:ind w:firstLine="170"/>
        <w:jc w:val="left"/>
        <w:rPr>
          <w:rFonts w:eastAsiaTheme="minorEastAsia"/>
          <w:sz w:val="18"/>
          <w:szCs w:val="18"/>
          <w:lang w:val="en-US" w:eastAsia="zh-CN"/>
        </w:rPr>
      </w:pPr>
      <w:r w:rsidRPr="00CE33FB">
        <w:rPr>
          <w:rFonts w:eastAsiaTheme="minorEastAsia"/>
          <w:i/>
          <w:sz w:val="18"/>
          <w:szCs w:val="18"/>
          <w:lang w:val="en-US" w:eastAsia="zh-CN"/>
        </w:rPr>
        <w:t>Abréviation</w:t>
      </w:r>
      <w:r w:rsidRPr="00CE33FB">
        <w:rPr>
          <w:rFonts w:eastAsiaTheme="minorEastAsia"/>
          <w:sz w:val="18"/>
          <w:szCs w:val="18"/>
          <w:lang w:val="en-US" w:eastAsia="zh-CN"/>
        </w:rPr>
        <w:t> : JFK</w:t>
      </w:r>
      <w:r w:rsidR="00EB217A" w:rsidRPr="00CE33FB">
        <w:rPr>
          <w:rFonts w:eastAsiaTheme="minorEastAsia"/>
          <w:sz w:val="18"/>
          <w:szCs w:val="18"/>
          <w:lang w:val="en-US" w:eastAsia="zh-CN"/>
        </w:rPr>
        <w:t>,</w:t>
      </w:r>
      <w:r w:rsidRPr="00CE33FB">
        <w:rPr>
          <w:rFonts w:eastAsiaTheme="minorEastAsia"/>
          <w:sz w:val="18"/>
          <w:szCs w:val="18"/>
          <w:lang w:val="en-US" w:eastAsia="zh-CN"/>
        </w:rPr>
        <w:t xml:space="preserve"> John F. Kennedy International Airport.</w:t>
      </w:r>
    </w:p>
    <w:p w:rsidR="00094C32" w:rsidRPr="003B5EA4" w:rsidRDefault="00094C32" w:rsidP="00E635EB">
      <w:pPr>
        <w:pStyle w:val="SingleTxtG"/>
        <w:spacing w:after="240"/>
        <w:ind w:firstLine="170"/>
        <w:jc w:val="left"/>
        <w:rPr>
          <w:sz w:val="18"/>
          <w:szCs w:val="18"/>
        </w:rPr>
      </w:pPr>
      <w:r w:rsidRPr="003B5EA4">
        <w:rPr>
          <w:rFonts w:eastAsiaTheme="minorEastAsia"/>
          <w:i/>
          <w:sz w:val="18"/>
          <w:szCs w:val="18"/>
          <w:vertAlign w:val="superscript"/>
          <w:lang w:eastAsia="zh-CN"/>
        </w:rPr>
        <w:t>a</w:t>
      </w:r>
      <w:r w:rsidRPr="003B5EA4">
        <w:rPr>
          <w:rFonts w:eastAsiaTheme="minorEastAsia"/>
          <w:sz w:val="18"/>
          <w:szCs w:val="18"/>
          <w:lang w:eastAsia="zh-CN"/>
        </w:rPr>
        <w:t xml:space="preserve">  Le prix </w:t>
      </w:r>
      <w:r w:rsidRPr="003B5EA4">
        <w:rPr>
          <w:sz w:val="18"/>
          <w:szCs w:val="18"/>
        </w:rPr>
        <w:t>Genève-Bangkok est inférieur à celui des autres itinéraires parce que les tarifs obtenus</w:t>
      </w:r>
      <w:r w:rsidR="00F35882" w:rsidRPr="003B5EA4">
        <w:rPr>
          <w:sz w:val="18"/>
          <w:szCs w:val="18"/>
        </w:rPr>
        <w:t xml:space="preserve"> : </w:t>
      </w:r>
      <w:r w:rsidRPr="003B5EA4">
        <w:rPr>
          <w:sz w:val="18"/>
          <w:szCs w:val="18"/>
        </w:rPr>
        <w:t>a) correspondent à des vols d</w:t>
      </w:r>
      <w:r w:rsidR="00762E0A">
        <w:rPr>
          <w:sz w:val="18"/>
          <w:szCs w:val="18"/>
        </w:rPr>
        <w:t>’</w:t>
      </w:r>
      <w:r w:rsidRPr="003B5EA4">
        <w:rPr>
          <w:sz w:val="18"/>
          <w:szCs w:val="18"/>
        </w:rPr>
        <w:t>intersaison ou de basse saison (février-avril) sensiblement moins chers que des vols de haute saison (novembre-jan</w:t>
      </w:r>
      <w:r w:rsidR="00F35882" w:rsidRPr="003B5EA4">
        <w:rPr>
          <w:sz w:val="18"/>
          <w:szCs w:val="18"/>
        </w:rPr>
        <w:t>vier) ;</w:t>
      </w:r>
      <w:r w:rsidRPr="003B5EA4">
        <w:rPr>
          <w:sz w:val="18"/>
          <w:szCs w:val="18"/>
        </w:rPr>
        <w:t xml:space="preserve"> et b) sont concurrentiels en raison du grand nombre de compagnies aériennes assurant cet itinéraire.</w:t>
      </w:r>
    </w:p>
    <w:p w:rsidR="00882728" w:rsidRPr="008107E5" w:rsidRDefault="00882728" w:rsidP="003207F0">
      <w:pPr>
        <w:pStyle w:val="SingleTxtG"/>
        <w:rPr>
          <w:spacing w:val="-2"/>
        </w:rPr>
      </w:pPr>
      <w:r w:rsidRPr="003B5EA4">
        <w:t>65.</w:t>
      </w:r>
      <w:r w:rsidRPr="003B5EA4">
        <w:tab/>
      </w:r>
      <w:r w:rsidR="003207F0" w:rsidRPr="003B5EA4">
        <w:t>Le tableau 3 présente un échantillon de prix moyens combinés</w:t>
      </w:r>
      <w:r w:rsidR="003207F0" w:rsidRPr="003B5EA4">
        <w:rPr>
          <w:rStyle w:val="Appelnotedebasdep"/>
        </w:rPr>
        <w:footnoteReference w:id="74"/>
      </w:r>
      <w:r w:rsidR="003207F0" w:rsidRPr="003B5EA4">
        <w:t xml:space="preserve"> pour chacune des trois classes et chacun des itinéraires. Il en ressort que le prix moyen combiné du billet de </w:t>
      </w:r>
      <w:r w:rsidR="003207F0" w:rsidRPr="008107E5">
        <w:rPr>
          <w:spacing w:val="-2"/>
        </w:rPr>
        <w:t>première classe pour les neuf itinéraires choisis est le double (101,7 %) de celui du billet de classe affaires. La suppression de la possibilité de voyager en première classe pourrait se traduire par une économie de 4 909 dollars des États-Unis par voyage. À noter également que le billet de première classe s</w:t>
      </w:r>
      <w:r w:rsidR="00762E0A">
        <w:rPr>
          <w:spacing w:val="-2"/>
        </w:rPr>
        <w:t>’</w:t>
      </w:r>
      <w:r w:rsidR="003207F0" w:rsidRPr="008107E5">
        <w:rPr>
          <w:spacing w:val="-2"/>
        </w:rPr>
        <w:t>achète à plus de six fois (631 %) le prix de classe économique.</w:t>
      </w:r>
    </w:p>
    <w:p w:rsidR="003207F0" w:rsidRPr="003B5EA4" w:rsidRDefault="003207F0" w:rsidP="003207F0">
      <w:pPr>
        <w:pStyle w:val="SingleTxtG"/>
        <w:rPr>
          <w:bCs/>
        </w:rPr>
      </w:pPr>
      <w:r w:rsidRPr="003B5EA4">
        <w:t>66.</w:t>
      </w:r>
      <w:r w:rsidRPr="003B5EA4">
        <w:tab/>
      </w:r>
      <w:r w:rsidRPr="003B5EA4">
        <w:rPr>
          <w:bCs/>
        </w:rPr>
        <w:t>L</w:t>
      </w:r>
      <w:r w:rsidR="00762E0A">
        <w:rPr>
          <w:bCs/>
        </w:rPr>
        <w:t>’</w:t>
      </w:r>
      <w:r w:rsidRPr="003B5EA4">
        <w:rPr>
          <w:bCs/>
        </w:rPr>
        <w:t>adoption de la recommandation suivante devrait assurer une plus grande cohérence et une meilleure harmonisation des politiques régissant les conditions de voyage en avion à l</w:t>
      </w:r>
      <w:r w:rsidR="00762E0A">
        <w:rPr>
          <w:bCs/>
        </w:rPr>
        <w:t>’</w:t>
      </w:r>
      <w:r w:rsidRPr="003B5EA4">
        <w:rPr>
          <w:bCs/>
        </w:rPr>
        <w:t>échelle du système des Nations Unies.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3207F0" w:rsidRPr="003B5EA4" w:rsidTr="002F38AE">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3207F0" w:rsidRPr="003B5EA4" w:rsidRDefault="003207F0" w:rsidP="002F38AE"/>
        </w:tc>
      </w:tr>
      <w:tr w:rsidR="003207F0" w:rsidRPr="003B5EA4" w:rsidTr="002F38AE">
        <w:trPr>
          <w:jc w:val="center"/>
        </w:trPr>
        <w:tc>
          <w:tcPr>
            <w:tcW w:w="7653" w:type="dxa"/>
            <w:tcBorders>
              <w:left w:val="single" w:sz="4" w:space="0" w:color="auto"/>
              <w:bottom w:val="nil"/>
              <w:right w:val="single" w:sz="4" w:space="0" w:color="auto"/>
            </w:tcBorders>
            <w:shd w:val="clear" w:color="auto" w:fill="auto"/>
          </w:tcPr>
          <w:p w:rsidR="003207F0" w:rsidRPr="003B5EA4" w:rsidRDefault="003207F0" w:rsidP="002F38AE">
            <w:pPr>
              <w:spacing w:after="120"/>
              <w:jc w:val="both"/>
              <w:rPr>
                <w:b/>
              </w:rPr>
            </w:pPr>
            <w:r w:rsidRPr="003B5EA4">
              <w:rPr>
                <w:b/>
              </w:rPr>
              <w:t>Recommandation 2</w:t>
            </w:r>
          </w:p>
        </w:tc>
      </w:tr>
      <w:tr w:rsidR="003207F0" w:rsidRPr="003B5EA4" w:rsidTr="002F38AE">
        <w:trPr>
          <w:jc w:val="center"/>
        </w:trPr>
        <w:tc>
          <w:tcPr>
            <w:tcW w:w="7653" w:type="dxa"/>
            <w:tcBorders>
              <w:left w:val="single" w:sz="4" w:space="0" w:color="auto"/>
              <w:bottom w:val="nil"/>
              <w:right w:val="single" w:sz="4" w:space="0" w:color="auto"/>
            </w:tcBorders>
            <w:shd w:val="clear" w:color="auto" w:fill="auto"/>
          </w:tcPr>
          <w:p w:rsidR="003207F0" w:rsidRPr="003B5EA4" w:rsidRDefault="00972EF2" w:rsidP="00267BE8">
            <w:pPr>
              <w:spacing w:after="120"/>
              <w:ind w:firstLine="567"/>
              <w:jc w:val="both"/>
              <w:rPr>
                <w:b/>
              </w:rPr>
            </w:pPr>
            <w:r w:rsidRPr="003B5EA4">
              <w:rPr>
                <w:b/>
              </w:rPr>
              <w:t>Les organes délibérants de tous les organismes des Nations Unies qui ne l</w:t>
            </w:r>
            <w:r w:rsidR="00762E0A">
              <w:rPr>
                <w:b/>
              </w:rPr>
              <w:t>’</w:t>
            </w:r>
            <w:r w:rsidRPr="003B5EA4">
              <w:rPr>
                <w:b/>
              </w:rPr>
              <w:t>ont pas encore fait devraient supprimer le voyage en première classe pour toutes les catégories de fonctionnaires et de non-fonctionnaires d</w:t>
            </w:r>
            <w:r w:rsidR="00762E0A">
              <w:rPr>
                <w:b/>
              </w:rPr>
              <w:t>’</w:t>
            </w:r>
            <w:r w:rsidRPr="003B5EA4">
              <w:rPr>
                <w:b/>
              </w:rPr>
              <w:t>ici au mois de janvier</w:t>
            </w:r>
            <w:r w:rsidR="00267BE8">
              <w:rPr>
                <w:b/>
              </w:rPr>
              <w:t xml:space="preserve"> </w:t>
            </w:r>
            <w:r w:rsidRPr="003B5EA4">
              <w:rPr>
                <w:b/>
              </w:rPr>
              <w:t>2019 et n</w:t>
            </w:r>
            <w:r w:rsidR="00762E0A">
              <w:rPr>
                <w:b/>
              </w:rPr>
              <w:t>’</w:t>
            </w:r>
            <w:r w:rsidRPr="003B5EA4">
              <w:rPr>
                <w:b/>
              </w:rPr>
              <w:t>autoriser cette formule que lorsque la classe affaires n</w:t>
            </w:r>
            <w:r w:rsidR="00762E0A">
              <w:rPr>
                <w:b/>
              </w:rPr>
              <w:t>’</w:t>
            </w:r>
            <w:r w:rsidRPr="003B5EA4">
              <w:rPr>
                <w:b/>
              </w:rPr>
              <w:t>est pas disponible.</w:t>
            </w:r>
          </w:p>
        </w:tc>
      </w:tr>
      <w:tr w:rsidR="003207F0" w:rsidRPr="003B5EA4" w:rsidTr="002F38AE">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3207F0" w:rsidRPr="003B5EA4" w:rsidRDefault="003207F0" w:rsidP="002F38AE"/>
        </w:tc>
      </w:tr>
    </w:tbl>
    <w:p w:rsidR="003207F0" w:rsidRPr="003B5EA4" w:rsidRDefault="00972EF2" w:rsidP="00972EF2">
      <w:pPr>
        <w:pStyle w:val="H1G"/>
      </w:pPr>
      <w:r w:rsidRPr="003B5EA4">
        <w:lastRenderedPageBreak/>
        <w:tab/>
        <w:t>B.</w:t>
      </w:r>
      <w:r w:rsidRPr="003B5EA4">
        <w:tab/>
        <w:t>Considérations relatives aux voyages en classe affaires</w:t>
      </w:r>
    </w:p>
    <w:p w:rsidR="00972EF2" w:rsidRPr="00922E28" w:rsidRDefault="00972EF2" w:rsidP="00972EF2">
      <w:pPr>
        <w:pStyle w:val="H23G"/>
        <w:rPr>
          <w:spacing w:val="-2"/>
          <w:lang w:eastAsia="zh-CN"/>
        </w:rPr>
      </w:pPr>
      <w:r w:rsidRPr="003B5EA4">
        <w:tab/>
      </w:r>
      <w:r w:rsidRPr="003B5EA4">
        <w:tab/>
      </w:r>
      <w:r w:rsidRPr="00922E28">
        <w:rPr>
          <w:spacing w:val="-2"/>
          <w:lang w:eastAsia="zh-CN"/>
        </w:rPr>
        <w:t>Économies envisageables par la substitution de la classe économique à la classe affaires</w:t>
      </w:r>
    </w:p>
    <w:p w:rsidR="00972EF2" w:rsidRPr="003B5EA4" w:rsidRDefault="00972EF2" w:rsidP="00972EF2">
      <w:pPr>
        <w:pStyle w:val="SingleTxtG"/>
        <w:rPr>
          <w:lang w:eastAsia="zh-CN"/>
        </w:rPr>
      </w:pPr>
      <w:r w:rsidRPr="003B5EA4">
        <w:rPr>
          <w:lang w:eastAsia="zh-CN"/>
        </w:rPr>
        <w:t>6</w:t>
      </w:r>
      <w:r w:rsidR="00922E28">
        <w:rPr>
          <w:lang w:eastAsia="zh-CN"/>
        </w:rPr>
        <w:t>7</w:t>
      </w:r>
      <w:r w:rsidRPr="003B5EA4">
        <w:rPr>
          <w:lang w:eastAsia="zh-CN"/>
        </w:rPr>
        <w:t>.</w:t>
      </w:r>
      <w:r w:rsidRPr="003B5EA4">
        <w:rPr>
          <w:lang w:eastAsia="zh-CN"/>
        </w:rPr>
        <w:tab/>
        <w:t>À l</w:t>
      </w:r>
      <w:r w:rsidR="00762E0A">
        <w:rPr>
          <w:lang w:eastAsia="zh-CN"/>
        </w:rPr>
        <w:t>’</w:t>
      </w:r>
      <w:r w:rsidRPr="003B5EA4">
        <w:rPr>
          <w:lang w:eastAsia="zh-CN"/>
        </w:rPr>
        <w:t>échelle du système des Nations Unies, 140 567 voyages en classe affaires ont été effectués dans le cadre des activités de 14 des 15 organismes susmentionnés</w:t>
      </w:r>
      <w:r w:rsidRPr="003B5EA4">
        <w:rPr>
          <w:rStyle w:val="Appelnotedebasdep"/>
        </w:rPr>
        <w:footnoteReference w:id="75"/>
      </w:r>
      <w:r w:rsidRPr="003B5EA4">
        <w:rPr>
          <w:lang w:eastAsia="zh-CN"/>
        </w:rPr>
        <w:t xml:space="preserve"> pendant la période 2010-2015, à un coût total de 549,8 millions de dollars des États-Unis, soit en moyenne 3 911 dollars par voyage. En comparaison, le nombre total de voyages en classe économique financés par ces mêmes organismes pendant cette période était de 500 540, à un coût total de 453,7 millions de dollars des États-Unis, soit une moyenne de 906 dollars par voyage (voir la figure VIII pour les coûts moyens par organisation).</w:t>
      </w:r>
    </w:p>
    <w:p w:rsidR="00972EF2" w:rsidRPr="003B5EA4" w:rsidRDefault="00972EF2" w:rsidP="00972EF2">
      <w:pPr>
        <w:pStyle w:val="SingleTxtG"/>
        <w:rPr>
          <w:lang w:eastAsia="zh-CN"/>
        </w:rPr>
      </w:pPr>
      <w:r w:rsidRPr="003B5EA4">
        <w:rPr>
          <w:lang w:eastAsia="zh-CN"/>
        </w:rPr>
        <w:t>6</w:t>
      </w:r>
      <w:r w:rsidR="00922E28">
        <w:rPr>
          <w:lang w:eastAsia="zh-CN"/>
        </w:rPr>
        <w:t>8</w:t>
      </w:r>
      <w:r w:rsidRPr="003B5EA4">
        <w:rPr>
          <w:lang w:eastAsia="zh-CN"/>
        </w:rPr>
        <w:t>.</w:t>
      </w:r>
      <w:r w:rsidRPr="003B5EA4">
        <w:rPr>
          <w:lang w:eastAsia="zh-CN"/>
        </w:rPr>
        <w:tab/>
        <w:t>En moyenne, le voyage en classe affaires a coûté aux 14 organismes en question plus du triple (331 %) du voyage en classe économique, soit 2 025 dollars des États-Unis en plus par billet. Ensemble, ces organismes ont consacré 1,01 milliard de dollars des États</w:t>
      </w:r>
      <w:r w:rsidRPr="003B5EA4">
        <w:rPr>
          <w:lang w:eastAsia="zh-CN"/>
        </w:rPr>
        <w:noBreakHyphen/>
        <w:t>Unis aux voyages en avion. Alors que les billets de classe affaires constituaient la plus grosse part (54 %) de cette dépense totale, ils ne représentaient en nombre qu</w:t>
      </w:r>
      <w:r w:rsidR="00762E0A">
        <w:rPr>
          <w:lang w:eastAsia="zh-CN"/>
        </w:rPr>
        <w:t>’</w:t>
      </w:r>
      <w:r w:rsidRPr="003B5EA4">
        <w:rPr>
          <w:lang w:eastAsia="zh-CN"/>
        </w:rPr>
        <w:t>un peu plus du cinquième de tous les voyages effectués</w:t>
      </w:r>
      <w:r w:rsidRPr="003B5EA4">
        <w:rPr>
          <w:rStyle w:val="Appelnotedebasdep"/>
        </w:rPr>
        <w:footnoteReference w:id="76"/>
      </w:r>
      <w:r w:rsidRPr="003B5EA4">
        <w:rPr>
          <w:lang w:eastAsia="zh-CN"/>
        </w:rPr>
        <w:t>.</w:t>
      </w:r>
    </w:p>
    <w:p w:rsidR="001A5C9D" w:rsidRPr="003B5EA4" w:rsidRDefault="001A5C9D" w:rsidP="00BC5B3F">
      <w:pPr>
        <w:pStyle w:val="Titre1"/>
        <w:spacing w:after="120"/>
        <w:ind w:right="1134"/>
        <w:rPr>
          <w:bCs/>
          <w:sz w:val="16"/>
          <w:szCs w:val="16"/>
          <w:lang w:eastAsia="zh-CN"/>
        </w:rPr>
      </w:pPr>
      <w:r w:rsidRPr="003B5EA4">
        <w:rPr>
          <w:lang w:eastAsia="zh-CN"/>
        </w:rPr>
        <w:t xml:space="preserve">Figure VIII </w:t>
      </w:r>
      <w:r w:rsidRPr="003B5EA4">
        <w:rPr>
          <w:lang w:eastAsia="zh-CN"/>
        </w:rPr>
        <w:br/>
      </w:r>
      <w:r w:rsidRPr="003B5EA4">
        <w:rPr>
          <w:b/>
          <w:bCs/>
          <w:lang w:eastAsia="zh-CN"/>
        </w:rPr>
        <w:t>Prix moyen du billet d</w:t>
      </w:r>
      <w:r w:rsidR="00762E0A">
        <w:rPr>
          <w:b/>
          <w:bCs/>
          <w:lang w:eastAsia="zh-CN"/>
        </w:rPr>
        <w:t>’</w:t>
      </w:r>
      <w:r w:rsidRPr="003B5EA4">
        <w:rPr>
          <w:b/>
          <w:bCs/>
          <w:lang w:eastAsia="zh-CN"/>
        </w:rPr>
        <w:t xml:space="preserve">avion de classe affaires et de classe économique </w:t>
      </w:r>
      <w:r w:rsidRPr="003B5EA4">
        <w:rPr>
          <w:b/>
          <w:bCs/>
          <w:lang w:eastAsia="zh-CN"/>
        </w:rPr>
        <w:br/>
        <w:t xml:space="preserve">selon les organismes </w:t>
      </w:r>
      <w:r w:rsidRPr="003B5EA4">
        <w:rPr>
          <w:b/>
          <w:bCs/>
          <w:lang w:eastAsia="zh-CN"/>
        </w:rPr>
        <w:br/>
      </w:r>
      <w:r w:rsidRPr="003B5EA4">
        <w:rPr>
          <w:bCs/>
          <w:sz w:val="16"/>
          <w:szCs w:val="16"/>
          <w:lang w:eastAsia="zh-CN"/>
        </w:rPr>
        <w:t>(En dollars des États-Unis)</w:t>
      </w:r>
    </w:p>
    <w:p w:rsidR="00BC5B3F" w:rsidRPr="003B5EA4" w:rsidRDefault="00BC5B3F" w:rsidP="002633AF">
      <w:pPr>
        <w:tabs>
          <w:tab w:val="left" w:pos="-3360"/>
          <w:tab w:val="left" w:pos="-2760"/>
        </w:tabs>
        <w:spacing w:line="240" w:lineRule="auto"/>
        <w:ind w:left="1134"/>
        <w:rPr>
          <w:rFonts w:eastAsia="+mn-ea"/>
          <w:bCs/>
          <w:sz w:val="22"/>
          <w:szCs w:val="22"/>
          <w:lang w:eastAsia="zh-CN"/>
        </w:rPr>
      </w:pPr>
      <w:r w:rsidRPr="003B5EA4">
        <w:rPr>
          <w:rFonts w:asciiTheme="minorHAnsi" w:eastAsiaTheme="minorEastAsia" w:hAnsiTheme="minorHAnsi" w:cstheme="minorBidi"/>
          <w:noProof/>
          <w:sz w:val="22"/>
          <w:szCs w:val="22"/>
          <w:lang w:eastAsia="fr-CH"/>
        </w:rPr>
        <w:drawing>
          <wp:inline distT="0" distB="0" distL="0" distR="0" wp14:anchorId="0F0894F0" wp14:editId="57466B4A">
            <wp:extent cx="4667061" cy="3054985"/>
            <wp:effectExtent l="0" t="0" r="635" b="120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94EBC" w:rsidRPr="003B5EA4" w:rsidRDefault="00A94EBC" w:rsidP="00A94EBC">
      <w:pPr>
        <w:pStyle w:val="SingleTxtG"/>
        <w:spacing w:before="120" w:after="240"/>
        <w:ind w:right="0" w:firstLine="170"/>
        <w:jc w:val="left"/>
        <w:rPr>
          <w:rFonts w:eastAsiaTheme="minorEastAsia"/>
          <w:sz w:val="18"/>
          <w:szCs w:val="18"/>
          <w:lang w:eastAsia="zh-CN"/>
        </w:rPr>
      </w:pPr>
      <w:r w:rsidRPr="003B5EA4">
        <w:rPr>
          <w:rFonts w:eastAsiaTheme="minorEastAsia"/>
          <w:i/>
          <w:sz w:val="18"/>
          <w:szCs w:val="18"/>
          <w:lang w:eastAsia="zh-CN"/>
        </w:rPr>
        <w:t>Source </w:t>
      </w:r>
      <w:r w:rsidRPr="003B5EA4">
        <w:rPr>
          <w:rFonts w:eastAsiaTheme="minorEastAsia"/>
          <w:sz w:val="18"/>
          <w:szCs w:val="18"/>
          <w:lang w:eastAsia="zh-CN"/>
        </w:rPr>
        <w:t>: Étude du CCI.</w:t>
      </w:r>
    </w:p>
    <w:p w:rsidR="00A94EBC" w:rsidRPr="003B5EA4" w:rsidRDefault="00954B23" w:rsidP="00A94EBC">
      <w:pPr>
        <w:pStyle w:val="SingleTxtG"/>
        <w:rPr>
          <w:lang w:eastAsia="zh-CN"/>
        </w:rPr>
      </w:pPr>
      <w:r w:rsidRPr="003B5EA4">
        <w:rPr>
          <w:lang w:eastAsia="zh-CN"/>
        </w:rPr>
        <w:t>69.</w:t>
      </w:r>
      <w:r w:rsidRPr="003B5EA4">
        <w:rPr>
          <w:lang w:eastAsia="zh-CN"/>
        </w:rPr>
        <w:tab/>
        <w:t>Comme l</w:t>
      </w:r>
      <w:r w:rsidR="00762E0A">
        <w:rPr>
          <w:lang w:eastAsia="zh-CN"/>
        </w:rPr>
        <w:t>’</w:t>
      </w:r>
      <w:r w:rsidRPr="003B5EA4">
        <w:rPr>
          <w:lang w:eastAsia="zh-CN"/>
        </w:rPr>
        <w:t>illustre la figure VIII, des différences considérables apparaissent au sein des 14 organismes entre le prix moyen d</w:t>
      </w:r>
      <w:r w:rsidR="00762E0A">
        <w:rPr>
          <w:lang w:eastAsia="zh-CN"/>
        </w:rPr>
        <w:t>’</w:t>
      </w:r>
      <w:r w:rsidRPr="003B5EA4">
        <w:rPr>
          <w:lang w:eastAsia="zh-CN"/>
        </w:rPr>
        <w:t xml:space="preserve">un billet de classe affaires et de classe économique. Ces différences varient entre 1 100 et 2 600 dollars des États-Unis pour </w:t>
      </w:r>
      <w:r w:rsidR="00944C24">
        <w:rPr>
          <w:lang w:eastAsia="zh-CN"/>
        </w:rPr>
        <w:t>9 </w:t>
      </w:r>
      <w:r w:rsidRPr="003B5EA4">
        <w:rPr>
          <w:lang w:eastAsia="zh-CN"/>
        </w:rPr>
        <w:t>organismes et entre non moins de 3 400 à 4</w:t>
      </w:r>
      <w:r w:rsidR="00944C24">
        <w:rPr>
          <w:lang w:eastAsia="zh-CN"/>
        </w:rPr>
        <w:t> </w:t>
      </w:r>
      <w:r w:rsidRPr="003B5EA4">
        <w:rPr>
          <w:lang w:eastAsia="zh-CN"/>
        </w:rPr>
        <w:t>000</w:t>
      </w:r>
      <w:r w:rsidR="00944C24">
        <w:rPr>
          <w:lang w:eastAsia="zh-CN"/>
        </w:rPr>
        <w:t> dollars</w:t>
      </w:r>
      <w:r w:rsidRPr="003B5EA4">
        <w:rPr>
          <w:lang w:eastAsia="zh-CN"/>
        </w:rPr>
        <w:t xml:space="preserve"> à l</w:t>
      </w:r>
      <w:r w:rsidR="00762E0A">
        <w:rPr>
          <w:lang w:eastAsia="zh-CN"/>
        </w:rPr>
        <w:t>’</w:t>
      </w:r>
      <w:r w:rsidRPr="003B5EA4">
        <w:rPr>
          <w:lang w:eastAsia="zh-CN"/>
        </w:rPr>
        <w:t>OACI, à l</w:t>
      </w:r>
      <w:r w:rsidR="00762E0A">
        <w:rPr>
          <w:lang w:eastAsia="zh-CN"/>
        </w:rPr>
        <w:t>’</w:t>
      </w:r>
      <w:r w:rsidRPr="003B5EA4">
        <w:rPr>
          <w:lang w:eastAsia="zh-CN"/>
        </w:rPr>
        <w:t>ONUSIDA et au Siège de l</w:t>
      </w:r>
      <w:r w:rsidR="00762E0A">
        <w:rPr>
          <w:lang w:eastAsia="zh-CN"/>
        </w:rPr>
        <w:t>’</w:t>
      </w:r>
      <w:r w:rsidRPr="003B5EA4">
        <w:rPr>
          <w:lang w:eastAsia="zh-CN"/>
        </w:rPr>
        <w:t>ONU.</w:t>
      </w:r>
    </w:p>
    <w:p w:rsidR="00954B23" w:rsidRPr="003B5EA4" w:rsidRDefault="00954B23" w:rsidP="00954B23">
      <w:pPr>
        <w:pStyle w:val="H23G"/>
        <w:rPr>
          <w:lang w:eastAsia="zh-CN"/>
        </w:rPr>
      </w:pPr>
      <w:r w:rsidRPr="003B5EA4">
        <w:rPr>
          <w:lang w:eastAsia="zh-CN"/>
        </w:rPr>
        <w:lastRenderedPageBreak/>
        <w:tab/>
      </w:r>
      <w:r w:rsidRPr="003B5EA4">
        <w:rPr>
          <w:lang w:eastAsia="zh-CN"/>
        </w:rPr>
        <w:tab/>
        <w:t>La classe économique « premium » en remplacement possible de la classe affaires</w:t>
      </w:r>
    </w:p>
    <w:p w:rsidR="00954B23" w:rsidRPr="003B5EA4" w:rsidRDefault="00954B23" w:rsidP="00954B23">
      <w:pPr>
        <w:pStyle w:val="SingleTxtG"/>
        <w:rPr>
          <w:lang w:eastAsia="zh-CN"/>
        </w:rPr>
      </w:pPr>
      <w:r w:rsidRPr="003B5EA4">
        <w:rPr>
          <w:lang w:eastAsia="zh-CN"/>
        </w:rPr>
        <w:t>70.</w:t>
      </w:r>
      <w:r w:rsidRPr="003B5EA4">
        <w:rPr>
          <w:lang w:eastAsia="zh-CN"/>
        </w:rPr>
        <w:tab/>
        <w:t>Le recours à la classe économique « premium » (ou à une classe équivalente), qui est disponible sur de nombreux itinéraires internationaux entre sièges ainsi qu</w:t>
      </w:r>
      <w:r w:rsidR="00762E0A">
        <w:rPr>
          <w:lang w:eastAsia="zh-CN"/>
        </w:rPr>
        <w:t>’</w:t>
      </w:r>
      <w:r w:rsidRPr="003B5EA4">
        <w:rPr>
          <w:lang w:eastAsia="zh-CN"/>
        </w:rPr>
        <w:t>entre sièges et bureaux régionaux pourrait s</w:t>
      </w:r>
      <w:r w:rsidR="00762E0A">
        <w:rPr>
          <w:lang w:eastAsia="zh-CN"/>
        </w:rPr>
        <w:t>’</w:t>
      </w:r>
      <w:r w:rsidRPr="003B5EA4">
        <w:rPr>
          <w:lang w:eastAsia="zh-CN"/>
        </w:rPr>
        <w:t>avérer une formule viable pour remplacer la classe affaires, pour autant qu</w:t>
      </w:r>
      <w:r w:rsidR="00762E0A">
        <w:rPr>
          <w:lang w:eastAsia="zh-CN"/>
        </w:rPr>
        <w:t>’</w:t>
      </w:r>
      <w:r w:rsidRPr="003B5EA4">
        <w:rPr>
          <w:lang w:eastAsia="zh-CN"/>
        </w:rPr>
        <w:t>elle soit disponible, le Secrétaire général ayant déclaré qu</w:t>
      </w:r>
      <w:r w:rsidR="00762E0A">
        <w:rPr>
          <w:lang w:eastAsia="zh-CN"/>
        </w:rPr>
        <w:t>’</w:t>
      </w:r>
      <w:r w:rsidRPr="003B5EA4">
        <w:rPr>
          <w:lang w:eastAsia="zh-CN"/>
        </w:rPr>
        <w:t>elle n</w:t>
      </w:r>
      <w:r w:rsidR="00762E0A">
        <w:rPr>
          <w:lang w:eastAsia="zh-CN"/>
        </w:rPr>
        <w:t>’</w:t>
      </w:r>
      <w:r w:rsidRPr="003B5EA4">
        <w:rPr>
          <w:lang w:eastAsia="zh-CN"/>
        </w:rPr>
        <w:t>était pas proposée par toutes les compagnies aériennes et qu</w:t>
      </w:r>
      <w:r w:rsidR="00762E0A">
        <w:rPr>
          <w:lang w:eastAsia="zh-CN"/>
        </w:rPr>
        <w:t>’</w:t>
      </w:r>
      <w:r w:rsidRPr="003B5EA4">
        <w:rPr>
          <w:lang w:eastAsia="zh-CN"/>
        </w:rPr>
        <w:t>au sein d</w:t>
      </w:r>
      <w:r w:rsidR="00762E0A">
        <w:rPr>
          <w:lang w:eastAsia="zh-CN"/>
        </w:rPr>
        <w:t>’</w:t>
      </w:r>
      <w:r w:rsidRPr="003B5EA4">
        <w:rPr>
          <w:lang w:eastAsia="zh-CN"/>
        </w:rPr>
        <w:t>une même compagnie, elle pouvait non seulement ne pas être proposée sur tous les itinéraires, mais encore ne pas être disponible sur tous les avions assurant un même itinéraire</w:t>
      </w:r>
      <w:r w:rsidRPr="003B5EA4">
        <w:rPr>
          <w:rStyle w:val="Appelnotedebasdep"/>
        </w:rPr>
        <w:footnoteReference w:id="77"/>
      </w:r>
      <w:r w:rsidRPr="003B5EA4">
        <w:rPr>
          <w:lang w:eastAsia="zh-CN"/>
        </w:rPr>
        <w:t>.</w:t>
      </w:r>
    </w:p>
    <w:p w:rsidR="00954B23" w:rsidRPr="003B5EA4" w:rsidRDefault="00954B23" w:rsidP="00954B23">
      <w:pPr>
        <w:pStyle w:val="SingleTxtG"/>
        <w:rPr>
          <w:lang w:eastAsia="zh-CN"/>
        </w:rPr>
      </w:pPr>
      <w:r w:rsidRPr="003B5EA4">
        <w:rPr>
          <w:lang w:eastAsia="zh-CN"/>
        </w:rPr>
        <w:t>71.</w:t>
      </w:r>
      <w:r w:rsidRPr="003B5EA4">
        <w:rPr>
          <w:lang w:eastAsia="zh-CN"/>
        </w:rPr>
        <w:tab/>
        <w:t>Les études menées par le CCI sur certaines grandes compagnies aériennes ont révélé une variété d</w:t>
      </w:r>
      <w:r w:rsidR="00762E0A">
        <w:rPr>
          <w:lang w:eastAsia="zh-CN"/>
        </w:rPr>
        <w:t>’</w:t>
      </w:r>
      <w:r w:rsidRPr="003B5EA4">
        <w:rPr>
          <w:lang w:eastAsia="zh-CN"/>
        </w:rPr>
        <w:t>avantages potentiels offerts par la classe économique « premium » par rapport à la classe économique ordinaire en matière de confort et de franchises de bagages. Des représentants de compagnies aériennes interrogés à Genève ont également souligné l</w:t>
      </w:r>
      <w:r w:rsidR="00762E0A">
        <w:rPr>
          <w:lang w:eastAsia="zh-CN"/>
        </w:rPr>
        <w:t>’</w:t>
      </w:r>
      <w:r w:rsidRPr="003B5EA4">
        <w:rPr>
          <w:lang w:eastAsia="zh-CN"/>
        </w:rPr>
        <w:t>utilisation accrue de la classe économique « premium ». En 2015, le Comité consultatif pour les questions administratives et budgétaires a pris acte du fait que « des formules de voyage en classe économique “premium” sont de plus en plus proposées », appelant le Secrétaire général à formuler des propositions en ce qui concerne les classes de voyage en avion</w:t>
      </w:r>
      <w:r w:rsidRPr="003B5EA4">
        <w:rPr>
          <w:rStyle w:val="Appelnotedebasdep"/>
        </w:rPr>
        <w:footnoteReference w:id="78"/>
      </w:r>
      <w:r w:rsidRPr="003B5EA4">
        <w:rPr>
          <w:lang w:eastAsia="zh-CN"/>
        </w:rPr>
        <w:t>.</w:t>
      </w:r>
    </w:p>
    <w:p w:rsidR="00954B23" w:rsidRPr="003B5EA4" w:rsidRDefault="00954B23" w:rsidP="00954B23">
      <w:pPr>
        <w:pStyle w:val="SingleTxtG"/>
        <w:rPr>
          <w:lang w:eastAsia="zh-CN"/>
        </w:rPr>
      </w:pPr>
      <w:r w:rsidRPr="003B5EA4">
        <w:rPr>
          <w:lang w:eastAsia="zh-CN"/>
        </w:rPr>
        <w:t>72.</w:t>
      </w:r>
      <w:r w:rsidRPr="003B5EA4">
        <w:rPr>
          <w:lang w:eastAsia="zh-CN"/>
        </w:rPr>
        <w:tab/>
        <w:t>Dans la lignée du tableau 3, le tableau 4 présente également les résultats d</w:t>
      </w:r>
      <w:r w:rsidR="00762E0A">
        <w:rPr>
          <w:lang w:eastAsia="zh-CN"/>
        </w:rPr>
        <w:t>’</w:t>
      </w:r>
      <w:r w:rsidRPr="003B5EA4">
        <w:rPr>
          <w:lang w:eastAsia="zh-CN"/>
        </w:rPr>
        <w:t>une étude du CCI sur les prix moyens combinés des billets d</w:t>
      </w:r>
      <w:r w:rsidR="00762E0A">
        <w:rPr>
          <w:lang w:eastAsia="zh-CN"/>
        </w:rPr>
        <w:t>’</w:t>
      </w:r>
      <w:r w:rsidRPr="003B5EA4">
        <w:rPr>
          <w:lang w:eastAsia="zh-CN"/>
        </w:rPr>
        <w:t>une série de trois classes (affaires, économique « premium » et économique) pour six itinéraires fréquemment utilisés entre cinq villes sièges, d</w:t>
      </w:r>
      <w:r w:rsidR="00762E0A">
        <w:rPr>
          <w:lang w:eastAsia="zh-CN"/>
        </w:rPr>
        <w:t>’</w:t>
      </w:r>
      <w:r w:rsidRPr="003B5EA4">
        <w:rPr>
          <w:lang w:eastAsia="zh-CN"/>
        </w:rPr>
        <w:t>une part, et entre deux commissions régionales et deux villes sièges, d</w:t>
      </w:r>
      <w:r w:rsidR="00762E0A">
        <w:rPr>
          <w:lang w:eastAsia="zh-CN"/>
        </w:rPr>
        <w:t>’</w:t>
      </w:r>
      <w:r w:rsidRPr="003B5EA4">
        <w:rPr>
          <w:lang w:eastAsia="zh-CN"/>
        </w:rPr>
        <w:t>autre part. S</w:t>
      </w:r>
      <w:r w:rsidR="00762E0A">
        <w:rPr>
          <w:lang w:eastAsia="zh-CN"/>
        </w:rPr>
        <w:t>’</w:t>
      </w:r>
      <w:r w:rsidRPr="003B5EA4">
        <w:rPr>
          <w:lang w:eastAsia="zh-CN"/>
        </w:rPr>
        <w:t>il est vrai qu</w:t>
      </w:r>
      <w:r w:rsidR="00762E0A">
        <w:rPr>
          <w:lang w:eastAsia="zh-CN"/>
        </w:rPr>
        <w:t>’</w:t>
      </w:r>
      <w:r w:rsidRPr="003B5EA4">
        <w:rPr>
          <w:lang w:eastAsia="zh-CN"/>
        </w:rPr>
        <w:t xml:space="preserve">en dernier calcul, le billet moyen </w:t>
      </w:r>
      <w:r w:rsidRPr="002F1F74">
        <w:rPr>
          <w:lang w:eastAsia="zh-CN"/>
        </w:rPr>
        <w:t>de classe économique « premium » coûte 1 414 dollars des États-Unis de plus que le billet moyen de</w:t>
      </w:r>
      <w:r w:rsidRPr="003B5EA4">
        <w:rPr>
          <w:lang w:eastAsia="zh-CN"/>
        </w:rPr>
        <w:t xml:space="preserve"> classe économique ordinaire pour les six itinéraires considérés, il s</w:t>
      </w:r>
      <w:r w:rsidR="00762E0A">
        <w:rPr>
          <w:lang w:eastAsia="zh-CN"/>
        </w:rPr>
        <w:t>’</w:t>
      </w:r>
      <w:r w:rsidRPr="003B5EA4">
        <w:rPr>
          <w:lang w:eastAsia="zh-CN"/>
        </w:rPr>
        <w:t>avère aussi 2 053 dollars moins cher que le billet moyen de classe affaires</w:t>
      </w:r>
      <w:r w:rsidR="008F0E9E">
        <w:rPr>
          <w:lang w:eastAsia="zh-CN"/>
        </w:rPr>
        <w:t xml:space="preserve"> et représente 56 % de son coût</w:t>
      </w:r>
      <w:r w:rsidRPr="003B5EA4">
        <w:rPr>
          <w:lang w:eastAsia="zh-CN"/>
        </w:rPr>
        <w:t>.</w:t>
      </w:r>
    </w:p>
    <w:p w:rsidR="00954B23" w:rsidRPr="003B5EA4" w:rsidRDefault="00954B23" w:rsidP="00A26D8F">
      <w:pPr>
        <w:pStyle w:val="Titre1"/>
        <w:spacing w:after="120"/>
        <w:rPr>
          <w:b/>
          <w:bCs/>
          <w:lang w:eastAsia="zh-CN"/>
        </w:rPr>
      </w:pPr>
      <w:r w:rsidRPr="003B5EA4">
        <w:rPr>
          <w:lang w:eastAsia="zh-CN"/>
        </w:rPr>
        <w:t xml:space="preserve">Tableau 4 </w:t>
      </w:r>
      <w:r w:rsidRPr="003B5EA4">
        <w:rPr>
          <w:lang w:eastAsia="zh-CN"/>
        </w:rPr>
        <w:br/>
      </w:r>
      <w:r w:rsidRPr="003B5EA4">
        <w:rPr>
          <w:b/>
          <w:bCs/>
          <w:lang w:eastAsia="zh-CN"/>
        </w:rPr>
        <w:t>Échantillon de prix moyens combinés par classe</w:t>
      </w:r>
    </w:p>
    <w:tbl>
      <w:tblPr>
        <w:tblStyle w:val="Grilledutableau"/>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3119"/>
        <w:gridCol w:w="1417"/>
        <w:gridCol w:w="1417"/>
        <w:gridCol w:w="1417"/>
      </w:tblGrid>
      <w:tr w:rsidR="00954B23" w:rsidRPr="003B5EA4" w:rsidTr="00C65DAF">
        <w:trPr>
          <w:tblHeader/>
        </w:trPr>
        <w:tc>
          <w:tcPr>
            <w:tcW w:w="3119" w:type="dxa"/>
            <w:tcBorders>
              <w:top w:val="single" w:sz="4" w:space="0" w:color="auto"/>
              <w:bottom w:val="single" w:sz="12" w:space="0" w:color="auto"/>
            </w:tcBorders>
            <w:shd w:val="clear" w:color="auto" w:fill="auto"/>
            <w:vAlign w:val="bottom"/>
          </w:tcPr>
          <w:p w:rsidR="00954B23" w:rsidRPr="003B5EA4" w:rsidRDefault="00954B23" w:rsidP="00175F9A">
            <w:pPr>
              <w:suppressAutoHyphens w:val="0"/>
              <w:spacing w:before="80" w:after="80" w:line="200" w:lineRule="exact"/>
              <w:rPr>
                <w:i/>
                <w:sz w:val="16"/>
              </w:rPr>
            </w:pPr>
            <w:r w:rsidRPr="003B5EA4">
              <w:rPr>
                <w:i/>
                <w:sz w:val="16"/>
              </w:rPr>
              <w:t>Itinéraire (aller retour le plus direct)</w:t>
            </w:r>
          </w:p>
        </w:tc>
        <w:tc>
          <w:tcPr>
            <w:tcW w:w="1417" w:type="dxa"/>
            <w:tcBorders>
              <w:top w:val="single" w:sz="4" w:space="0" w:color="auto"/>
              <w:bottom w:val="single" w:sz="12" w:space="0" w:color="auto"/>
            </w:tcBorders>
            <w:shd w:val="clear" w:color="auto" w:fill="auto"/>
            <w:vAlign w:val="bottom"/>
          </w:tcPr>
          <w:p w:rsidR="00954B23" w:rsidRPr="003B5EA4" w:rsidRDefault="00954B23" w:rsidP="00175F9A">
            <w:pPr>
              <w:suppressAutoHyphens w:val="0"/>
              <w:spacing w:before="80" w:after="80" w:line="200" w:lineRule="exact"/>
              <w:jc w:val="right"/>
              <w:rPr>
                <w:i/>
                <w:sz w:val="16"/>
              </w:rPr>
            </w:pPr>
            <w:r w:rsidRPr="003B5EA4">
              <w:rPr>
                <w:i/>
                <w:sz w:val="16"/>
              </w:rPr>
              <w:t>Première</w:t>
            </w:r>
            <w:r w:rsidR="00265B23">
              <w:rPr>
                <w:i/>
                <w:sz w:val="16"/>
              </w:rPr>
              <w:t xml:space="preserve"> classe</w:t>
            </w:r>
          </w:p>
        </w:tc>
        <w:tc>
          <w:tcPr>
            <w:tcW w:w="1417" w:type="dxa"/>
            <w:tcBorders>
              <w:top w:val="single" w:sz="4" w:space="0" w:color="auto"/>
              <w:bottom w:val="single" w:sz="12" w:space="0" w:color="auto"/>
            </w:tcBorders>
            <w:shd w:val="clear" w:color="auto" w:fill="auto"/>
            <w:vAlign w:val="bottom"/>
          </w:tcPr>
          <w:p w:rsidR="00954B23" w:rsidRPr="003B5EA4" w:rsidRDefault="00265B23" w:rsidP="00265B23">
            <w:pPr>
              <w:suppressAutoHyphens w:val="0"/>
              <w:spacing w:before="80" w:after="80" w:line="200" w:lineRule="exact"/>
              <w:jc w:val="right"/>
              <w:rPr>
                <w:i/>
                <w:sz w:val="16"/>
              </w:rPr>
            </w:pPr>
            <w:r>
              <w:rPr>
                <w:i/>
                <w:sz w:val="16"/>
              </w:rPr>
              <w:t>Classe a</w:t>
            </w:r>
            <w:r w:rsidR="00954B23" w:rsidRPr="003B5EA4">
              <w:rPr>
                <w:i/>
                <w:sz w:val="16"/>
              </w:rPr>
              <w:t>ffaires</w:t>
            </w:r>
          </w:p>
        </w:tc>
        <w:tc>
          <w:tcPr>
            <w:tcW w:w="1417" w:type="dxa"/>
            <w:tcBorders>
              <w:top w:val="single" w:sz="4" w:space="0" w:color="auto"/>
              <w:bottom w:val="single" w:sz="12" w:space="0" w:color="auto"/>
            </w:tcBorders>
            <w:shd w:val="clear" w:color="auto" w:fill="auto"/>
            <w:vAlign w:val="bottom"/>
          </w:tcPr>
          <w:p w:rsidR="00954B23" w:rsidRPr="003B5EA4" w:rsidRDefault="00265B23" w:rsidP="00265B23">
            <w:pPr>
              <w:suppressAutoHyphens w:val="0"/>
              <w:spacing w:before="80" w:after="80" w:line="200" w:lineRule="exact"/>
              <w:jc w:val="right"/>
              <w:rPr>
                <w:i/>
                <w:sz w:val="16"/>
              </w:rPr>
            </w:pPr>
            <w:r>
              <w:rPr>
                <w:i/>
                <w:sz w:val="16"/>
              </w:rPr>
              <w:t>Classe é</w:t>
            </w:r>
            <w:r w:rsidR="00954B23" w:rsidRPr="003B5EA4">
              <w:rPr>
                <w:i/>
                <w:sz w:val="16"/>
              </w:rPr>
              <w:t>conomique</w:t>
            </w:r>
          </w:p>
        </w:tc>
      </w:tr>
      <w:tr w:rsidR="00A26D8F" w:rsidRPr="003B5EA4" w:rsidTr="00C65DAF">
        <w:tc>
          <w:tcPr>
            <w:tcW w:w="3119" w:type="dxa"/>
            <w:tcBorders>
              <w:top w:val="single" w:sz="12" w:space="0" w:color="auto"/>
            </w:tcBorders>
            <w:shd w:val="clear" w:color="auto" w:fill="auto"/>
          </w:tcPr>
          <w:p w:rsidR="00A26D8F" w:rsidRPr="003B5EA4" w:rsidRDefault="00A26D8F" w:rsidP="00175F9A">
            <w:pPr>
              <w:suppressAutoHyphens w:val="0"/>
              <w:spacing w:before="40" w:after="40" w:line="220" w:lineRule="exact"/>
              <w:rPr>
                <w:sz w:val="18"/>
              </w:rPr>
            </w:pPr>
            <w:r w:rsidRPr="003B5EA4">
              <w:rPr>
                <w:sz w:val="18"/>
              </w:rPr>
              <w:t>New York (JFK)-Genève</w:t>
            </w:r>
          </w:p>
        </w:tc>
        <w:tc>
          <w:tcPr>
            <w:tcW w:w="1417" w:type="dxa"/>
            <w:tcBorders>
              <w:top w:val="single" w:sz="12" w:space="0" w:color="auto"/>
            </w:tcBorders>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11 788</w:t>
            </w:r>
          </w:p>
        </w:tc>
        <w:tc>
          <w:tcPr>
            <w:tcW w:w="1417" w:type="dxa"/>
            <w:tcBorders>
              <w:top w:val="single" w:sz="12" w:space="0" w:color="auto"/>
            </w:tcBorders>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2 727</w:t>
            </w:r>
          </w:p>
        </w:tc>
        <w:tc>
          <w:tcPr>
            <w:tcW w:w="1417" w:type="dxa"/>
            <w:tcBorders>
              <w:top w:val="single" w:sz="12" w:space="0" w:color="auto"/>
            </w:tcBorders>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1 310</w:t>
            </w:r>
          </w:p>
        </w:tc>
      </w:tr>
      <w:tr w:rsidR="00A26D8F" w:rsidRPr="003B5EA4" w:rsidTr="00C65DAF">
        <w:tc>
          <w:tcPr>
            <w:tcW w:w="3119" w:type="dxa"/>
            <w:shd w:val="clear" w:color="auto" w:fill="auto"/>
          </w:tcPr>
          <w:p w:rsidR="00A26D8F" w:rsidRPr="003B5EA4" w:rsidRDefault="00A26D8F" w:rsidP="00175F9A">
            <w:pPr>
              <w:suppressAutoHyphens w:val="0"/>
              <w:spacing w:before="40" w:after="40" w:line="220" w:lineRule="exact"/>
              <w:rPr>
                <w:sz w:val="18"/>
              </w:rPr>
            </w:pPr>
            <w:r w:rsidRPr="003B5EA4">
              <w:rPr>
                <w:sz w:val="18"/>
              </w:rPr>
              <w:t>New York (JFK)-Rome</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5 773</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3 380</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1 650</w:t>
            </w:r>
          </w:p>
        </w:tc>
      </w:tr>
      <w:tr w:rsidR="00A26D8F" w:rsidRPr="003B5EA4" w:rsidTr="00C65DAF">
        <w:tc>
          <w:tcPr>
            <w:tcW w:w="3119" w:type="dxa"/>
            <w:shd w:val="clear" w:color="auto" w:fill="auto"/>
          </w:tcPr>
          <w:p w:rsidR="00A26D8F" w:rsidRPr="003B5EA4" w:rsidRDefault="00A26D8F" w:rsidP="00175F9A">
            <w:pPr>
              <w:suppressAutoHyphens w:val="0"/>
              <w:spacing w:before="40" w:after="40" w:line="220" w:lineRule="exact"/>
              <w:rPr>
                <w:sz w:val="18"/>
              </w:rPr>
            </w:pPr>
            <w:r w:rsidRPr="003B5EA4">
              <w:rPr>
                <w:sz w:val="18"/>
              </w:rPr>
              <w:t>Vienne-New York (JFK)</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4 574</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1 758</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1 312</w:t>
            </w:r>
          </w:p>
        </w:tc>
      </w:tr>
      <w:tr w:rsidR="00A26D8F" w:rsidRPr="003B5EA4" w:rsidTr="00C65DAF">
        <w:tc>
          <w:tcPr>
            <w:tcW w:w="3119" w:type="dxa"/>
            <w:shd w:val="clear" w:color="auto" w:fill="auto"/>
          </w:tcPr>
          <w:p w:rsidR="00A26D8F" w:rsidRPr="003B5EA4" w:rsidRDefault="00A26D8F" w:rsidP="00175F9A">
            <w:pPr>
              <w:suppressAutoHyphens w:val="0"/>
              <w:spacing w:before="40" w:after="40" w:line="220" w:lineRule="exact"/>
              <w:rPr>
                <w:sz w:val="18"/>
              </w:rPr>
            </w:pPr>
            <w:r w:rsidRPr="003B5EA4">
              <w:rPr>
                <w:sz w:val="18"/>
              </w:rPr>
              <w:t>Paris-New York (JFK)</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4 780</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1 958</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1 330</w:t>
            </w:r>
          </w:p>
        </w:tc>
      </w:tr>
      <w:tr w:rsidR="00A26D8F" w:rsidRPr="003B5EA4" w:rsidTr="00C65DAF">
        <w:tc>
          <w:tcPr>
            <w:tcW w:w="3119" w:type="dxa"/>
            <w:shd w:val="clear" w:color="auto" w:fill="auto"/>
          </w:tcPr>
          <w:p w:rsidR="00A26D8F" w:rsidRPr="003B5EA4" w:rsidRDefault="00A26D8F" w:rsidP="00175F9A">
            <w:pPr>
              <w:suppressAutoHyphens w:val="0"/>
              <w:spacing w:before="40" w:after="40" w:line="220" w:lineRule="exact"/>
              <w:rPr>
                <w:sz w:val="18"/>
              </w:rPr>
            </w:pPr>
            <w:r w:rsidRPr="003B5EA4">
              <w:rPr>
                <w:sz w:val="18"/>
              </w:rPr>
              <w:t>Beyrouth-New York (JFK)</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4 725</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2 812</w:t>
            </w:r>
          </w:p>
        </w:tc>
        <w:tc>
          <w:tcPr>
            <w:tcW w:w="1417" w:type="dxa"/>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1 288</w:t>
            </w:r>
          </w:p>
        </w:tc>
      </w:tr>
      <w:tr w:rsidR="00A26D8F" w:rsidRPr="003B5EA4" w:rsidTr="00C65DAF">
        <w:tc>
          <w:tcPr>
            <w:tcW w:w="3119" w:type="dxa"/>
            <w:tcBorders>
              <w:bottom w:val="single" w:sz="4" w:space="0" w:color="auto"/>
            </w:tcBorders>
            <w:shd w:val="clear" w:color="auto" w:fill="auto"/>
          </w:tcPr>
          <w:p w:rsidR="00A26D8F" w:rsidRPr="003B5EA4" w:rsidRDefault="00A26D8F" w:rsidP="00175F9A">
            <w:pPr>
              <w:suppressAutoHyphens w:val="0"/>
              <w:spacing w:before="40" w:after="40" w:line="220" w:lineRule="exact"/>
              <w:rPr>
                <w:sz w:val="18"/>
              </w:rPr>
            </w:pPr>
            <w:r w:rsidRPr="003B5EA4">
              <w:rPr>
                <w:sz w:val="18"/>
              </w:rPr>
              <w:t>Genève-Bangkok</w:t>
            </w:r>
          </w:p>
        </w:tc>
        <w:tc>
          <w:tcPr>
            <w:tcW w:w="1417" w:type="dxa"/>
            <w:tcBorders>
              <w:bottom w:val="single" w:sz="4" w:space="0" w:color="auto"/>
            </w:tcBorders>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3 270</w:t>
            </w:r>
          </w:p>
        </w:tc>
        <w:tc>
          <w:tcPr>
            <w:tcW w:w="1417" w:type="dxa"/>
            <w:tcBorders>
              <w:bottom w:val="single" w:sz="4" w:space="0" w:color="auto"/>
            </w:tcBorders>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3 319</w:t>
            </w:r>
          </w:p>
        </w:tc>
        <w:tc>
          <w:tcPr>
            <w:tcW w:w="1417" w:type="dxa"/>
            <w:tcBorders>
              <w:bottom w:val="single" w:sz="4" w:space="0" w:color="auto"/>
            </w:tcBorders>
            <w:shd w:val="clear" w:color="auto" w:fill="auto"/>
            <w:vAlign w:val="bottom"/>
          </w:tcPr>
          <w:p w:rsidR="00A26D8F" w:rsidRPr="003B5EA4" w:rsidRDefault="00A26D8F" w:rsidP="00175F9A">
            <w:pPr>
              <w:suppressAutoHyphens w:val="0"/>
              <w:spacing w:before="40" w:after="40" w:line="220" w:lineRule="exact"/>
              <w:jc w:val="right"/>
              <w:rPr>
                <w:sz w:val="18"/>
              </w:rPr>
            </w:pPr>
            <w:r w:rsidRPr="003B5EA4">
              <w:rPr>
                <w:sz w:val="18"/>
              </w:rPr>
              <w:t>582</w:t>
            </w:r>
          </w:p>
        </w:tc>
      </w:tr>
      <w:tr w:rsidR="00A26D8F" w:rsidRPr="003B5EA4" w:rsidTr="00C65DAF">
        <w:tc>
          <w:tcPr>
            <w:tcW w:w="3119" w:type="dxa"/>
            <w:tcBorders>
              <w:top w:val="single" w:sz="4" w:space="0" w:color="auto"/>
              <w:bottom w:val="single" w:sz="12" w:space="0" w:color="auto"/>
            </w:tcBorders>
            <w:shd w:val="clear" w:color="auto" w:fill="auto"/>
          </w:tcPr>
          <w:p w:rsidR="00A26D8F" w:rsidRPr="003B5EA4" w:rsidRDefault="00A26D8F" w:rsidP="00175F9A">
            <w:pPr>
              <w:suppressAutoHyphens w:val="0"/>
              <w:spacing w:before="80" w:after="80" w:line="220" w:lineRule="exact"/>
              <w:ind w:firstLine="284"/>
              <w:rPr>
                <w:b/>
                <w:sz w:val="18"/>
              </w:rPr>
            </w:pPr>
            <w:r w:rsidRPr="003B5EA4">
              <w:rPr>
                <w:b/>
                <w:sz w:val="18"/>
              </w:rPr>
              <w:t>Moyenne</w:t>
            </w:r>
          </w:p>
        </w:tc>
        <w:tc>
          <w:tcPr>
            <w:tcW w:w="1417" w:type="dxa"/>
            <w:tcBorders>
              <w:top w:val="single" w:sz="4" w:space="0" w:color="auto"/>
              <w:bottom w:val="single" w:sz="12" w:space="0" w:color="auto"/>
            </w:tcBorders>
            <w:shd w:val="clear" w:color="auto" w:fill="auto"/>
            <w:vAlign w:val="bottom"/>
          </w:tcPr>
          <w:p w:rsidR="00A26D8F" w:rsidRPr="003B5EA4" w:rsidRDefault="00A26D8F" w:rsidP="00175F9A">
            <w:pPr>
              <w:suppressAutoHyphens w:val="0"/>
              <w:spacing w:before="80" w:after="80" w:line="220" w:lineRule="exact"/>
              <w:jc w:val="right"/>
              <w:rPr>
                <w:b/>
                <w:sz w:val="18"/>
              </w:rPr>
            </w:pPr>
            <w:r w:rsidRPr="003B5EA4">
              <w:rPr>
                <w:b/>
                <w:sz w:val="18"/>
              </w:rPr>
              <w:t>4 712</w:t>
            </w:r>
          </w:p>
        </w:tc>
        <w:tc>
          <w:tcPr>
            <w:tcW w:w="1417" w:type="dxa"/>
            <w:tcBorders>
              <w:top w:val="single" w:sz="4" w:space="0" w:color="auto"/>
              <w:bottom w:val="single" w:sz="12" w:space="0" w:color="auto"/>
            </w:tcBorders>
            <w:shd w:val="clear" w:color="auto" w:fill="auto"/>
            <w:vAlign w:val="bottom"/>
          </w:tcPr>
          <w:p w:rsidR="00A26D8F" w:rsidRPr="003B5EA4" w:rsidRDefault="00A26D8F" w:rsidP="00175F9A">
            <w:pPr>
              <w:suppressAutoHyphens w:val="0"/>
              <w:spacing w:before="80" w:after="80" w:line="220" w:lineRule="exact"/>
              <w:jc w:val="right"/>
              <w:rPr>
                <w:b/>
                <w:sz w:val="18"/>
              </w:rPr>
            </w:pPr>
            <w:r w:rsidRPr="003B5EA4">
              <w:rPr>
                <w:b/>
                <w:sz w:val="18"/>
              </w:rPr>
              <w:t>2 659</w:t>
            </w:r>
          </w:p>
        </w:tc>
        <w:tc>
          <w:tcPr>
            <w:tcW w:w="1417" w:type="dxa"/>
            <w:tcBorders>
              <w:top w:val="single" w:sz="4" w:space="0" w:color="auto"/>
              <w:bottom w:val="single" w:sz="12" w:space="0" w:color="auto"/>
            </w:tcBorders>
            <w:shd w:val="clear" w:color="auto" w:fill="auto"/>
            <w:vAlign w:val="bottom"/>
          </w:tcPr>
          <w:p w:rsidR="00A26D8F" w:rsidRPr="003B5EA4" w:rsidRDefault="00A26D8F" w:rsidP="00175F9A">
            <w:pPr>
              <w:suppressAutoHyphens w:val="0"/>
              <w:spacing w:before="80" w:after="80" w:line="220" w:lineRule="exact"/>
              <w:jc w:val="right"/>
              <w:rPr>
                <w:b/>
                <w:sz w:val="18"/>
              </w:rPr>
            </w:pPr>
            <w:r w:rsidRPr="003B5EA4">
              <w:rPr>
                <w:b/>
                <w:sz w:val="18"/>
              </w:rPr>
              <w:t>1 245</w:t>
            </w:r>
          </w:p>
        </w:tc>
      </w:tr>
    </w:tbl>
    <w:p w:rsidR="00C65DAF" w:rsidRPr="003B5EA4" w:rsidRDefault="00C65DAF" w:rsidP="00C65DAF">
      <w:pPr>
        <w:pStyle w:val="SingleTxtG"/>
        <w:spacing w:before="120" w:after="0"/>
        <w:ind w:firstLine="170"/>
        <w:jc w:val="left"/>
        <w:rPr>
          <w:rFonts w:eastAsiaTheme="minorEastAsia"/>
          <w:sz w:val="18"/>
          <w:szCs w:val="18"/>
          <w:lang w:eastAsia="zh-CN"/>
        </w:rPr>
      </w:pPr>
      <w:r w:rsidRPr="003B5EA4">
        <w:rPr>
          <w:rFonts w:eastAsiaTheme="minorEastAsia"/>
          <w:i/>
          <w:sz w:val="18"/>
          <w:szCs w:val="18"/>
          <w:lang w:eastAsia="zh-CN"/>
        </w:rPr>
        <w:t>Source</w:t>
      </w:r>
      <w:r w:rsidRPr="003B5EA4">
        <w:rPr>
          <w:rFonts w:eastAsiaTheme="minorEastAsia"/>
          <w:sz w:val="18"/>
          <w:szCs w:val="18"/>
          <w:lang w:eastAsia="zh-CN"/>
        </w:rPr>
        <w:t> : Étude du CCI.</w:t>
      </w:r>
    </w:p>
    <w:p w:rsidR="00954B23" w:rsidRPr="003B5EA4" w:rsidRDefault="00004226" w:rsidP="00C65DAF">
      <w:pPr>
        <w:pStyle w:val="SingleTxtG"/>
        <w:spacing w:after="0"/>
        <w:ind w:firstLine="170"/>
        <w:jc w:val="left"/>
        <w:rPr>
          <w:rFonts w:eastAsiaTheme="minorEastAsia"/>
          <w:sz w:val="18"/>
          <w:szCs w:val="18"/>
          <w:lang w:eastAsia="zh-CN"/>
        </w:rPr>
      </w:pPr>
      <w:r w:rsidRPr="003B5EA4">
        <w:rPr>
          <w:rFonts w:eastAsiaTheme="minorEastAsia"/>
          <w:i/>
          <w:sz w:val="18"/>
          <w:szCs w:val="18"/>
          <w:lang w:eastAsia="zh-CN"/>
        </w:rPr>
        <w:t>Note</w:t>
      </w:r>
      <w:r w:rsidRPr="003B5EA4">
        <w:rPr>
          <w:rFonts w:eastAsiaTheme="minorEastAsia"/>
          <w:sz w:val="18"/>
          <w:szCs w:val="18"/>
          <w:lang w:eastAsia="zh-CN"/>
        </w:rPr>
        <w:t> : Suivant la même méthode que celle utilisée pour le tableau 3, seuls les itinéraires les plus directs et les tarifs ordinaires ont été retenus. Aussi trois itinéraires figurant dans le tableau 3 (Genève-Nairobi, Addis-Abeba-New York</w:t>
      </w:r>
      <w:r w:rsidR="00944C24">
        <w:rPr>
          <w:rFonts w:eastAsiaTheme="minorEastAsia"/>
          <w:sz w:val="18"/>
          <w:szCs w:val="18"/>
          <w:lang w:eastAsia="zh-CN"/>
        </w:rPr>
        <w:t xml:space="preserve"> et</w:t>
      </w:r>
      <w:r w:rsidRPr="003B5EA4">
        <w:rPr>
          <w:rFonts w:eastAsiaTheme="minorEastAsia"/>
          <w:sz w:val="18"/>
          <w:szCs w:val="18"/>
          <w:lang w:eastAsia="zh-CN"/>
        </w:rPr>
        <w:t xml:space="preserve"> Santiago-New York) n</w:t>
      </w:r>
      <w:r w:rsidR="00762E0A">
        <w:rPr>
          <w:rFonts w:eastAsiaTheme="minorEastAsia"/>
          <w:sz w:val="18"/>
          <w:szCs w:val="18"/>
          <w:lang w:eastAsia="zh-CN"/>
        </w:rPr>
        <w:t>’</w:t>
      </w:r>
      <w:r w:rsidRPr="003B5EA4">
        <w:rPr>
          <w:rFonts w:eastAsiaTheme="minorEastAsia"/>
          <w:sz w:val="18"/>
          <w:szCs w:val="18"/>
          <w:lang w:eastAsia="zh-CN"/>
        </w:rPr>
        <w:t>ont-ils pas été repris aux fins du tableau 4 en ce qu</w:t>
      </w:r>
      <w:r w:rsidR="00762E0A">
        <w:rPr>
          <w:rFonts w:eastAsiaTheme="minorEastAsia"/>
          <w:sz w:val="18"/>
          <w:szCs w:val="18"/>
          <w:lang w:eastAsia="zh-CN"/>
        </w:rPr>
        <w:t>’</w:t>
      </w:r>
      <w:r w:rsidRPr="003B5EA4">
        <w:rPr>
          <w:rFonts w:eastAsiaTheme="minorEastAsia"/>
          <w:sz w:val="18"/>
          <w:szCs w:val="18"/>
          <w:lang w:eastAsia="zh-CN"/>
        </w:rPr>
        <w:t>ils impliquaient des escales supplémentaires et des temps de vol plus longs pour disposer de la classe économique « premium ». Il n</w:t>
      </w:r>
      <w:r w:rsidR="00762E0A">
        <w:rPr>
          <w:rFonts w:eastAsiaTheme="minorEastAsia"/>
          <w:sz w:val="18"/>
          <w:szCs w:val="18"/>
          <w:lang w:eastAsia="zh-CN"/>
        </w:rPr>
        <w:t>’</w:t>
      </w:r>
      <w:r w:rsidRPr="003B5EA4">
        <w:rPr>
          <w:rFonts w:eastAsiaTheme="minorEastAsia"/>
          <w:sz w:val="18"/>
          <w:szCs w:val="18"/>
          <w:lang w:eastAsia="zh-CN"/>
        </w:rPr>
        <w:t>en reste pas moins que cette classe était disponible dans ces trois cas, et à des prix considérablement moindres que ceux de la classe affaires.</w:t>
      </w:r>
    </w:p>
    <w:p w:rsidR="00004226" w:rsidRPr="00C65DAF" w:rsidRDefault="00004226" w:rsidP="00DC05FF">
      <w:pPr>
        <w:pStyle w:val="SingleTxtG"/>
        <w:spacing w:after="240"/>
        <w:ind w:firstLine="170"/>
        <w:jc w:val="left"/>
        <w:rPr>
          <w:rFonts w:eastAsiaTheme="minorEastAsia"/>
          <w:i/>
          <w:sz w:val="18"/>
          <w:szCs w:val="18"/>
          <w:lang w:val="en-US" w:eastAsia="zh-CN"/>
        </w:rPr>
      </w:pPr>
      <w:r w:rsidRPr="00C65DAF">
        <w:rPr>
          <w:rFonts w:eastAsiaTheme="minorEastAsia"/>
          <w:i/>
          <w:sz w:val="18"/>
          <w:szCs w:val="18"/>
          <w:lang w:val="en-US" w:eastAsia="zh-CN"/>
        </w:rPr>
        <w:t>Abréviation</w:t>
      </w:r>
      <w:r w:rsidRPr="00C65DAF">
        <w:rPr>
          <w:rFonts w:eastAsiaTheme="minorEastAsia"/>
          <w:sz w:val="18"/>
          <w:szCs w:val="18"/>
          <w:lang w:val="en-US" w:eastAsia="zh-CN"/>
        </w:rPr>
        <w:t> : JFK</w:t>
      </w:r>
      <w:r w:rsidR="0094226D">
        <w:rPr>
          <w:rFonts w:eastAsiaTheme="minorEastAsia"/>
          <w:sz w:val="18"/>
          <w:szCs w:val="18"/>
          <w:lang w:val="en-US" w:eastAsia="zh-CN"/>
        </w:rPr>
        <w:t xml:space="preserve">, </w:t>
      </w:r>
      <w:r w:rsidRPr="00C65DAF">
        <w:rPr>
          <w:rFonts w:eastAsiaTheme="minorEastAsia"/>
          <w:sz w:val="18"/>
          <w:szCs w:val="18"/>
          <w:lang w:val="en-US" w:eastAsia="zh-CN"/>
        </w:rPr>
        <w:t>John F. Kennedy International Airport.</w:t>
      </w:r>
    </w:p>
    <w:p w:rsidR="00004226" w:rsidRPr="003B5EA4" w:rsidRDefault="00A60183" w:rsidP="00D45037">
      <w:pPr>
        <w:pStyle w:val="SingleTxtG"/>
        <w:rPr>
          <w:lang w:eastAsia="zh-CN"/>
        </w:rPr>
      </w:pPr>
      <w:r w:rsidRPr="003B5EA4">
        <w:rPr>
          <w:lang w:eastAsia="zh-CN"/>
        </w:rPr>
        <w:t>73.</w:t>
      </w:r>
      <w:r w:rsidRPr="003B5EA4">
        <w:rPr>
          <w:lang w:eastAsia="zh-CN"/>
        </w:rPr>
        <w:tab/>
      </w:r>
      <w:r w:rsidR="00A539DD" w:rsidRPr="003B5EA4">
        <w:rPr>
          <w:lang w:eastAsia="zh-CN"/>
        </w:rPr>
        <w:t>Deux organismes des Nations Unies qui ont déjà adopté le recours à la classe économique « premium » indique qu</w:t>
      </w:r>
      <w:r w:rsidR="00762E0A">
        <w:rPr>
          <w:lang w:eastAsia="zh-CN"/>
        </w:rPr>
        <w:t>’</w:t>
      </w:r>
      <w:r w:rsidR="00A539DD" w:rsidRPr="003B5EA4">
        <w:rPr>
          <w:lang w:eastAsia="zh-CN"/>
        </w:rPr>
        <w:t>elle offre considérablement plus de confort que la classe économique ordinaire tout en permettant de réaliser des économies. À l</w:t>
      </w:r>
      <w:r w:rsidR="00762E0A">
        <w:rPr>
          <w:lang w:eastAsia="zh-CN"/>
        </w:rPr>
        <w:t>’</w:t>
      </w:r>
      <w:r w:rsidR="00A539DD" w:rsidRPr="003B5EA4">
        <w:rPr>
          <w:lang w:eastAsia="zh-CN"/>
        </w:rPr>
        <w:t>ONUSIDA, le remplacement de la classe affaires par la classe économique « premium » s</w:t>
      </w:r>
      <w:r w:rsidR="00762E0A">
        <w:rPr>
          <w:lang w:eastAsia="zh-CN"/>
        </w:rPr>
        <w:t>’</w:t>
      </w:r>
      <w:r w:rsidR="00A539DD" w:rsidRPr="003B5EA4">
        <w:rPr>
          <w:lang w:eastAsia="zh-CN"/>
        </w:rPr>
        <w:t xml:space="preserve">est traduit par un baisse de 25 % des billets de classe affaires émis entre janvier et août 2016 par rapport </w:t>
      </w:r>
      <w:r w:rsidR="00A539DD" w:rsidRPr="003B5EA4">
        <w:rPr>
          <w:lang w:eastAsia="zh-CN"/>
        </w:rPr>
        <w:lastRenderedPageBreak/>
        <w:t>à</w:t>
      </w:r>
      <w:r w:rsidR="00BB37C4">
        <w:rPr>
          <w:lang w:eastAsia="zh-CN"/>
        </w:rPr>
        <w:t> </w:t>
      </w:r>
      <w:r w:rsidR="00A539DD" w:rsidRPr="003B5EA4">
        <w:rPr>
          <w:lang w:eastAsia="zh-CN"/>
        </w:rPr>
        <w:t>la même période en 2015</w:t>
      </w:r>
      <w:r w:rsidR="00A539DD" w:rsidRPr="003B5EA4">
        <w:rPr>
          <w:rStyle w:val="Appelnotedebasdep"/>
        </w:rPr>
        <w:footnoteReference w:id="79"/>
      </w:r>
      <w:r w:rsidR="00A539DD" w:rsidRPr="003B5EA4">
        <w:rPr>
          <w:lang w:eastAsia="zh-CN"/>
        </w:rPr>
        <w:t>. À l</w:t>
      </w:r>
      <w:r w:rsidR="00762E0A">
        <w:rPr>
          <w:lang w:eastAsia="zh-CN"/>
        </w:rPr>
        <w:t>’</w:t>
      </w:r>
      <w:r w:rsidR="00A539DD" w:rsidRPr="003B5EA4">
        <w:rPr>
          <w:lang w:eastAsia="zh-CN"/>
        </w:rPr>
        <w:t>UNESCO, suite à la suppression de la plupart des droits à la classe affaires en 2012 (voir chap. III.A ci-dessus), les voyages concernés peuvent s</w:t>
      </w:r>
      <w:r w:rsidR="00762E0A">
        <w:rPr>
          <w:lang w:eastAsia="zh-CN"/>
        </w:rPr>
        <w:t>’</w:t>
      </w:r>
      <w:r w:rsidR="00A539DD" w:rsidRPr="003B5EA4">
        <w:rPr>
          <w:lang w:eastAsia="zh-CN"/>
        </w:rPr>
        <w:t>effectuer dans la classe immédiatement supérieure à la classe économique, notamment, en classe économique « premium »</w:t>
      </w:r>
      <w:r w:rsidR="00A539DD" w:rsidRPr="003B5EA4">
        <w:rPr>
          <w:rStyle w:val="Appelnotedebasdep"/>
        </w:rPr>
        <w:footnoteReference w:id="80"/>
      </w:r>
      <w:r w:rsidR="00A539DD" w:rsidRPr="003B5EA4">
        <w:rPr>
          <w:lang w:eastAsia="zh-CN"/>
        </w:rPr>
        <w:t>.</w:t>
      </w:r>
    </w:p>
    <w:p w:rsidR="00A539DD" w:rsidRPr="003B5EA4" w:rsidRDefault="00A539DD" w:rsidP="00D45037">
      <w:pPr>
        <w:pStyle w:val="SingleTxtG"/>
        <w:rPr>
          <w:b/>
          <w:lang w:eastAsia="zh-CN"/>
        </w:rPr>
      </w:pPr>
      <w:r w:rsidRPr="003B5EA4">
        <w:rPr>
          <w:lang w:eastAsia="zh-CN"/>
        </w:rPr>
        <w:t>74.</w:t>
      </w:r>
      <w:r w:rsidRPr="003B5EA4">
        <w:rPr>
          <w:lang w:eastAsia="zh-CN"/>
        </w:rPr>
        <w:tab/>
      </w:r>
      <w:r w:rsidRPr="003B5EA4">
        <w:rPr>
          <w:b/>
          <w:lang w:eastAsia="zh-CN"/>
        </w:rPr>
        <w:t>Étant donné les économies qui pourraient être réalisées en utilisant la classe économique « premium » et le supplément de confort que cette classe offre par rapport à la classe économique ordinaire, l</w:t>
      </w:r>
      <w:r w:rsidR="00762E0A">
        <w:rPr>
          <w:b/>
          <w:lang w:eastAsia="zh-CN"/>
        </w:rPr>
        <w:t>’</w:t>
      </w:r>
      <w:r w:rsidRPr="003B5EA4">
        <w:rPr>
          <w:b/>
          <w:lang w:eastAsia="zh-CN"/>
        </w:rPr>
        <w:t>Inspectrice recommande que là où la possibilité existe, les chefs de secrétariat des organismes des Nations Unies qui ne l</w:t>
      </w:r>
      <w:r w:rsidR="00762E0A">
        <w:rPr>
          <w:b/>
          <w:lang w:eastAsia="zh-CN"/>
        </w:rPr>
        <w:t>’</w:t>
      </w:r>
      <w:r w:rsidRPr="003B5EA4">
        <w:rPr>
          <w:b/>
          <w:lang w:eastAsia="zh-CN"/>
        </w:rPr>
        <w:t>ont pas encore fait envisagent des formules de remplacement de la classe affaires, telles que la classe économique « premium » et d</w:t>
      </w:r>
      <w:r w:rsidR="00762E0A">
        <w:rPr>
          <w:b/>
          <w:lang w:eastAsia="zh-CN"/>
        </w:rPr>
        <w:t>’</w:t>
      </w:r>
      <w:r w:rsidRPr="003B5EA4">
        <w:rPr>
          <w:b/>
          <w:lang w:eastAsia="zh-CN"/>
        </w:rPr>
        <w:t>autres intermédiaires à la classe économique et la classe affaires, compte tenu des seuils de durée applicables.</w:t>
      </w:r>
    </w:p>
    <w:p w:rsidR="00A539DD" w:rsidRPr="003B5EA4" w:rsidRDefault="00C3231D" w:rsidP="00C3231D">
      <w:pPr>
        <w:pStyle w:val="HChG"/>
      </w:pPr>
      <w:r w:rsidRPr="003B5EA4">
        <w:rPr>
          <w:lang w:eastAsia="zh-CN"/>
        </w:rPr>
        <w:br w:type="page"/>
      </w:r>
      <w:r w:rsidRPr="003B5EA4">
        <w:rPr>
          <w:lang w:eastAsia="zh-CN"/>
        </w:rPr>
        <w:lastRenderedPageBreak/>
        <w:tab/>
        <w:t>V.</w:t>
      </w:r>
      <w:r w:rsidRPr="003B5EA4">
        <w:rPr>
          <w:lang w:eastAsia="zh-CN"/>
        </w:rPr>
        <w:tab/>
      </w:r>
      <w:r w:rsidRPr="003B5EA4">
        <w:t>Situation des dérogations aux règles régissant les conditions de voyage en avion</w:t>
      </w:r>
    </w:p>
    <w:p w:rsidR="00C3231D" w:rsidRPr="003B5EA4" w:rsidRDefault="00C3231D" w:rsidP="00C3231D">
      <w:pPr>
        <w:pStyle w:val="H1G"/>
      </w:pPr>
      <w:r w:rsidRPr="003B5EA4">
        <w:tab/>
      </w:r>
      <w:r w:rsidRPr="003B5EA4">
        <w:rPr>
          <w:bCs/>
        </w:rPr>
        <w:t>A.</w:t>
      </w:r>
      <w:r w:rsidRPr="003B5EA4">
        <w:rPr>
          <w:bCs/>
        </w:rPr>
        <w:tab/>
        <w:t xml:space="preserve">Aperçu général des dérogations accordées au sein du système </w:t>
      </w:r>
      <w:r w:rsidRPr="003B5EA4">
        <w:rPr>
          <w:bCs/>
        </w:rPr>
        <w:br/>
        <w:t>des Nations Unies</w:t>
      </w:r>
    </w:p>
    <w:p w:rsidR="00C3231D" w:rsidRPr="003B5EA4" w:rsidRDefault="00C3231D" w:rsidP="00C3231D">
      <w:pPr>
        <w:pStyle w:val="SingleTxtG"/>
      </w:pPr>
      <w:r w:rsidRPr="003B5EA4">
        <w:t>75.</w:t>
      </w:r>
      <w:r w:rsidRPr="003B5EA4">
        <w:tab/>
      </w:r>
      <w:r w:rsidR="00F6787D" w:rsidRPr="003B5EA4">
        <w:t xml:space="preserve">La question des dérogations aux règles régissant </w:t>
      </w:r>
      <w:r w:rsidR="009A78F8">
        <w:t xml:space="preserve">les </w:t>
      </w:r>
      <w:r w:rsidR="00F6787D" w:rsidRPr="003B5EA4">
        <w:t>conditions de voyage en avion remonte à 1987, lorsque l</w:t>
      </w:r>
      <w:r w:rsidR="00762E0A">
        <w:t>’</w:t>
      </w:r>
      <w:r w:rsidR="00F6787D" w:rsidRPr="003B5EA4">
        <w:t>Assemblée générale a rendu sa résolution 42/214 dans laquelle elle autorisait le Secrétaire général à déroger au cas par cas à la règle restreignant les voyages en première classe. La résolution 45/248 de l</w:t>
      </w:r>
      <w:r w:rsidR="00762E0A">
        <w:t>’</w:t>
      </w:r>
      <w:r w:rsidR="00F6787D" w:rsidRPr="003B5EA4">
        <w:t>Assemblée générale a instauré des dispositions similaires pour ce qui était de déroger aux règles régissant l</w:t>
      </w:r>
      <w:r w:rsidR="00762E0A">
        <w:t>’</w:t>
      </w:r>
      <w:r w:rsidR="00F6787D" w:rsidRPr="003B5EA4">
        <w:t>octroi de la classe affaires. L</w:t>
      </w:r>
      <w:r w:rsidR="00762E0A">
        <w:t>’</w:t>
      </w:r>
      <w:r w:rsidR="00F6787D" w:rsidRPr="003B5EA4">
        <w:t>autorisation de déroger aux conditions de voyage en avion prévues est souvent donnée aux plus hauts niveaux de la hiérarchie des organismes des Nations Unies. Seul le Secrétariat de l</w:t>
      </w:r>
      <w:r w:rsidR="00762E0A">
        <w:t>’</w:t>
      </w:r>
      <w:r w:rsidR="00F6787D" w:rsidRPr="003B5EA4">
        <w:t>ONU dispose d</w:t>
      </w:r>
      <w:r w:rsidR="00762E0A">
        <w:t>’</w:t>
      </w:r>
      <w:r w:rsidR="00F6787D" w:rsidRPr="003B5EA4">
        <w:t>un système par lequel il rend compte tous les deux ans à son organe délibérant des dérogations accordées, comme demandé par l</w:t>
      </w:r>
      <w:r w:rsidR="00762E0A">
        <w:t>’</w:t>
      </w:r>
      <w:r w:rsidR="00F6787D" w:rsidRPr="003B5EA4">
        <w:t>Assemblée générale dans sa décision 57/589B.</w:t>
      </w:r>
    </w:p>
    <w:p w:rsidR="00AA20F7" w:rsidRPr="003B5EA4" w:rsidRDefault="00AA20F7" w:rsidP="00C3231D">
      <w:pPr>
        <w:pStyle w:val="SingleTxtG"/>
      </w:pPr>
      <w:r w:rsidRPr="003B5EA4">
        <w:t>76.</w:t>
      </w:r>
      <w:r w:rsidRPr="003B5EA4">
        <w:tab/>
        <w:t>Le CCI a demandé à ses organismes participants de lui fournir des informations sur les dérogations qu</w:t>
      </w:r>
      <w:r w:rsidR="00762E0A">
        <w:t>’</w:t>
      </w:r>
      <w:r w:rsidRPr="003B5EA4">
        <w:t>ils avaient accordées, entre 2010 et 2015, aux règles régissant les conditions de voyage en avion. Seuls 12 organismes sur 28 ont fourni de telles informations</w:t>
      </w:r>
      <w:r w:rsidRPr="003B5EA4">
        <w:rPr>
          <w:rStyle w:val="Appelnotedebasdep"/>
        </w:rPr>
        <w:footnoteReference w:id="81"/>
      </w:r>
      <w:r w:rsidRPr="003B5EA4">
        <w:t xml:space="preserve"> </w:t>
      </w:r>
      <w:r w:rsidR="00553FB9" w:rsidRPr="003B5EA4">
        <w:t>−</w:t>
      </w:r>
      <w:r w:rsidRPr="003B5EA4" w:rsidDel="00C0645D">
        <w:t xml:space="preserve"> </w:t>
      </w:r>
      <w:r w:rsidRPr="003B5EA4">
        <w:t xml:space="preserve">pour la plupart des fonds et des programmes, et </w:t>
      </w:r>
      <w:r w:rsidR="009A78F8">
        <w:t>1</w:t>
      </w:r>
      <w:r w:rsidRPr="003B5EA4">
        <w:t xml:space="preserve"> institution spécialisée. À l</w:t>
      </w:r>
      <w:r w:rsidR="00762E0A">
        <w:t>’</w:t>
      </w:r>
      <w:r w:rsidRPr="003B5EA4">
        <w:t xml:space="preserve">examen des réponses, il est apparu que </w:t>
      </w:r>
      <w:r w:rsidR="009A78F8">
        <w:t>5</w:t>
      </w:r>
      <w:r w:rsidRPr="003B5EA4">
        <w:t xml:space="preserve"> de ces entités avaient fourni des données couvrant toute la période concernée</w:t>
      </w:r>
      <w:r w:rsidRPr="003B5EA4">
        <w:rPr>
          <w:vertAlign w:val="superscript"/>
        </w:rPr>
        <w:t xml:space="preserve"> </w:t>
      </w:r>
      <w:r w:rsidRPr="003B5EA4">
        <w:rPr>
          <w:rStyle w:val="Appelnotedebasdep"/>
        </w:rPr>
        <w:footnoteReference w:id="82"/>
      </w:r>
      <w:r w:rsidRPr="003B5EA4">
        <w:t xml:space="preserve">, et </w:t>
      </w:r>
      <w:r w:rsidR="009A78F8">
        <w:t>7</w:t>
      </w:r>
      <w:r w:rsidRPr="003B5EA4">
        <w:t xml:space="preserve"> des données incomplètes</w:t>
      </w:r>
      <w:r w:rsidRPr="003B5EA4">
        <w:rPr>
          <w:rStyle w:val="Appelnotedebasdep"/>
        </w:rPr>
        <w:footnoteReference w:id="83"/>
      </w:r>
      <w:r w:rsidRPr="003B5EA4">
        <w:t>. L</w:t>
      </w:r>
      <w:r w:rsidR="00762E0A">
        <w:t>’</w:t>
      </w:r>
      <w:r w:rsidRPr="003B5EA4">
        <w:t>OACI et l</w:t>
      </w:r>
      <w:r w:rsidR="00762E0A">
        <w:t>’</w:t>
      </w:r>
      <w:r w:rsidRPr="003B5EA4">
        <w:t>OMI ont déclaré quant à elles n</w:t>
      </w:r>
      <w:r w:rsidR="00762E0A">
        <w:t>’</w:t>
      </w:r>
      <w:r w:rsidRPr="003B5EA4">
        <w:t>octroyer aucune dérogation, et l</w:t>
      </w:r>
      <w:r w:rsidR="00762E0A">
        <w:t>’</w:t>
      </w:r>
      <w:r w:rsidRPr="003B5EA4">
        <w:t>AIEA n</w:t>
      </w:r>
      <w:r w:rsidR="00762E0A">
        <w:t>’</w:t>
      </w:r>
      <w:r w:rsidRPr="003B5EA4">
        <w:t>avoir recouru au procédé que de façon négligeable. Dix organismes − principalement des institutions spécialisées −</w:t>
      </w:r>
      <w:r w:rsidRPr="003B5EA4" w:rsidDel="00C0645D">
        <w:t xml:space="preserve"> </w:t>
      </w:r>
      <w:r w:rsidRPr="003B5EA4">
        <w:t>n</w:t>
      </w:r>
      <w:r w:rsidR="00762E0A">
        <w:t>’</w:t>
      </w:r>
      <w:r w:rsidRPr="003B5EA4">
        <w:t>ont fourni aucune donnée sur l</w:t>
      </w:r>
      <w:r w:rsidR="00762E0A">
        <w:t>’</w:t>
      </w:r>
      <w:r w:rsidRPr="003B5EA4">
        <w:t>utilisation des dérogations</w:t>
      </w:r>
      <w:r w:rsidRPr="003B5EA4">
        <w:rPr>
          <w:rStyle w:val="Appelnotedebasdep"/>
        </w:rPr>
        <w:footnoteReference w:id="84"/>
      </w:r>
      <w:r w:rsidRPr="003B5EA4">
        <w:t xml:space="preserve">, </w:t>
      </w:r>
      <w:r w:rsidR="009A78F8">
        <w:t>5</w:t>
      </w:r>
      <w:r w:rsidR="009A78F8" w:rsidRPr="003B5EA4">
        <w:rPr>
          <w:rStyle w:val="Appelnotedebasdep"/>
        </w:rPr>
        <w:footnoteReference w:id="85"/>
      </w:r>
      <w:r w:rsidRPr="003B5EA4">
        <w:t xml:space="preserve"> d</w:t>
      </w:r>
      <w:r w:rsidR="00762E0A">
        <w:t>’</w:t>
      </w:r>
      <w:r w:rsidRPr="003B5EA4">
        <w:t>entre elles ayant indiqué qu</w:t>
      </w:r>
      <w:r w:rsidR="00762E0A">
        <w:t>’</w:t>
      </w:r>
      <w:r w:rsidRPr="003B5EA4">
        <w:t>elles n</w:t>
      </w:r>
      <w:r w:rsidR="00762E0A">
        <w:t>’</w:t>
      </w:r>
      <w:r w:rsidRPr="003B5EA4">
        <w:t>en rendaient pas compte. Il ressort des informations fournies que le recours aux dérogations en matière de conditions de voyage en avion n</w:t>
      </w:r>
      <w:r w:rsidR="00762E0A">
        <w:t>’</w:t>
      </w:r>
      <w:r w:rsidRPr="003B5EA4">
        <w:t>était pas de pratique courante au sein du système des Nations Unies.</w:t>
      </w:r>
    </w:p>
    <w:p w:rsidR="00AA20F7" w:rsidRPr="003B5EA4" w:rsidRDefault="00553FB9" w:rsidP="00C3231D">
      <w:pPr>
        <w:pStyle w:val="SingleTxtG"/>
      </w:pPr>
      <w:r w:rsidRPr="003B5EA4">
        <w:t>77.</w:t>
      </w:r>
      <w:r w:rsidRPr="003B5EA4">
        <w:tab/>
      </w:r>
      <w:r w:rsidR="00194577" w:rsidRPr="003B5EA4">
        <w:t>L</w:t>
      </w:r>
      <w:r w:rsidR="00762E0A">
        <w:t>’</w:t>
      </w:r>
      <w:r w:rsidR="00194577" w:rsidRPr="003B5EA4">
        <w:t>Inspectrice regrette que, faute de données complètes, il n</w:t>
      </w:r>
      <w:r w:rsidR="00762E0A">
        <w:t>’</w:t>
      </w:r>
      <w:r w:rsidR="00194577" w:rsidRPr="003B5EA4">
        <w:t>ait pas pu être dégagé de comparaisons à l</w:t>
      </w:r>
      <w:r w:rsidR="00762E0A">
        <w:t>’</w:t>
      </w:r>
      <w:r w:rsidR="00194577" w:rsidRPr="003B5EA4">
        <w:t>échelle du système en matière de dérogations. Il s</w:t>
      </w:r>
      <w:r w:rsidR="00762E0A">
        <w:t>’</w:t>
      </w:r>
      <w:r w:rsidR="00194577" w:rsidRPr="003B5EA4">
        <w:t>ensuit que l</w:t>
      </w:r>
      <w:r w:rsidR="00762E0A">
        <w:t>’</w:t>
      </w:r>
      <w:r w:rsidR="00194577" w:rsidRPr="003B5EA4">
        <w:t>analyse présentée ci-après sera limitée au Secrétariat de l</w:t>
      </w:r>
      <w:r w:rsidR="00762E0A">
        <w:t>’</w:t>
      </w:r>
      <w:r w:rsidR="00194577" w:rsidRPr="003B5EA4">
        <w:t>ONU et aux entités apparentées, comme indiqué dans le tableau 5. Quant aux cinq organismes des Nations Unies ne figurant pas dans le tableau, ils ont rapporté 176 dérogations en tout, réparties comme suit : 98 pour l</w:t>
      </w:r>
      <w:r w:rsidR="00762E0A">
        <w:t>’</w:t>
      </w:r>
      <w:r w:rsidR="00194577" w:rsidRPr="003B5EA4">
        <w:t>ONUSIDA, 45 pour le CCI*, 22 pour l</w:t>
      </w:r>
      <w:r w:rsidR="00762E0A">
        <w:t>’</w:t>
      </w:r>
      <w:r w:rsidR="00194577" w:rsidRPr="003B5EA4">
        <w:t xml:space="preserve">OMPI, 10 pour le PAM et </w:t>
      </w:r>
      <w:r w:rsidR="009A78F8">
        <w:t>1</w:t>
      </w:r>
      <w:r w:rsidR="00194577" w:rsidRPr="003B5EA4">
        <w:t xml:space="preserve"> pour l</w:t>
      </w:r>
      <w:r w:rsidR="00762E0A">
        <w:t>’</w:t>
      </w:r>
      <w:r w:rsidR="00194577" w:rsidRPr="003B5EA4">
        <w:t>UNOPS.</w:t>
      </w:r>
    </w:p>
    <w:p w:rsidR="00194577" w:rsidRPr="003B5EA4" w:rsidRDefault="00202C4B" w:rsidP="00202C4B">
      <w:pPr>
        <w:pStyle w:val="H1G"/>
      </w:pPr>
      <w:r w:rsidRPr="003B5EA4">
        <w:tab/>
        <w:t>B.</w:t>
      </w:r>
      <w:r w:rsidRPr="003B5EA4">
        <w:tab/>
        <w:t>Évolution des dérogations par le Secrétariat de l</w:t>
      </w:r>
      <w:r w:rsidR="00762E0A">
        <w:t>’</w:t>
      </w:r>
      <w:r w:rsidRPr="003B5EA4">
        <w:t xml:space="preserve">ONU </w:t>
      </w:r>
      <w:r w:rsidRPr="003B5EA4">
        <w:br/>
        <w:t>et les entités apparentées</w:t>
      </w:r>
    </w:p>
    <w:p w:rsidR="00202C4B" w:rsidRPr="003B5EA4" w:rsidRDefault="00202C4B" w:rsidP="00202C4B">
      <w:pPr>
        <w:pStyle w:val="SingleTxtG"/>
      </w:pPr>
      <w:r w:rsidRPr="003B5EA4">
        <w:t>78.</w:t>
      </w:r>
      <w:r w:rsidRPr="003B5EA4">
        <w:tab/>
      </w:r>
      <w:r w:rsidR="00F6787D" w:rsidRPr="003B5EA4">
        <w:t>L</w:t>
      </w:r>
      <w:r w:rsidR="00762E0A">
        <w:t>’</w:t>
      </w:r>
      <w:r w:rsidR="00F6787D" w:rsidRPr="003B5EA4">
        <w:t>Assemblée générale et les États Membres ont souvent dit leur préoccupation face à l</w:t>
      </w:r>
      <w:r w:rsidR="00762E0A">
        <w:t>’</w:t>
      </w:r>
      <w:r w:rsidR="00F6787D" w:rsidRPr="003B5EA4">
        <w:t>usage croissant qui est fait des dérogations et aux conséquences financières de cette évolution</w:t>
      </w:r>
      <w:r w:rsidR="00F6787D" w:rsidRPr="003B5EA4">
        <w:rPr>
          <w:rStyle w:val="Appelnotedebasdep"/>
        </w:rPr>
        <w:footnoteReference w:id="86"/>
      </w:r>
      <w:r w:rsidR="00F6787D" w:rsidRPr="003B5EA4">
        <w:t>. Ils ont également souligné l</w:t>
      </w:r>
      <w:r w:rsidR="00762E0A">
        <w:t>’</w:t>
      </w:r>
      <w:r w:rsidR="00F6787D" w:rsidRPr="003B5EA4">
        <w:t xml:space="preserve">importance de rendre compte régulièrement de </w:t>
      </w:r>
      <w:r w:rsidR="00F6787D" w:rsidRPr="003B5EA4">
        <w:lastRenderedPageBreak/>
        <w:t>l</w:t>
      </w:r>
      <w:r w:rsidR="00762E0A">
        <w:t>’</w:t>
      </w:r>
      <w:r w:rsidR="00F6787D" w:rsidRPr="003B5EA4">
        <w:t>utilisation des dérogations</w:t>
      </w:r>
      <w:r w:rsidR="00F6787D" w:rsidRPr="003B5EA4">
        <w:rPr>
          <w:rStyle w:val="Appelnotedebasdep"/>
        </w:rPr>
        <w:footnoteReference w:id="87"/>
      </w:r>
      <w:r w:rsidR="00F6787D" w:rsidRPr="003B5EA4">
        <w:t xml:space="preserve"> ainsi que d</w:t>
      </w:r>
      <w:r w:rsidR="00762E0A">
        <w:t>’</w:t>
      </w:r>
      <w:r w:rsidR="00F6787D" w:rsidRPr="003B5EA4">
        <w:t>arrêter des directives claires et complètes afin de mieux réglementer l</w:t>
      </w:r>
      <w:r w:rsidR="00762E0A">
        <w:t>’</w:t>
      </w:r>
      <w:r w:rsidR="00F6787D" w:rsidRPr="003B5EA4">
        <w:t>autorisation des surclassements</w:t>
      </w:r>
      <w:r w:rsidR="00F6787D" w:rsidRPr="003B5EA4">
        <w:rPr>
          <w:rStyle w:val="Appelnotedebasdep"/>
        </w:rPr>
        <w:footnoteReference w:id="88"/>
      </w:r>
      <w:r w:rsidR="00F6787D" w:rsidRPr="003B5EA4">
        <w:t>. Récemment encore, en 2015, l</w:t>
      </w:r>
      <w:r w:rsidR="00762E0A">
        <w:t>’</w:t>
      </w:r>
      <w:r w:rsidR="00F6787D" w:rsidRPr="003B5EA4">
        <w:t>Assemblée générale réitérait dans sa résolution 69/274 sa demande au Secrétaire général tendant à ce qu</w:t>
      </w:r>
      <w:r w:rsidR="00762E0A">
        <w:t>’</w:t>
      </w:r>
      <w:r w:rsidR="00F6787D" w:rsidRPr="003B5EA4">
        <w:t>il prenne sans tarder des mesures visant à restreindre l</w:t>
      </w:r>
      <w:r w:rsidR="00762E0A">
        <w:t>’</w:t>
      </w:r>
      <w:r w:rsidR="00F6787D" w:rsidRPr="003B5EA4">
        <w:t>octroi de dérogations, de renforcer les contrôles internes à cet égard et d</w:t>
      </w:r>
      <w:r w:rsidR="00762E0A">
        <w:t>’</w:t>
      </w:r>
      <w:r w:rsidR="00F6787D" w:rsidRPr="003B5EA4">
        <w:t>analyser l</w:t>
      </w:r>
      <w:r w:rsidR="00762E0A">
        <w:t>’</w:t>
      </w:r>
      <w:r w:rsidR="00F6787D" w:rsidRPr="003B5EA4">
        <w:t>historique des dérogations accordées et leurs implications financières</w:t>
      </w:r>
      <w:r w:rsidR="00F6787D" w:rsidRPr="003B5EA4">
        <w:rPr>
          <w:rStyle w:val="Appelnotedebasdep"/>
        </w:rPr>
        <w:footnoteReference w:id="89"/>
      </w:r>
      <w:r w:rsidR="00F6787D" w:rsidRPr="003B5EA4">
        <w:t>.</w:t>
      </w:r>
    </w:p>
    <w:p w:rsidR="00202C4B" w:rsidRPr="003B5EA4" w:rsidRDefault="00202C4B" w:rsidP="00202C4B">
      <w:pPr>
        <w:pStyle w:val="SingleTxtG"/>
      </w:pPr>
      <w:r w:rsidRPr="003B5EA4">
        <w:t>79.</w:t>
      </w:r>
      <w:r w:rsidRPr="003B5EA4">
        <w:tab/>
        <w:t>La présente section porte sur les dérogations accordées pendant la période allant de 2006 à 2016, et se fonde pour ce faire sur les données provenant des rapports du Secrétaire général</w:t>
      </w:r>
      <w:r w:rsidRPr="003B5EA4">
        <w:rPr>
          <w:rStyle w:val="Appelnotedebasdep"/>
        </w:rPr>
        <w:footnoteReference w:id="90"/>
      </w:r>
      <w:r w:rsidRPr="003B5EA4">
        <w:t xml:space="preserve">. Bien que les budgets globaux de nombreux programmes des Nations Unies aient été réduits de près de 10 %, </w:t>
      </w:r>
      <w:r w:rsidR="0055478D">
        <w:t>y compris</w:t>
      </w:r>
      <w:r w:rsidRPr="003B5EA4">
        <w:t xml:space="preserve"> les budgets consacrés aux voyages, les coûts occasionnés par les dérogations aux règles régissant les conditions de voyage en avion ont enregistré une augmentation constante. Dans le cas du Secrétariat et des entités apparentées, ce sont en tout 3 052 dérogations qui ont ainsi été a</w:t>
      </w:r>
      <w:r w:rsidR="00162B4A">
        <w:t>ccordées pendant la période de dix</w:t>
      </w:r>
      <w:r w:rsidRPr="003B5EA4">
        <w:t> ans s</w:t>
      </w:r>
      <w:r w:rsidR="00762E0A">
        <w:t>’</w:t>
      </w:r>
      <w:r w:rsidRPr="003B5EA4">
        <w:t>étendant du 1</w:t>
      </w:r>
      <w:r w:rsidRPr="003B5EA4">
        <w:rPr>
          <w:vertAlign w:val="superscript"/>
        </w:rPr>
        <w:t>er</w:t>
      </w:r>
      <w:r w:rsidRPr="003B5EA4">
        <w:t> juillet 2006 au 30 juin 2016, à un coût supplémentaire total de 8,23 millions de dollars des États-Unis (voir la figure IX pour les dérogations accordées pendant chaque période biennale et les coûts supplémentaires associés).</w:t>
      </w:r>
    </w:p>
    <w:p w:rsidR="00683F76" w:rsidRPr="003B5EA4" w:rsidRDefault="00683F76" w:rsidP="00683F76">
      <w:pPr>
        <w:pStyle w:val="Titre1"/>
        <w:rPr>
          <w:b/>
        </w:rPr>
      </w:pPr>
      <w:r w:rsidRPr="003B5EA4">
        <w:t xml:space="preserve">Figure IX </w:t>
      </w:r>
      <w:r w:rsidRPr="003B5EA4">
        <w:br/>
      </w:r>
      <w:r w:rsidRPr="003B5EA4">
        <w:rPr>
          <w:b/>
        </w:rPr>
        <w:t xml:space="preserve">Dérogations accordées pendant la période 2006-2016 et coûts associés </w:t>
      </w:r>
    </w:p>
    <w:p w:rsidR="00683F76" w:rsidRPr="003B5EA4" w:rsidRDefault="00683F76" w:rsidP="00683F76">
      <w:pPr>
        <w:pStyle w:val="Titre1"/>
        <w:spacing w:after="120"/>
        <w:rPr>
          <w:sz w:val="16"/>
          <w:szCs w:val="16"/>
        </w:rPr>
      </w:pPr>
      <w:r w:rsidRPr="003B5EA4">
        <w:rPr>
          <w:sz w:val="16"/>
          <w:szCs w:val="16"/>
        </w:rPr>
        <w:t>(En dollars des États-Unis)</w:t>
      </w:r>
    </w:p>
    <w:p w:rsidR="004D3EBD" w:rsidRPr="003B5EA4" w:rsidRDefault="004D3EBD" w:rsidP="004D3EBD">
      <w:pPr>
        <w:tabs>
          <w:tab w:val="left" w:pos="-3360"/>
          <w:tab w:val="left" w:pos="-2760"/>
          <w:tab w:val="left" w:pos="480"/>
        </w:tabs>
        <w:ind w:left="1134"/>
        <w:rPr>
          <w:i/>
        </w:rPr>
      </w:pPr>
      <w:r w:rsidRPr="003B5EA4">
        <w:rPr>
          <w:noProof/>
          <w:lang w:eastAsia="fr-CH"/>
        </w:rPr>
        <w:drawing>
          <wp:inline distT="0" distB="0" distL="0" distR="0" wp14:anchorId="2889CACD" wp14:editId="4935DAFC">
            <wp:extent cx="5169529" cy="32639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3EBD" w:rsidRPr="003B5EA4" w:rsidRDefault="004D3EBD" w:rsidP="00FF3450">
      <w:pPr>
        <w:pStyle w:val="SingleTxtG"/>
        <w:spacing w:before="120" w:after="240"/>
        <w:ind w:firstLine="170"/>
        <w:jc w:val="left"/>
        <w:rPr>
          <w:rFonts w:eastAsiaTheme="minorEastAsia"/>
          <w:sz w:val="18"/>
          <w:szCs w:val="18"/>
          <w:lang w:eastAsia="zh-CN"/>
        </w:rPr>
      </w:pPr>
      <w:r w:rsidRPr="003B5EA4">
        <w:rPr>
          <w:rFonts w:eastAsiaTheme="minorEastAsia"/>
          <w:i/>
          <w:sz w:val="18"/>
          <w:szCs w:val="18"/>
          <w:lang w:eastAsia="zh-CN"/>
        </w:rPr>
        <w:t>Sources</w:t>
      </w:r>
      <w:r w:rsidRPr="003B5EA4">
        <w:rPr>
          <w:rFonts w:eastAsiaTheme="minorEastAsia"/>
          <w:sz w:val="18"/>
          <w:szCs w:val="18"/>
          <w:lang w:eastAsia="zh-CN"/>
        </w:rPr>
        <w:t> : A/63/524, A/65/348, A/67/356, A/69/643, A/71/741 et Corr.1.</w:t>
      </w:r>
    </w:p>
    <w:p w:rsidR="00683F76" w:rsidRPr="003B5EA4" w:rsidRDefault="00FF3450" w:rsidP="00FF3450">
      <w:pPr>
        <w:pStyle w:val="SingleTxtG"/>
      </w:pPr>
      <w:r w:rsidRPr="003B5EA4">
        <w:t>80.</w:t>
      </w:r>
      <w:r w:rsidRPr="003B5EA4">
        <w:tab/>
      </w:r>
      <w:r w:rsidR="00F6787D" w:rsidRPr="003B5EA4">
        <w:t>Pendant la période biennale 2008-2010, le nombre de dérogations accordées a augmenté de 37 % par rapport à la période 2006-2008, ce qui s</w:t>
      </w:r>
      <w:r w:rsidR="00762E0A">
        <w:t>’</w:t>
      </w:r>
      <w:r w:rsidR="00F6787D" w:rsidRPr="003B5EA4">
        <w:t xml:space="preserve">est traduit par une augmentation des coûts supplémentaires associés de 57 % (soit 0,3 million de dollars des États-Unis). En 2010-2012, les dérogations ont connu une augmentation de 58 % par rapport à la période biennale précédente, et les coûts supplémentaires associés ont augmenté de 51 % (soit 0,43 million de dollars). En 2012-2014, il y a eu 41 % de dérogations en plus que pendant la période biennale précédente, et les coûts supplémentaires résultant des dérogations accordées ont augmenté de 81 % (soit </w:t>
      </w:r>
      <w:r w:rsidR="00F6787D" w:rsidRPr="003B5EA4">
        <w:lastRenderedPageBreak/>
        <w:t>1,03 million de dollars). En 2014-2016, le nombre des dérogations accordées a augmenté de 73</w:t>
      </w:r>
      <w:r w:rsidR="00991D85">
        <w:t> </w:t>
      </w:r>
      <w:r w:rsidR="00F6787D" w:rsidRPr="003B5EA4">
        <w:t>% par rapport à la période 2012-2014, avec une augmentation des coûts supplémentaires associés de 59 % (soit 1,37 million de dollars). L</w:t>
      </w:r>
      <w:r w:rsidR="00762E0A">
        <w:t>’</w:t>
      </w:r>
      <w:r w:rsidR="00F6787D" w:rsidRPr="003B5EA4">
        <w:t>Inspectrice note qu</w:t>
      </w:r>
      <w:r w:rsidR="00762E0A">
        <w:t>’</w:t>
      </w:r>
      <w:r w:rsidR="00F6787D" w:rsidRPr="003B5EA4">
        <w:t>en dépit des efforts déployés par le Secrétariat de l</w:t>
      </w:r>
      <w:r w:rsidR="00762E0A">
        <w:t>’</w:t>
      </w:r>
      <w:r w:rsidR="00F6787D" w:rsidRPr="003B5EA4">
        <w:t>ONU, les dérogations continuent de se faire plus nombreuses pour certaines catégories de voyageurs, en particulier les « personnalités éminentes ». Le Secrétariat attribue l</w:t>
      </w:r>
      <w:r w:rsidR="00762E0A">
        <w:t>’</w:t>
      </w:r>
      <w:r w:rsidR="00F6787D" w:rsidRPr="003B5EA4">
        <w:t>augmentation des demandes de dérogation aux changements de politique de 2013 limitant plus rigoureusement les conditions de voyage en avion des non-fonctionnaires à la classe économique.</w:t>
      </w:r>
    </w:p>
    <w:p w:rsidR="00294FAE" w:rsidRPr="003B5EA4" w:rsidRDefault="00294FAE" w:rsidP="00294FAE">
      <w:pPr>
        <w:pStyle w:val="H1G"/>
      </w:pPr>
      <w:r w:rsidRPr="003B5EA4">
        <w:tab/>
      </w:r>
      <w:r w:rsidR="00996005">
        <w:t>C</w:t>
      </w:r>
      <w:r w:rsidRPr="003B5EA4">
        <w:t>.</w:t>
      </w:r>
      <w:r w:rsidRPr="003B5EA4">
        <w:tab/>
        <w:t xml:space="preserve">Évolution des catégories de dérogations accordées par le Secrétariat </w:t>
      </w:r>
      <w:r w:rsidRPr="003B5EA4">
        <w:br/>
        <w:t>de l</w:t>
      </w:r>
      <w:r w:rsidR="00762E0A">
        <w:t>’</w:t>
      </w:r>
      <w:r w:rsidRPr="003B5EA4">
        <w:t>ONU et les entités apparentées</w:t>
      </w:r>
    </w:p>
    <w:p w:rsidR="003833F6" w:rsidRPr="003B5EA4" w:rsidRDefault="00294FAE" w:rsidP="003833F6">
      <w:pPr>
        <w:pStyle w:val="SingleTxtG"/>
      </w:pPr>
      <w:r w:rsidRPr="003B5EA4">
        <w:t>81.</w:t>
      </w:r>
      <w:r w:rsidRPr="003B5EA4">
        <w:tab/>
      </w:r>
      <w:r w:rsidR="00F6787D" w:rsidRPr="003B5EA4">
        <w:t>Le rapport le plus récent du Secrétaire général sur les conditions de voyage en avion</w:t>
      </w:r>
      <w:r w:rsidR="00F6787D" w:rsidRPr="003B5EA4">
        <w:rPr>
          <w:rStyle w:val="Appelnotedebasdep"/>
        </w:rPr>
        <w:footnoteReference w:id="91"/>
      </w:r>
      <w:r w:rsidR="00F6787D" w:rsidRPr="003B5EA4">
        <w:t xml:space="preserve"> relève six catégories sous lesquelles les dérogations se sont rangées au fil des ans. Elles concernent (sans s</w:t>
      </w:r>
      <w:r w:rsidR="00762E0A">
        <w:t>’</w:t>
      </w:r>
      <w:r w:rsidR="00F6787D" w:rsidRPr="003B5EA4">
        <w:t>y limiter) les cas suivants : a) le voyage doit se faire dans des circonstances jugées particulièrement fatig</w:t>
      </w:r>
      <w:r w:rsidR="00037A7E">
        <w:t>u</w:t>
      </w:r>
      <w:r w:rsidR="00F6787D" w:rsidRPr="003B5EA4">
        <w:t>antes</w:t>
      </w:r>
      <w:r w:rsidR="00F6787D" w:rsidRPr="003B5EA4">
        <w:rPr>
          <w:rStyle w:val="Appelnotedebasdep"/>
        </w:rPr>
        <w:footnoteReference w:id="92"/>
      </w:r>
      <w:r w:rsidR="00007FB2" w:rsidRPr="003B5EA4">
        <w:t> </w:t>
      </w:r>
      <w:r w:rsidR="00F6787D" w:rsidRPr="003B5EA4">
        <w:t>; b) le surclassement se justifie pour des raisons médicales</w:t>
      </w:r>
      <w:r w:rsidR="00007FB2" w:rsidRPr="003B5EA4">
        <w:t> </w:t>
      </w:r>
      <w:r w:rsidR="00F6787D" w:rsidRPr="003B5EA4">
        <w:t>; c) le voyageur est une haute personnalité</w:t>
      </w:r>
      <w:r w:rsidR="00007FB2" w:rsidRPr="003B5EA4">
        <w:t> </w:t>
      </w:r>
      <w:r w:rsidR="00F6787D" w:rsidRPr="003B5EA4">
        <w:t>; d) le voyageur est une personnalité éminente</w:t>
      </w:r>
      <w:r w:rsidR="007959C4">
        <w:t> ;</w:t>
      </w:r>
      <w:r w:rsidR="00F6787D" w:rsidRPr="003B5EA4">
        <w:t xml:space="preserve"> e) l</w:t>
      </w:r>
      <w:r w:rsidR="00762E0A">
        <w:t>’</w:t>
      </w:r>
      <w:r w:rsidR="00F6787D" w:rsidRPr="003B5EA4">
        <w:t>avion est complet dans la classe normalement prévue et il est jugé raisonnable d</w:t>
      </w:r>
      <w:r w:rsidR="00762E0A">
        <w:t>’</w:t>
      </w:r>
      <w:r w:rsidR="00F6787D" w:rsidRPr="003B5EA4">
        <w:t>autoriser un surclassement</w:t>
      </w:r>
      <w:r w:rsidR="00007FB2" w:rsidRPr="003B5EA4">
        <w:t> </w:t>
      </w:r>
      <w:r w:rsidR="00F6787D" w:rsidRPr="003B5EA4">
        <w:t>; f) le voyageur est un agent de protection rapprochée accompagnant le Président de l</w:t>
      </w:r>
      <w:r w:rsidR="00762E0A">
        <w:t>’</w:t>
      </w:r>
      <w:r w:rsidR="00F6787D" w:rsidRPr="003B5EA4">
        <w:t>Assemblée générale ou le Secrétaire général, le Vice-Secrétaire général et leurs conjoints</w:t>
      </w:r>
      <w:r w:rsidR="00F6787D" w:rsidRPr="003B5EA4">
        <w:rPr>
          <w:rStyle w:val="Appelnotedebasdep"/>
        </w:rPr>
        <w:footnoteReference w:id="93"/>
      </w:r>
      <w:r w:rsidR="00F6787D" w:rsidRPr="003B5EA4">
        <w:t>. D</w:t>
      </w:r>
      <w:r w:rsidR="00762E0A">
        <w:t>’</w:t>
      </w:r>
      <w:r w:rsidR="00F6787D" w:rsidRPr="003B5EA4">
        <w:t>autres dérogations peuvent aussi être autorisées par le Président de l</w:t>
      </w:r>
      <w:r w:rsidR="00762E0A">
        <w:t>’</w:t>
      </w:r>
      <w:r w:rsidR="00F6787D" w:rsidRPr="003B5EA4">
        <w:t>Assemblée générale. Une ventilation détaillée de l</w:t>
      </w:r>
      <w:r w:rsidR="00762E0A">
        <w:t>’</w:t>
      </w:r>
      <w:r w:rsidR="00F6787D" w:rsidRPr="003B5EA4">
        <w:t>évolution des dérogations accordées selon les catégories de voyageurs est présentée dans le tablea</w:t>
      </w:r>
      <w:r w:rsidRPr="003B5EA4">
        <w:t>u </w:t>
      </w:r>
      <w:r w:rsidR="00F6787D" w:rsidRPr="003B5EA4">
        <w:t>5 ci-dessous. Ces tendances sont également commentées dans les paragraphes qui suivent.</w:t>
      </w:r>
    </w:p>
    <w:p w:rsidR="00007FB2" w:rsidRPr="003B5EA4" w:rsidRDefault="00007FB2" w:rsidP="00007FB2">
      <w:pPr>
        <w:pStyle w:val="SingleTxtG"/>
      </w:pPr>
      <w:r w:rsidRPr="003B5EA4">
        <w:t>82.</w:t>
      </w:r>
      <w:r w:rsidRPr="003B5EA4">
        <w:tab/>
      </w:r>
      <w:r w:rsidR="00F6787D" w:rsidRPr="003B5EA4">
        <w:rPr>
          <w:b/>
        </w:rPr>
        <w:t>Raisons médicales.</w:t>
      </w:r>
      <w:r w:rsidR="00F6787D" w:rsidRPr="003B5EA4">
        <w:t xml:space="preserve"> Entre les périodes biennales 2006-2008 et 2010-2012, le nombre de dérogations accordées pour raisons médicales, ainsi que les coûts y afférents, ont augmenté de 123 %. Entre les périodes 2010-2012 et 2014-2016, le nombre de dérogations accordées et les coûts supplémentaires y afférents ont baissé respectivement de 22 % et de 10 %. Le coût cumulé de ces dérogations pour les cinq périodes biennales concernées (du 1</w:t>
      </w:r>
      <w:r w:rsidR="00F6787D" w:rsidRPr="003B5EA4">
        <w:rPr>
          <w:vertAlign w:val="superscript"/>
        </w:rPr>
        <w:t>er</w:t>
      </w:r>
      <w:r w:rsidR="00F6787D" w:rsidRPr="003B5EA4">
        <w:t> juillet 2006 au 30 juin 2016) était de 1,22 million de dollars des États-Unis, ce qui représentait 14 % de l</w:t>
      </w:r>
      <w:r w:rsidR="00762E0A">
        <w:t>’</w:t>
      </w:r>
      <w:r w:rsidR="00F6787D" w:rsidRPr="003B5EA4">
        <w:t>ensemble des coûts supplémentaires occasionnés par les dérogations. La tendance à la baisse des dérogations pour raisons médicales est attribuable aux directives que le Groupe de travail des directeurs des services médicaux des organismes des Nations Unies a adoptées en 2012 aux fins de l</w:t>
      </w:r>
      <w:r w:rsidR="00762E0A">
        <w:t>’</w:t>
      </w:r>
      <w:r w:rsidR="00F6787D" w:rsidRPr="003B5EA4">
        <w:t>autorisation des dérogations pour raisons médicales à l</w:t>
      </w:r>
      <w:r w:rsidR="00762E0A">
        <w:t>’</w:t>
      </w:r>
      <w:r w:rsidR="00F6787D" w:rsidRPr="003B5EA4">
        <w:t>échelle du système, et qui constituent une bonne pratique. À titre d</w:t>
      </w:r>
      <w:r w:rsidR="00762E0A">
        <w:t>’</w:t>
      </w:r>
      <w:r w:rsidR="00F6787D" w:rsidRPr="003B5EA4">
        <w:t>exemple, la Division des services médicaux de l</w:t>
      </w:r>
      <w:r w:rsidR="00762E0A">
        <w:t>’</w:t>
      </w:r>
      <w:r w:rsidR="00F6787D" w:rsidRPr="003B5EA4">
        <w:t>ONU à New York a rapporté n</w:t>
      </w:r>
      <w:r w:rsidR="00762E0A">
        <w:t>’</w:t>
      </w:r>
      <w:r w:rsidR="00F6787D" w:rsidRPr="003B5EA4">
        <w:t>avoir recommandé le surclassement que pour 55 des 260 demandes qui lui avaient été soumises pour la période 2013-2015.</w:t>
      </w:r>
    </w:p>
    <w:p w:rsidR="00007FB2" w:rsidRPr="003B5EA4" w:rsidRDefault="00007FB2" w:rsidP="00961EFA">
      <w:pPr>
        <w:pStyle w:val="SingleTxtG"/>
      </w:pPr>
      <w:r w:rsidRPr="003B5EA4">
        <w:t>83.</w:t>
      </w:r>
      <w:r w:rsidRPr="003B5EA4">
        <w:tab/>
      </w:r>
      <w:r w:rsidR="00961EFA" w:rsidRPr="003B5EA4">
        <w:rPr>
          <w:b/>
        </w:rPr>
        <w:t>Avion complet dans la classe normalement prévue.</w:t>
      </w:r>
      <w:r w:rsidR="00961EFA" w:rsidRPr="003B5EA4">
        <w:t xml:space="preserve"> Entre les périodes biennales</w:t>
      </w:r>
      <w:r w:rsidR="00B107B9">
        <w:t xml:space="preserve"> </w:t>
      </w:r>
      <w:r w:rsidR="00961EFA" w:rsidRPr="003B5EA4">
        <w:t>2006-2008 et 2010-2012, le nombre de dérogations accordées sous cette catégorie a augmenté de 273 %, et les coûts associés de 339 %.</w:t>
      </w:r>
      <w:r w:rsidR="00961EFA" w:rsidRPr="003B5EA4">
        <w:rPr>
          <w:b/>
        </w:rPr>
        <w:t xml:space="preserve"> </w:t>
      </w:r>
      <w:r w:rsidR="00961EFA" w:rsidRPr="003B5EA4">
        <w:t>Entre les périodes 2010-2012 et 2014</w:t>
      </w:r>
      <w:r w:rsidR="00B107B9">
        <w:noBreakHyphen/>
      </w:r>
      <w:r w:rsidR="00961EFA" w:rsidRPr="003B5EA4">
        <w:t>2016, le nombre de dérogations accordées et les coûts associés ont baissé respectivement de 71 % et 66 %. Cette catégorie représente moins d</w:t>
      </w:r>
      <w:r w:rsidR="00991D85">
        <w:t xml:space="preserve">e </w:t>
      </w:r>
      <w:r w:rsidR="00961EFA" w:rsidRPr="003B5EA4">
        <w:t>1 % (0,08 million de dollars des États-Unis) de l</w:t>
      </w:r>
      <w:r w:rsidR="00762E0A">
        <w:t>’</w:t>
      </w:r>
      <w:r w:rsidR="00961EFA" w:rsidRPr="003B5EA4">
        <w:t>ensemble des coûts supplémentaires occasionnés par les dérogations au cours des cinq périodes biennales concernées.</w:t>
      </w:r>
    </w:p>
    <w:p w:rsidR="00961EFA" w:rsidRPr="003B5EA4" w:rsidRDefault="00961EFA" w:rsidP="00961EFA">
      <w:pPr>
        <w:pStyle w:val="SingleTxtG"/>
      </w:pPr>
      <w:r w:rsidRPr="003B5EA4">
        <w:t>84.</w:t>
      </w:r>
      <w:r w:rsidRPr="003B5EA4">
        <w:tab/>
      </w:r>
      <w:r w:rsidR="00F6787D" w:rsidRPr="003B5EA4">
        <w:rPr>
          <w:b/>
        </w:rPr>
        <w:t>Voyage particulièrement fatig</w:t>
      </w:r>
      <w:r w:rsidR="00037A7E">
        <w:rPr>
          <w:b/>
        </w:rPr>
        <w:t>u</w:t>
      </w:r>
      <w:r w:rsidR="00F6787D" w:rsidRPr="003B5EA4">
        <w:rPr>
          <w:b/>
        </w:rPr>
        <w:t>ant et dérogations autorisées par le Président de l</w:t>
      </w:r>
      <w:r w:rsidR="00762E0A">
        <w:rPr>
          <w:b/>
        </w:rPr>
        <w:t>’</w:t>
      </w:r>
      <w:r w:rsidR="00F6787D" w:rsidRPr="003B5EA4">
        <w:rPr>
          <w:b/>
        </w:rPr>
        <w:t>Assemblée générale.</w:t>
      </w:r>
      <w:r w:rsidR="00F6787D" w:rsidRPr="003B5EA4">
        <w:t xml:space="preserve"> Ces deux catégories n</w:t>
      </w:r>
      <w:r w:rsidR="00762E0A">
        <w:t>’</w:t>
      </w:r>
      <w:r w:rsidR="00F6787D" w:rsidRPr="003B5EA4">
        <w:t>ont comptabilisé que 70 dérogations de 2006 à 2016, occasionnant 3 % (0,25 million de dollars des États-Unis) de l</w:t>
      </w:r>
      <w:r w:rsidR="00762E0A">
        <w:t>’</w:t>
      </w:r>
      <w:r w:rsidR="00F6787D" w:rsidRPr="003B5EA4">
        <w:t>ensemble des coûts supplémentaires encourus en raison des dérogations au cours des cinq périodes biennales concernées</w:t>
      </w:r>
      <w:r w:rsidRPr="003B5EA4">
        <w:t>.</w:t>
      </w:r>
    </w:p>
    <w:p w:rsidR="00961EFA" w:rsidRPr="003B5EA4" w:rsidRDefault="00530738" w:rsidP="00961EFA">
      <w:pPr>
        <w:pStyle w:val="SingleTxtG"/>
      </w:pPr>
      <w:r w:rsidRPr="003B5EA4">
        <w:lastRenderedPageBreak/>
        <w:t>85.</w:t>
      </w:r>
      <w:r w:rsidRPr="003B5EA4">
        <w:tab/>
      </w:r>
      <w:r w:rsidR="00F6787D" w:rsidRPr="003B5EA4">
        <w:rPr>
          <w:b/>
        </w:rPr>
        <w:t>Sécurité.</w:t>
      </w:r>
      <w:r w:rsidR="00F6787D" w:rsidRPr="003B5EA4">
        <w:t xml:space="preserve"> Entre les périodes biennales 2006-2008 et 2010-2012, le nombre de dérogations accordées sous cette catégorie a augmenté de 68 %, et les coûts associés de 177 % en raison de l</w:t>
      </w:r>
      <w:r w:rsidR="00762E0A">
        <w:t>’</w:t>
      </w:r>
      <w:r w:rsidR="00F6787D" w:rsidRPr="003B5EA4">
        <w:t>usage de la première classe. Entre les périodes 2010-2012 et 2014</w:t>
      </w:r>
      <w:r w:rsidR="00B107B9">
        <w:noBreakHyphen/>
      </w:r>
      <w:r w:rsidR="00F6787D" w:rsidRPr="003B5EA4">
        <w:t>2016, le nombre de dérogations accordées et les coûts supplémentaires associés sont restés dans une large mesure inchangés. Les coûts associés à cette catégorie constituaient 23 % (1,98 million de dollars des États-Unis) de l</w:t>
      </w:r>
      <w:r w:rsidR="00762E0A">
        <w:t>’</w:t>
      </w:r>
      <w:r w:rsidR="00F6787D" w:rsidRPr="003B5EA4">
        <w:t xml:space="preserve">ensemble des coûts supplémentaires occasionnés par les dérogations. </w:t>
      </w:r>
      <w:r w:rsidR="00F6787D" w:rsidRPr="003B5EA4">
        <w:rPr>
          <w:b/>
        </w:rPr>
        <w:t>Il est de la responsabilité des trois hauts fonctionnaires ayant droit à cette protection rapprochée de veiller à ce que soit strictement respectée la politique limitant le surclassement à un seul des agents accompagnateurs</w:t>
      </w:r>
      <w:r w:rsidR="00F6787D" w:rsidRPr="003B5EA4">
        <w:rPr>
          <w:rStyle w:val="Appelnotedebasdep"/>
        </w:rPr>
        <w:footnoteReference w:id="94"/>
      </w:r>
      <w:r w:rsidR="00F6787D" w:rsidRPr="003B5EA4">
        <w:rPr>
          <w:b/>
        </w:rPr>
        <w:t>.</w:t>
      </w:r>
    </w:p>
    <w:p w:rsidR="00EA7E58" w:rsidRPr="003B5EA4" w:rsidRDefault="00EA7E58" w:rsidP="0066064B">
      <w:pPr>
        <w:pStyle w:val="SingleTxtG"/>
      </w:pPr>
      <w:r w:rsidRPr="003B5EA4">
        <w:t>86.</w:t>
      </w:r>
      <w:r w:rsidRPr="003B5EA4">
        <w:tab/>
      </w:r>
      <w:r w:rsidR="00F6787D" w:rsidRPr="003B5EA4">
        <w:rPr>
          <w:b/>
        </w:rPr>
        <w:t xml:space="preserve">Hautes personnalités. </w:t>
      </w:r>
      <w:r w:rsidR="00F6787D" w:rsidRPr="003B5EA4">
        <w:t>De 2006 à 2016, le nombre de dérogations accordées sous cette catégorie a augmenté de 88 %, et les coûts associés de 118 %. L</w:t>
      </w:r>
      <w:r w:rsidR="00762E0A">
        <w:t>’</w:t>
      </w:r>
      <w:r w:rsidR="00F6787D" w:rsidRPr="003B5EA4">
        <w:t>abandon en 2014 des termes « ancien chef d</w:t>
      </w:r>
      <w:r w:rsidR="00762E0A">
        <w:t>’</w:t>
      </w:r>
      <w:r w:rsidR="00F6787D" w:rsidRPr="003B5EA4">
        <w:t>État ou personnalité importante du monde politique, des milieux humanitaires ou culturels »</w:t>
      </w:r>
      <w:r w:rsidR="00F6787D" w:rsidRPr="003B5EA4">
        <w:rPr>
          <w:rStyle w:val="Appelnotedebasdep"/>
        </w:rPr>
        <w:footnoteReference w:id="95"/>
      </w:r>
      <w:r w:rsidR="00F6787D" w:rsidRPr="003B5EA4">
        <w:t xml:space="preserve"> pour définir les bénéficiaires de cette catégorie, au profit des termes « chef d</w:t>
      </w:r>
      <w:r w:rsidR="00762E0A">
        <w:t>’</w:t>
      </w:r>
      <w:r w:rsidR="00F6787D" w:rsidRPr="003B5EA4">
        <w:t>État ou de gouvernement qu</w:t>
      </w:r>
      <w:r w:rsidR="00762E0A">
        <w:t>’</w:t>
      </w:r>
      <w:r w:rsidR="00F6787D" w:rsidRPr="003B5EA4">
        <w:t>il soit ou non encore en exercice »</w:t>
      </w:r>
      <w:r w:rsidR="00F6787D" w:rsidRPr="003B5EA4">
        <w:rPr>
          <w:rStyle w:val="Appelnotedebasdep"/>
        </w:rPr>
        <w:footnoteReference w:id="96"/>
      </w:r>
      <w:r w:rsidR="00F6787D" w:rsidRPr="003B5EA4">
        <w:t>, a clarifié et harmonisé l</w:t>
      </w:r>
      <w:r w:rsidR="00762E0A">
        <w:t>’</w:t>
      </w:r>
      <w:r w:rsidR="00F6787D" w:rsidRPr="003B5EA4">
        <w:t>usage qui en est fait, comme attesté par la liste détaillée fournie dans le rapport du Secrétaire général sur les conditions de voyage en avion</w:t>
      </w:r>
      <w:r w:rsidR="00F6787D" w:rsidRPr="003B5EA4">
        <w:rPr>
          <w:rStyle w:val="Appelnotedebasdep"/>
        </w:rPr>
        <w:footnoteReference w:id="97"/>
      </w:r>
      <w:r w:rsidR="00F6787D" w:rsidRPr="003B5EA4">
        <w:t>. Cette catégorie représente près de 6 % (0,50 million de dollars des États-Unis) de l</w:t>
      </w:r>
      <w:r w:rsidR="00762E0A">
        <w:t>’</w:t>
      </w:r>
      <w:r w:rsidR="00F6787D" w:rsidRPr="003B5EA4">
        <w:t>ensemble des coûts supplémentaires occasionnés par les dérogations.</w:t>
      </w:r>
    </w:p>
    <w:p w:rsidR="0066064B" w:rsidRPr="003B5EA4" w:rsidRDefault="0066064B" w:rsidP="0066064B">
      <w:pPr>
        <w:pStyle w:val="SingleTxtG"/>
      </w:pPr>
      <w:r w:rsidRPr="003B5EA4">
        <w:t>8</w:t>
      </w:r>
      <w:r w:rsidR="00EA7E58" w:rsidRPr="003B5EA4">
        <w:t>7</w:t>
      </w:r>
      <w:r w:rsidRPr="003B5EA4">
        <w:t>.</w:t>
      </w:r>
      <w:r w:rsidRPr="003B5EA4">
        <w:tab/>
      </w:r>
      <w:r w:rsidRPr="003B5EA4">
        <w:rPr>
          <w:b/>
        </w:rPr>
        <w:t xml:space="preserve">Personnalités éminentes. </w:t>
      </w:r>
      <w:r w:rsidRPr="003B5EA4">
        <w:t>C</w:t>
      </w:r>
      <w:r w:rsidR="00762E0A">
        <w:t>’</w:t>
      </w:r>
      <w:r w:rsidRPr="003B5EA4">
        <w:t xml:space="preserve">est la catégorie des « personnalités éminentes » qui suscite les plus vives préoccupations de la part des États </w:t>
      </w:r>
      <w:r w:rsidR="005E041E">
        <w:t>M</w:t>
      </w:r>
      <w:r w:rsidRPr="003B5EA4">
        <w:t>embres quant à la charge que représentent les dérogations</w:t>
      </w:r>
      <w:r w:rsidRPr="003B5EA4">
        <w:rPr>
          <w:rStyle w:val="Appelnotedebasdep"/>
        </w:rPr>
        <w:footnoteReference w:id="98"/>
      </w:r>
      <w:r w:rsidRPr="003B5EA4">
        <w:t>. Le nombre de dérogations accordées sous cette catégorie est passé de 44 seulement pour la période biennale 2006-2008, à un coût total de 0,07 million de dollars des États-Unis, à 973 pour la période 2014-2016, à un coût de 2,62 millions de dollars. À elle seule, cette catégorie occasionne la moitié des 4,31 millions de dollars de coûts supplémentaires engendrés par l</w:t>
      </w:r>
      <w:r w:rsidR="00762E0A">
        <w:t>’</w:t>
      </w:r>
      <w:r w:rsidRPr="003B5EA4">
        <w:t>ensemble des dérogations.</w:t>
      </w:r>
    </w:p>
    <w:p w:rsidR="0066064B" w:rsidRPr="003B5EA4" w:rsidRDefault="00EA7E58" w:rsidP="0066064B">
      <w:pPr>
        <w:pStyle w:val="SingleTxtG"/>
      </w:pPr>
      <w:r w:rsidRPr="003B5EA4">
        <w:t>88.</w:t>
      </w:r>
      <w:r w:rsidRPr="003B5EA4">
        <w:tab/>
      </w:r>
      <w:r w:rsidR="0066064B" w:rsidRPr="003B5EA4">
        <w:t>Deux raisons ont été données pour expliquer l</w:t>
      </w:r>
      <w:r w:rsidR="00762E0A">
        <w:t>’</w:t>
      </w:r>
      <w:r w:rsidR="0066064B" w:rsidRPr="003B5EA4">
        <w:t>augmentation du nombre de dérogations autorisées en faveur des personnalités éminentes :</w:t>
      </w:r>
    </w:p>
    <w:p w:rsidR="0066064B" w:rsidRPr="003B5EA4" w:rsidRDefault="0066064B" w:rsidP="0066064B">
      <w:pPr>
        <w:pStyle w:val="Bullet1G"/>
      </w:pPr>
      <w:r w:rsidRPr="003B5EA4">
        <w:t>L</w:t>
      </w:r>
      <w:r w:rsidR="00762E0A">
        <w:t>’</w:t>
      </w:r>
      <w:r w:rsidRPr="003B5EA4">
        <w:t>application de l</w:t>
      </w:r>
      <w:r w:rsidR="00762E0A">
        <w:t>’</w:t>
      </w:r>
      <w:r w:rsidRPr="003B5EA4">
        <w:t>instruction administrative ST/AI/2013/3, qui modifie les conditions de voyage en avion des consultants et des vacataires en les limitant à la classe économique, quelle que soit la durée du voyage, alors que ces voyageurs avaient joui des mêmes conditions de voyage en avion que les fonctionnaires</w:t>
      </w:r>
      <w:r w:rsidRPr="003B5EA4">
        <w:rPr>
          <w:rStyle w:val="Appelnotedebasdep"/>
        </w:rPr>
        <w:footnoteReference w:id="99"/>
      </w:r>
      <w:r w:rsidRPr="003B5EA4">
        <w:t> ;</w:t>
      </w:r>
    </w:p>
    <w:p w:rsidR="0066064B" w:rsidRPr="003B5EA4" w:rsidRDefault="005C37B5" w:rsidP="00327E31">
      <w:pPr>
        <w:pStyle w:val="Bullet1G"/>
        <w:keepLines/>
      </w:pPr>
      <w:r w:rsidRPr="003B5EA4">
        <w:t>La modification en 2014 de la définition de la notion de « personnalités de haut rang » qui a occasionné le transfert d</w:t>
      </w:r>
      <w:r w:rsidR="00762E0A">
        <w:t>’</w:t>
      </w:r>
      <w:r w:rsidRPr="003B5EA4">
        <w:t>une partie des demandes qui auraient été faite</w:t>
      </w:r>
      <w:r w:rsidR="001F6FE6">
        <w:t>s</w:t>
      </w:r>
      <w:r w:rsidRPr="003B5EA4">
        <w:t xml:space="preserve"> sous cette catégorie à celle des « personnalités éminentes », et augmenté ainsi significativement le recours aux dérogations accordées à ce titre</w:t>
      </w:r>
      <w:r w:rsidRPr="003B5EA4">
        <w:rPr>
          <w:rStyle w:val="Appelnotedebasdep"/>
        </w:rPr>
        <w:footnoteReference w:id="100"/>
      </w:r>
      <w:r w:rsidRPr="003B5EA4">
        <w:t>.</w:t>
      </w:r>
    </w:p>
    <w:p w:rsidR="00FD2703" w:rsidRPr="003B5EA4" w:rsidRDefault="00FD2703" w:rsidP="00FD2703">
      <w:pPr>
        <w:pStyle w:val="SingleTxtG"/>
      </w:pPr>
      <w:r w:rsidRPr="003B5EA4">
        <w:t>89.</w:t>
      </w:r>
      <w:r w:rsidRPr="003B5EA4">
        <w:tab/>
      </w:r>
      <w:r w:rsidR="00F6787D" w:rsidRPr="003B5EA4">
        <w:t xml:space="preserve">Cette tendance à la hausse </w:t>
      </w:r>
      <w:r w:rsidRPr="003B5EA4">
        <w:t>a</w:t>
      </w:r>
      <w:r w:rsidR="00F6787D" w:rsidRPr="003B5EA4">
        <w:t xml:space="preserve"> engagé l</w:t>
      </w:r>
      <w:r w:rsidR="00762E0A">
        <w:t>’</w:t>
      </w:r>
      <w:r w:rsidR="00F6787D" w:rsidRPr="003B5EA4">
        <w:t xml:space="preserve">Assemblée générale </w:t>
      </w:r>
      <w:r w:rsidRPr="003B5EA4">
        <w:t>à</w:t>
      </w:r>
      <w:r w:rsidR="00F6787D" w:rsidRPr="003B5EA4">
        <w:t xml:space="preserve"> réitérer sa demande au Secrétaire général tendant à ce qu</w:t>
      </w:r>
      <w:r w:rsidR="00762E0A">
        <w:t>’</w:t>
      </w:r>
      <w:r w:rsidR="00F6787D" w:rsidRPr="003B5EA4">
        <w:t>il examine l</w:t>
      </w:r>
      <w:r w:rsidR="00762E0A">
        <w:t>’</w:t>
      </w:r>
      <w:r w:rsidR="00F6787D" w:rsidRPr="003B5EA4">
        <w:t>octroi des dérogations en faveur des personnalités éminentes, propose une série de critères clairs définissant cette catégorie de personnes et lui rende compte des résultats de son examen</w:t>
      </w:r>
      <w:r w:rsidR="00F6787D" w:rsidRPr="003B5EA4">
        <w:rPr>
          <w:rStyle w:val="Appelnotedebasdep"/>
        </w:rPr>
        <w:footnoteReference w:id="101"/>
      </w:r>
      <w:r w:rsidR="00F6787D" w:rsidRPr="003B5EA4">
        <w:t>. La Commission consultative pour les questions administratives et budgétaires a pour sa part recommandé que la définition de « personnalité éminente » soit formulée plus rigoureusement et appliquée de manière uniforme, afin de permettre une gestion plus rationnelle, systématique et efficace des demandes de dérogation</w:t>
      </w:r>
      <w:r w:rsidR="00F6787D" w:rsidRPr="003B5EA4">
        <w:rPr>
          <w:rStyle w:val="Appelnotedebasdep"/>
        </w:rPr>
        <w:footnoteReference w:id="102"/>
      </w:r>
      <w:r w:rsidR="00F6787D" w:rsidRPr="003B5EA4">
        <w:t>. Le Secrétaire général a indiqué entre-temps avoir besoin d</w:t>
      </w:r>
      <w:r w:rsidR="00762E0A">
        <w:t>’</w:t>
      </w:r>
      <w:r w:rsidR="00F6787D" w:rsidRPr="003B5EA4">
        <w:t xml:space="preserve">un délai supplémentaire pour examiner la question et demandé à pouvoir soumettre ses </w:t>
      </w:r>
      <w:r w:rsidR="00F6787D" w:rsidRPr="003B5EA4">
        <w:lastRenderedPageBreak/>
        <w:t>propositions à la première partie de la reprise de la soixante-treizième</w:t>
      </w:r>
      <w:r w:rsidR="0016531A" w:rsidRPr="003B5EA4">
        <w:t> </w:t>
      </w:r>
      <w:r w:rsidR="00F6787D" w:rsidRPr="003B5EA4">
        <w:t>session de l</w:t>
      </w:r>
      <w:r w:rsidR="00762E0A">
        <w:t>’</w:t>
      </w:r>
      <w:r w:rsidR="00F6787D" w:rsidRPr="003B5EA4">
        <w:t>Assemblée générale</w:t>
      </w:r>
      <w:r w:rsidR="00F6787D" w:rsidRPr="003B5EA4">
        <w:rPr>
          <w:rStyle w:val="Appelnotedebasdep"/>
        </w:rPr>
        <w:footnoteReference w:id="103"/>
      </w:r>
      <w:r w:rsidR="00F6787D" w:rsidRPr="003B5EA4">
        <w:t>.</w:t>
      </w:r>
    </w:p>
    <w:p w:rsidR="005E46A7" w:rsidRPr="003B5EA4" w:rsidRDefault="00AE1AEF" w:rsidP="00FD2703">
      <w:pPr>
        <w:pStyle w:val="SingleTxtG"/>
      </w:pPr>
      <w:r w:rsidRPr="003B5EA4">
        <w:t>90.</w:t>
      </w:r>
      <w:r w:rsidRPr="003B5EA4">
        <w:tab/>
      </w:r>
      <w:r w:rsidR="00F6787D" w:rsidRPr="00D90DA6">
        <w:rPr>
          <w:b/>
        </w:rPr>
        <w:t>Étant donné le statut des hautes personnalités et le coût croissant des dérogations accordées aux personnalités éminentes en matière de voyages, l</w:t>
      </w:r>
      <w:r w:rsidR="00762E0A">
        <w:rPr>
          <w:b/>
        </w:rPr>
        <w:t>’</w:t>
      </w:r>
      <w:r w:rsidR="00F6787D" w:rsidRPr="00D90DA6">
        <w:rPr>
          <w:b/>
        </w:rPr>
        <w:t>Assemblée générale pourrait arrêter les conditions de voyage en avion applicables aux hautes personnalités et aux personnalités éminentes qui offrent leurs services aux organismes, afin que la situation de ces voyageurs ne relève plus du domaine des dérogations.</w:t>
      </w:r>
    </w:p>
    <w:p w:rsidR="00230ED8" w:rsidRPr="003B5EA4" w:rsidRDefault="00230ED8" w:rsidP="00FD2703">
      <w:pPr>
        <w:pStyle w:val="SingleTxtG"/>
        <w:sectPr w:rsidR="00230ED8" w:rsidRPr="003B5EA4" w:rsidSect="00BA31FC">
          <w:headerReference w:type="default" r:id="rId28"/>
          <w:footerReference w:type="default" r:id="rId29"/>
          <w:endnotePr>
            <w:numFmt w:val="decimal"/>
          </w:endnotePr>
          <w:type w:val="oddPage"/>
          <w:pgSz w:w="11906" w:h="16838" w:code="9"/>
          <w:pgMar w:top="1417" w:right="1134" w:bottom="1134" w:left="1134" w:header="850" w:footer="567" w:gutter="0"/>
          <w:pgNumType w:start="1"/>
          <w:cols w:space="708"/>
          <w:docGrid w:linePitch="360"/>
        </w:sectPr>
      </w:pPr>
    </w:p>
    <w:p w:rsidR="00FD2703" w:rsidRPr="003B5EA4" w:rsidRDefault="00914684" w:rsidP="00606705">
      <w:pPr>
        <w:pStyle w:val="Titre1"/>
        <w:spacing w:after="120"/>
        <w:ind w:left="284"/>
        <w:rPr>
          <w:b/>
        </w:rPr>
      </w:pPr>
      <w:r w:rsidRPr="003B5EA4">
        <w:lastRenderedPageBreak/>
        <w:t xml:space="preserve">Tableau 5 </w:t>
      </w:r>
      <w:r w:rsidRPr="003B5EA4">
        <w:br/>
      </w:r>
      <w:r w:rsidRPr="003B5EA4">
        <w:rPr>
          <w:b/>
        </w:rPr>
        <w:t>Nombre de dérogations aux règles régissant les conditions de voyage en avion accordées par l</w:t>
      </w:r>
      <w:r w:rsidR="00762E0A">
        <w:rPr>
          <w:b/>
        </w:rPr>
        <w:t>’</w:t>
      </w:r>
      <w:r w:rsidRPr="003B5EA4">
        <w:rPr>
          <w:b/>
        </w:rPr>
        <w:t>ONU et les entités apparentées (2006-2016)</w:t>
      </w:r>
    </w:p>
    <w:tbl>
      <w:tblPr>
        <w:tblStyle w:val="Grilledutableau"/>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1"/>
        <w:gridCol w:w="709"/>
        <w:gridCol w:w="1134"/>
        <w:gridCol w:w="708"/>
        <w:gridCol w:w="1134"/>
        <w:gridCol w:w="709"/>
        <w:gridCol w:w="1134"/>
        <w:gridCol w:w="709"/>
        <w:gridCol w:w="1134"/>
        <w:gridCol w:w="709"/>
        <w:gridCol w:w="1134"/>
        <w:gridCol w:w="661"/>
        <w:gridCol w:w="1060"/>
      </w:tblGrid>
      <w:tr w:rsidR="006F62E2" w:rsidRPr="00D120EC" w:rsidTr="00C90F18">
        <w:trPr>
          <w:tblHeader/>
        </w:trPr>
        <w:tc>
          <w:tcPr>
            <w:tcW w:w="2841" w:type="dxa"/>
            <w:vMerge w:val="restart"/>
            <w:tcBorders>
              <w:top w:val="single" w:sz="4" w:space="0" w:color="auto"/>
              <w:bottom w:val="single" w:sz="12" w:space="0" w:color="auto"/>
            </w:tcBorders>
            <w:shd w:val="clear" w:color="auto" w:fill="auto"/>
            <w:vAlign w:val="bottom"/>
          </w:tcPr>
          <w:p w:rsidR="00AB5413" w:rsidRPr="003B5EA4" w:rsidRDefault="00AB5413" w:rsidP="006F62E2">
            <w:pPr>
              <w:suppressAutoHyphens w:val="0"/>
              <w:spacing w:before="80" w:after="80" w:line="200" w:lineRule="exact"/>
              <w:rPr>
                <w:i/>
                <w:sz w:val="16"/>
              </w:rPr>
            </w:pPr>
            <w:r w:rsidRPr="003B5EA4">
              <w:rPr>
                <w:i/>
                <w:sz w:val="16"/>
                <w:lang w:eastAsia="zh-CN"/>
              </w:rPr>
              <w:t>Catégorie</w:t>
            </w:r>
          </w:p>
        </w:tc>
        <w:tc>
          <w:tcPr>
            <w:tcW w:w="1843" w:type="dxa"/>
            <w:gridSpan w:val="2"/>
            <w:tcBorders>
              <w:top w:val="single" w:sz="4" w:space="0" w:color="auto"/>
              <w:bottom w:val="single" w:sz="4" w:space="0" w:color="auto"/>
              <w:right w:val="single" w:sz="24" w:space="0" w:color="FFFFFF" w:themeColor="background1"/>
            </w:tcBorders>
            <w:shd w:val="clear" w:color="auto" w:fill="auto"/>
            <w:vAlign w:val="bottom"/>
          </w:tcPr>
          <w:p w:rsidR="00AB5413" w:rsidRPr="003B5EA4" w:rsidRDefault="00AB5413" w:rsidP="0074471F">
            <w:pPr>
              <w:suppressAutoHyphens w:val="0"/>
              <w:spacing w:before="80" w:after="80" w:line="200" w:lineRule="exact"/>
              <w:jc w:val="center"/>
              <w:rPr>
                <w:i/>
                <w:sz w:val="16"/>
                <w:szCs w:val="16"/>
              </w:rPr>
            </w:pPr>
            <w:r w:rsidRPr="003B5EA4">
              <w:rPr>
                <w:bCs/>
                <w:i/>
                <w:sz w:val="16"/>
                <w:szCs w:val="16"/>
              </w:rPr>
              <w:t>2006-2008</w:t>
            </w:r>
          </w:p>
        </w:tc>
        <w:tc>
          <w:tcPr>
            <w:tcW w:w="184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FFFFFF" w:themeFill="background1"/>
            <w:vAlign w:val="bottom"/>
          </w:tcPr>
          <w:p w:rsidR="00AB5413" w:rsidRPr="003B5EA4" w:rsidRDefault="00AB5413" w:rsidP="0074471F">
            <w:pPr>
              <w:suppressAutoHyphens w:val="0"/>
              <w:spacing w:before="80" w:after="80" w:line="200" w:lineRule="exact"/>
              <w:jc w:val="center"/>
              <w:rPr>
                <w:i/>
                <w:sz w:val="16"/>
                <w:szCs w:val="16"/>
              </w:rPr>
            </w:pPr>
            <w:r w:rsidRPr="003B5EA4">
              <w:rPr>
                <w:bCs/>
                <w:i/>
                <w:sz w:val="16"/>
                <w:szCs w:val="16"/>
              </w:rPr>
              <w:t>2008-2010</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B5413" w:rsidRPr="003B5EA4" w:rsidRDefault="00AB5413" w:rsidP="0074471F">
            <w:pPr>
              <w:suppressAutoHyphens w:val="0"/>
              <w:spacing w:before="80" w:after="80" w:line="200" w:lineRule="exact"/>
              <w:jc w:val="center"/>
              <w:rPr>
                <w:i/>
                <w:sz w:val="16"/>
                <w:szCs w:val="16"/>
              </w:rPr>
            </w:pPr>
            <w:r w:rsidRPr="003B5EA4">
              <w:rPr>
                <w:bCs/>
                <w:i/>
                <w:sz w:val="16"/>
                <w:szCs w:val="16"/>
              </w:rPr>
              <w:t>2010-2012</w:t>
            </w:r>
          </w:p>
        </w:tc>
        <w:tc>
          <w:tcPr>
            <w:tcW w:w="1843"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AB5413" w:rsidRPr="003B5EA4" w:rsidRDefault="00AB5413" w:rsidP="0074471F">
            <w:pPr>
              <w:suppressAutoHyphens w:val="0"/>
              <w:spacing w:before="80" w:after="80" w:line="200" w:lineRule="exact"/>
              <w:jc w:val="center"/>
              <w:rPr>
                <w:i/>
                <w:sz w:val="16"/>
                <w:szCs w:val="16"/>
              </w:rPr>
            </w:pPr>
            <w:r w:rsidRPr="003B5EA4">
              <w:rPr>
                <w:bCs/>
                <w:i/>
                <w:sz w:val="16"/>
                <w:szCs w:val="16"/>
              </w:rPr>
              <w:t>2012-2014</w:t>
            </w:r>
          </w:p>
        </w:tc>
        <w:tc>
          <w:tcPr>
            <w:tcW w:w="1843" w:type="dxa"/>
            <w:gridSpan w:val="2"/>
            <w:tcBorders>
              <w:top w:val="single" w:sz="4" w:space="0" w:color="auto"/>
              <w:left w:val="single" w:sz="24" w:space="0" w:color="FFFFFF" w:themeColor="background1"/>
              <w:bottom w:val="single" w:sz="4" w:space="0" w:color="auto"/>
            </w:tcBorders>
            <w:shd w:val="clear" w:color="auto" w:fill="auto"/>
            <w:vAlign w:val="bottom"/>
          </w:tcPr>
          <w:p w:rsidR="00AB5413" w:rsidRPr="003B5EA4" w:rsidRDefault="00AB5413" w:rsidP="0074471F">
            <w:pPr>
              <w:suppressAutoHyphens w:val="0"/>
              <w:spacing w:before="80" w:after="80" w:line="200" w:lineRule="exact"/>
              <w:jc w:val="center"/>
              <w:rPr>
                <w:i/>
                <w:sz w:val="16"/>
                <w:szCs w:val="16"/>
              </w:rPr>
            </w:pPr>
            <w:r w:rsidRPr="003B5EA4">
              <w:rPr>
                <w:bCs/>
                <w:i/>
                <w:sz w:val="16"/>
                <w:szCs w:val="16"/>
              </w:rPr>
              <w:t>2014-2016</w:t>
            </w:r>
          </w:p>
        </w:tc>
        <w:tc>
          <w:tcPr>
            <w:tcW w:w="661" w:type="dxa"/>
            <w:vMerge w:val="restart"/>
            <w:tcBorders>
              <w:top w:val="single" w:sz="4" w:space="0" w:color="auto"/>
              <w:bottom w:val="single" w:sz="12" w:space="0" w:color="auto"/>
            </w:tcBorders>
            <w:shd w:val="clear" w:color="auto" w:fill="auto"/>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Nombre de voyages</w:t>
            </w:r>
          </w:p>
        </w:tc>
        <w:tc>
          <w:tcPr>
            <w:tcW w:w="1060" w:type="dxa"/>
            <w:vMerge w:val="restart"/>
            <w:tcBorders>
              <w:top w:val="single" w:sz="4" w:space="0" w:color="auto"/>
              <w:bottom w:val="single" w:sz="12" w:space="0" w:color="auto"/>
            </w:tcBorders>
            <w:shd w:val="clear" w:color="auto" w:fill="auto"/>
            <w:vAlign w:val="bottom"/>
          </w:tcPr>
          <w:p w:rsidR="00AB5413" w:rsidRPr="00CE33FB" w:rsidRDefault="00AB5413" w:rsidP="006F62E2">
            <w:pPr>
              <w:suppressAutoHyphens w:val="0"/>
              <w:spacing w:before="80" w:after="80" w:line="200" w:lineRule="exact"/>
              <w:jc w:val="right"/>
              <w:rPr>
                <w:i/>
                <w:sz w:val="16"/>
                <w:szCs w:val="16"/>
                <w:lang w:val="en-US"/>
              </w:rPr>
            </w:pPr>
            <w:r w:rsidRPr="00CE33FB">
              <w:rPr>
                <w:i/>
                <w:sz w:val="16"/>
                <w:szCs w:val="16"/>
                <w:lang w:val="en-US"/>
              </w:rPr>
              <w:t>Coût total (dollars É.-U.)</w:t>
            </w:r>
          </w:p>
        </w:tc>
      </w:tr>
      <w:tr w:rsidR="006F62E2" w:rsidRPr="003B5EA4" w:rsidTr="00C90F18">
        <w:tc>
          <w:tcPr>
            <w:tcW w:w="2841" w:type="dxa"/>
            <w:vMerge/>
            <w:tcBorders>
              <w:top w:val="single" w:sz="12" w:space="0" w:color="auto"/>
              <w:bottom w:val="single" w:sz="12" w:space="0" w:color="auto"/>
            </w:tcBorders>
            <w:shd w:val="clear" w:color="auto" w:fill="auto"/>
            <w:vAlign w:val="bottom"/>
          </w:tcPr>
          <w:p w:rsidR="00AB5413" w:rsidRPr="00CE33FB" w:rsidRDefault="00AB5413" w:rsidP="006F62E2">
            <w:pPr>
              <w:suppressAutoHyphens w:val="0"/>
              <w:spacing w:before="40" w:after="40" w:line="220" w:lineRule="exact"/>
              <w:rPr>
                <w:sz w:val="18"/>
                <w:lang w:val="en-US" w:eastAsia="zh-CN"/>
              </w:rPr>
            </w:pPr>
          </w:p>
        </w:tc>
        <w:tc>
          <w:tcPr>
            <w:tcW w:w="709" w:type="dxa"/>
            <w:tcBorders>
              <w:top w:val="single" w:sz="4" w:space="0" w:color="auto"/>
              <w:bottom w:val="single" w:sz="12" w:space="0" w:color="auto"/>
            </w:tcBorders>
            <w:shd w:val="clear" w:color="auto" w:fill="auto"/>
            <w:vAlign w:val="bottom"/>
          </w:tcPr>
          <w:p w:rsidR="00AB5413" w:rsidRPr="003B5EA4" w:rsidRDefault="00AB5413" w:rsidP="00C35CD5">
            <w:pPr>
              <w:suppressAutoHyphens w:val="0"/>
              <w:spacing w:before="80" w:after="80" w:line="200" w:lineRule="exact"/>
              <w:jc w:val="right"/>
              <w:rPr>
                <w:i/>
                <w:sz w:val="16"/>
                <w:szCs w:val="16"/>
                <w:lang w:eastAsia="zh-CN"/>
              </w:rPr>
            </w:pPr>
            <w:r w:rsidRPr="003B5EA4">
              <w:rPr>
                <w:i/>
                <w:sz w:val="16"/>
                <w:szCs w:val="16"/>
              </w:rPr>
              <w:t xml:space="preserve">Nombre </w:t>
            </w:r>
            <w:r w:rsidR="00856015" w:rsidRPr="003B5EA4">
              <w:rPr>
                <w:i/>
                <w:sz w:val="16"/>
                <w:szCs w:val="16"/>
              </w:rPr>
              <w:br/>
            </w:r>
            <w:r w:rsidRPr="003B5EA4">
              <w:rPr>
                <w:i/>
                <w:sz w:val="16"/>
                <w:szCs w:val="16"/>
              </w:rPr>
              <w:t>de</w:t>
            </w:r>
            <w:r w:rsidR="00856015" w:rsidRPr="003B5EA4">
              <w:rPr>
                <w:i/>
                <w:sz w:val="16"/>
                <w:szCs w:val="16"/>
              </w:rPr>
              <w:br/>
            </w:r>
            <w:r w:rsidRPr="003B5EA4">
              <w:rPr>
                <w:i/>
                <w:sz w:val="16"/>
                <w:szCs w:val="16"/>
              </w:rPr>
              <w:t>voyages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Coût supplémentaire (dollars É.-U.)</w:t>
            </w:r>
          </w:p>
        </w:tc>
        <w:tc>
          <w:tcPr>
            <w:tcW w:w="708" w:type="dxa"/>
            <w:tcBorders>
              <w:top w:val="single" w:sz="4" w:space="0" w:color="auto"/>
              <w:left w:val="single" w:sz="24" w:space="0" w:color="FFFFFF" w:themeColor="background1"/>
              <w:bottom w:val="single" w:sz="12" w:space="0" w:color="auto"/>
            </w:tcBorders>
            <w:shd w:val="clear" w:color="auto" w:fill="FFFFFF" w:themeFill="background1"/>
            <w:vAlign w:val="bottom"/>
          </w:tcPr>
          <w:p w:rsidR="00AB5413" w:rsidRPr="003B5EA4" w:rsidRDefault="00AB5413" w:rsidP="00856015">
            <w:pPr>
              <w:suppressAutoHyphens w:val="0"/>
              <w:spacing w:before="80" w:after="80" w:line="200" w:lineRule="exact"/>
              <w:jc w:val="right"/>
              <w:rPr>
                <w:i/>
                <w:sz w:val="16"/>
                <w:szCs w:val="16"/>
              </w:rPr>
            </w:pPr>
            <w:r w:rsidRPr="003B5EA4">
              <w:rPr>
                <w:i/>
                <w:sz w:val="16"/>
                <w:szCs w:val="16"/>
              </w:rPr>
              <w:t>Nombre</w:t>
            </w:r>
            <w:r w:rsidR="00856015" w:rsidRPr="003B5EA4">
              <w:rPr>
                <w:i/>
                <w:sz w:val="16"/>
                <w:szCs w:val="16"/>
              </w:rPr>
              <w:br/>
            </w:r>
            <w:r w:rsidRPr="003B5EA4">
              <w:rPr>
                <w:i/>
                <w:sz w:val="16"/>
                <w:szCs w:val="16"/>
              </w:rPr>
              <w:t>de</w:t>
            </w:r>
            <w:r w:rsidR="00856015" w:rsidRPr="003B5EA4">
              <w:rPr>
                <w:i/>
                <w:sz w:val="16"/>
                <w:szCs w:val="16"/>
              </w:rPr>
              <w:br/>
            </w:r>
            <w:r w:rsidRPr="003B5EA4">
              <w:rPr>
                <w:i/>
                <w:sz w:val="16"/>
                <w:szCs w:val="16"/>
              </w:rPr>
              <w:t xml:space="preserve"> </w:t>
            </w:r>
            <w:r w:rsidRPr="003B5EA4">
              <w:rPr>
                <w:i/>
                <w:sz w:val="16"/>
                <w:szCs w:val="16"/>
                <w:lang w:eastAsia="zh-CN"/>
              </w:rPr>
              <w:t>voyages</w:t>
            </w:r>
          </w:p>
        </w:tc>
        <w:tc>
          <w:tcPr>
            <w:tcW w:w="1134" w:type="dxa"/>
            <w:tcBorders>
              <w:top w:val="single" w:sz="4" w:space="0" w:color="auto"/>
              <w:bottom w:val="single" w:sz="12" w:space="0" w:color="auto"/>
              <w:right w:val="single" w:sz="24" w:space="0" w:color="FFFFFF" w:themeColor="background1"/>
            </w:tcBorders>
            <w:shd w:val="clear" w:color="auto" w:fill="FFFFFF" w:themeFill="background1"/>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 xml:space="preserve">Coût </w:t>
            </w:r>
            <w:r w:rsidRPr="003B5EA4">
              <w:rPr>
                <w:i/>
                <w:sz w:val="16"/>
                <w:szCs w:val="16"/>
                <w:lang w:eastAsia="zh-CN"/>
              </w:rPr>
              <w:t>supplémen</w:t>
            </w:r>
            <w:r w:rsidRPr="003B5EA4">
              <w:rPr>
                <w:i/>
                <w:sz w:val="16"/>
                <w:szCs w:val="16"/>
              </w:rPr>
              <w:t>taire (dollars É.-U.)</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rsidR="00AB5413" w:rsidRPr="003B5EA4" w:rsidRDefault="00AB5413" w:rsidP="00C35CD5">
            <w:pPr>
              <w:suppressAutoHyphens w:val="0"/>
              <w:spacing w:before="80" w:after="80" w:line="200" w:lineRule="exact"/>
              <w:jc w:val="right"/>
              <w:rPr>
                <w:i/>
                <w:sz w:val="16"/>
                <w:szCs w:val="16"/>
              </w:rPr>
            </w:pPr>
            <w:r w:rsidRPr="003B5EA4">
              <w:rPr>
                <w:i/>
                <w:sz w:val="16"/>
                <w:szCs w:val="16"/>
              </w:rPr>
              <w:t xml:space="preserve">Nombre </w:t>
            </w:r>
            <w:r w:rsidR="002B7B6B" w:rsidRPr="003B5EA4">
              <w:rPr>
                <w:i/>
                <w:sz w:val="16"/>
                <w:szCs w:val="16"/>
              </w:rPr>
              <w:br/>
            </w:r>
            <w:r w:rsidRPr="003B5EA4">
              <w:rPr>
                <w:i/>
                <w:sz w:val="16"/>
                <w:szCs w:val="16"/>
              </w:rPr>
              <w:t>de</w:t>
            </w:r>
            <w:r w:rsidR="00856015" w:rsidRPr="003B5EA4">
              <w:rPr>
                <w:i/>
                <w:sz w:val="16"/>
                <w:szCs w:val="16"/>
              </w:rPr>
              <w:br/>
            </w:r>
            <w:r w:rsidRPr="003B5EA4">
              <w:rPr>
                <w:i/>
                <w:sz w:val="16"/>
                <w:szCs w:val="16"/>
              </w:rPr>
              <w:t>voyages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Coût supplémentaire (dollars É</w:t>
            </w:r>
            <w:r w:rsidRPr="003B5EA4">
              <w:rPr>
                <w:i/>
                <w:sz w:val="16"/>
                <w:szCs w:val="16"/>
                <w:lang w:eastAsia="zh-CN"/>
              </w:rPr>
              <w:t>.-</w:t>
            </w:r>
            <w:r w:rsidRPr="003B5EA4">
              <w:rPr>
                <w:i/>
                <w:sz w:val="16"/>
                <w:szCs w:val="16"/>
              </w:rPr>
              <w:t>U.)</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 xml:space="preserve">Nombre </w:t>
            </w:r>
            <w:r w:rsidR="00856015" w:rsidRPr="003B5EA4">
              <w:rPr>
                <w:i/>
                <w:sz w:val="16"/>
                <w:szCs w:val="16"/>
              </w:rPr>
              <w:br/>
            </w:r>
            <w:r w:rsidRPr="003B5EA4">
              <w:rPr>
                <w:i/>
                <w:sz w:val="16"/>
                <w:szCs w:val="16"/>
              </w:rPr>
              <w:t>de</w:t>
            </w:r>
            <w:r w:rsidR="00856015" w:rsidRPr="003B5EA4">
              <w:rPr>
                <w:i/>
                <w:sz w:val="16"/>
                <w:szCs w:val="16"/>
              </w:rPr>
              <w:br/>
            </w:r>
            <w:r w:rsidRPr="003B5EA4">
              <w:rPr>
                <w:i/>
                <w:sz w:val="16"/>
                <w:szCs w:val="16"/>
              </w:rPr>
              <w:t xml:space="preserve"> </w:t>
            </w:r>
            <w:r w:rsidRPr="003B5EA4">
              <w:rPr>
                <w:i/>
                <w:sz w:val="16"/>
                <w:szCs w:val="16"/>
                <w:lang w:eastAsia="zh-CN"/>
              </w:rPr>
              <w:t>voyages</w:t>
            </w:r>
          </w:p>
        </w:tc>
        <w:tc>
          <w:tcPr>
            <w:tcW w:w="1134" w:type="dxa"/>
            <w:tcBorders>
              <w:top w:val="single" w:sz="4" w:space="0" w:color="auto"/>
              <w:bottom w:val="single" w:sz="12" w:space="0" w:color="auto"/>
              <w:right w:val="single" w:sz="24" w:space="0" w:color="FFFFFF" w:themeColor="background1"/>
            </w:tcBorders>
            <w:shd w:val="clear" w:color="auto" w:fill="auto"/>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Coût supplémentaire (dollars É.-U.)</w:t>
            </w:r>
          </w:p>
        </w:tc>
        <w:tc>
          <w:tcPr>
            <w:tcW w:w="709" w:type="dxa"/>
            <w:tcBorders>
              <w:top w:val="single" w:sz="4" w:space="0" w:color="auto"/>
              <w:left w:val="single" w:sz="24" w:space="0" w:color="FFFFFF" w:themeColor="background1"/>
              <w:bottom w:val="single" w:sz="12" w:space="0" w:color="auto"/>
            </w:tcBorders>
            <w:shd w:val="clear" w:color="auto" w:fill="auto"/>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Nombre</w:t>
            </w:r>
            <w:r w:rsidR="00856015" w:rsidRPr="003B5EA4">
              <w:rPr>
                <w:i/>
                <w:sz w:val="16"/>
                <w:szCs w:val="16"/>
              </w:rPr>
              <w:br/>
            </w:r>
            <w:r w:rsidRPr="003B5EA4">
              <w:rPr>
                <w:i/>
                <w:sz w:val="16"/>
                <w:szCs w:val="16"/>
              </w:rPr>
              <w:t xml:space="preserve"> de </w:t>
            </w:r>
            <w:r w:rsidRPr="003B5EA4">
              <w:rPr>
                <w:i/>
                <w:sz w:val="16"/>
                <w:szCs w:val="16"/>
                <w:lang w:eastAsia="zh-CN"/>
              </w:rPr>
              <w:t>voyages</w:t>
            </w:r>
          </w:p>
        </w:tc>
        <w:tc>
          <w:tcPr>
            <w:tcW w:w="1134" w:type="dxa"/>
            <w:tcBorders>
              <w:top w:val="single" w:sz="4" w:space="0" w:color="auto"/>
              <w:bottom w:val="single" w:sz="12" w:space="0" w:color="auto"/>
            </w:tcBorders>
            <w:shd w:val="clear" w:color="auto" w:fill="auto"/>
            <w:vAlign w:val="bottom"/>
          </w:tcPr>
          <w:p w:rsidR="00AB5413" w:rsidRPr="003B5EA4" w:rsidRDefault="00AB5413" w:rsidP="006F62E2">
            <w:pPr>
              <w:suppressAutoHyphens w:val="0"/>
              <w:spacing w:before="80" w:after="80" w:line="200" w:lineRule="exact"/>
              <w:jc w:val="right"/>
              <w:rPr>
                <w:i/>
                <w:sz w:val="16"/>
                <w:szCs w:val="16"/>
              </w:rPr>
            </w:pPr>
            <w:r w:rsidRPr="003B5EA4">
              <w:rPr>
                <w:i/>
                <w:sz w:val="16"/>
                <w:szCs w:val="16"/>
              </w:rPr>
              <w:t>Coût supplémentaire (</w:t>
            </w:r>
            <w:r w:rsidRPr="003B5EA4">
              <w:rPr>
                <w:i/>
                <w:sz w:val="16"/>
                <w:szCs w:val="16"/>
                <w:lang w:eastAsia="zh-CN"/>
              </w:rPr>
              <w:t>dollars</w:t>
            </w:r>
            <w:r w:rsidRPr="003B5EA4">
              <w:rPr>
                <w:i/>
                <w:sz w:val="16"/>
                <w:szCs w:val="16"/>
              </w:rPr>
              <w:t xml:space="preserve"> É.-U.)</w:t>
            </w:r>
          </w:p>
        </w:tc>
        <w:tc>
          <w:tcPr>
            <w:tcW w:w="661" w:type="dxa"/>
            <w:vMerge/>
            <w:tcBorders>
              <w:top w:val="single" w:sz="12" w:space="0" w:color="auto"/>
              <w:bottom w:val="single" w:sz="12" w:space="0" w:color="auto"/>
            </w:tcBorders>
            <w:shd w:val="clear" w:color="auto" w:fill="auto"/>
            <w:vAlign w:val="bottom"/>
          </w:tcPr>
          <w:p w:rsidR="00AB5413" w:rsidRPr="003B5EA4" w:rsidRDefault="00AB5413" w:rsidP="006F62E2">
            <w:pPr>
              <w:suppressAutoHyphens w:val="0"/>
              <w:spacing w:before="40" w:after="40" w:line="220" w:lineRule="exact"/>
              <w:jc w:val="right"/>
              <w:rPr>
                <w:sz w:val="16"/>
                <w:szCs w:val="16"/>
              </w:rPr>
            </w:pPr>
          </w:p>
        </w:tc>
        <w:tc>
          <w:tcPr>
            <w:tcW w:w="1060" w:type="dxa"/>
            <w:vMerge/>
            <w:tcBorders>
              <w:top w:val="single" w:sz="12" w:space="0" w:color="auto"/>
              <w:bottom w:val="single" w:sz="12" w:space="0" w:color="auto"/>
            </w:tcBorders>
            <w:shd w:val="clear" w:color="auto" w:fill="auto"/>
            <w:vAlign w:val="bottom"/>
          </w:tcPr>
          <w:p w:rsidR="00AB5413" w:rsidRPr="003B5EA4" w:rsidRDefault="00AB5413" w:rsidP="006F62E2">
            <w:pPr>
              <w:suppressAutoHyphens w:val="0"/>
              <w:spacing w:before="40" w:after="40" w:line="220" w:lineRule="exact"/>
              <w:jc w:val="right"/>
              <w:rPr>
                <w:sz w:val="16"/>
                <w:szCs w:val="16"/>
              </w:rPr>
            </w:pPr>
          </w:p>
        </w:tc>
      </w:tr>
      <w:tr w:rsidR="006F62E2" w:rsidRPr="003B5EA4" w:rsidTr="002B7B6B">
        <w:tc>
          <w:tcPr>
            <w:tcW w:w="2841" w:type="dxa"/>
            <w:tcBorders>
              <w:top w:val="single" w:sz="12" w:space="0" w:color="auto"/>
            </w:tcBorders>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Raisons médicales</w:t>
            </w:r>
          </w:p>
        </w:tc>
        <w:tc>
          <w:tcPr>
            <w:tcW w:w="709"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61</w:t>
            </w:r>
          </w:p>
        </w:tc>
        <w:tc>
          <w:tcPr>
            <w:tcW w:w="1134"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118 378</w:t>
            </w:r>
          </w:p>
        </w:tc>
        <w:tc>
          <w:tcPr>
            <w:tcW w:w="708"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98</w:t>
            </w:r>
          </w:p>
        </w:tc>
        <w:tc>
          <w:tcPr>
            <w:tcW w:w="1134"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191 284</w:t>
            </w:r>
          </w:p>
        </w:tc>
        <w:tc>
          <w:tcPr>
            <w:tcW w:w="709"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136</w:t>
            </w:r>
          </w:p>
        </w:tc>
        <w:tc>
          <w:tcPr>
            <w:tcW w:w="1134"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264 959</w:t>
            </w:r>
          </w:p>
        </w:tc>
        <w:tc>
          <w:tcPr>
            <w:tcW w:w="709"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113</w:t>
            </w:r>
          </w:p>
        </w:tc>
        <w:tc>
          <w:tcPr>
            <w:tcW w:w="1134"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406 049</w:t>
            </w:r>
          </w:p>
        </w:tc>
        <w:tc>
          <w:tcPr>
            <w:tcW w:w="709"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106</w:t>
            </w:r>
          </w:p>
        </w:tc>
        <w:tc>
          <w:tcPr>
            <w:tcW w:w="1134"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239 447</w:t>
            </w:r>
          </w:p>
        </w:tc>
        <w:tc>
          <w:tcPr>
            <w:tcW w:w="661"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514</w:t>
            </w:r>
          </w:p>
        </w:tc>
        <w:tc>
          <w:tcPr>
            <w:tcW w:w="1060" w:type="dxa"/>
            <w:tcBorders>
              <w:top w:val="single" w:sz="12" w:space="0" w:color="auto"/>
            </w:tcBorders>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1 220 117</w:t>
            </w:r>
          </w:p>
        </w:tc>
      </w:tr>
      <w:tr w:rsidR="006F62E2" w:rsidRPr="003B5EA4" w:rsidTr="006F62E2">
        <w:tc>
          <w:tcPr>
            <w:tcW w:w="2841" w:type="dxa"/>
            <w:shd w:val="clear" w:color="auto" w:fill="auto"/>
          </w:tcPr>
          <w:p w:rsidR="00EA1656" w:rsidRPr="003B5EA4" w:rsidRDefault="00EA1656" w:rsidP="00B537E0">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+61 %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+62 %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+39 %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+39 %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-17 %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+53 %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-41 %</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r>
      <w:tr w:rsidR="006F62E2" w:rsidRPr="003B5EA4" w:rsidTr="006F62E2">
        <w:tc>
          <w:tcPr>
            <w:tcW w:w="2841" w:type="dxa"/>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Avion complet dans la classe normalement prévue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15</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7 974</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21</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5 894</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56</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35 002</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28</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19 342</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16</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11 897</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136</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80 109</w:t>
            </w:r>
          </w:p>
        </w:tc>
      </w:tr>
      <w:tr w:rsidR="006F62E2" w:rsidRPr="003B5EA4" w:rsidTr="006F62E2">
        <w:tc>
          <w:tcPr>
            <w:tcW w:w="2841" w:type="dxa"/>
            <w:shd w:val="clear" w:color="auto" w:fill="auto"/>
          </w:tcPr>
          <w:p w:rsidR="00EA1656" w:rsidRPr="003B5EA4" w:rsidRDefault="00EA1656" w:rsidP="00B537E0">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-26 %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+167 %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+494 %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-45 %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-43 %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-38 %</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r>
      <w:tr w:rsidR="006F62E2" w:rsidRPr="003B5EA4" w:rsidTr="006F62E2">
        <w:tc>
          <w:tcPr>
            <w:tcW w:w="2841" w:type="dxa"/>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Haute personnalité</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43</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81 527</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57</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69 009</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72</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108 794</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30</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63 366</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81</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178 097</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283</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500 793</w:t>
            </w:r>
          </w:p>
        </w:tc>
      </w:tr>
      <w:tr w:rsidR="006F62E2" w:rsidRPr="003B5EA4" w:rsidTr="006F62E2">
        <w:tc>
          <w:tcPr>
            <w:tcW w:w="2841" w:type="dxa"/>
            <w:shd w:val="clear" w:color="auto" w:fill="auto"/>
          </w:tcPr>
          <w:p w:rsidR="00EA1656" w:rsidRPr="003B5EA4" w:rsidRDefault="00EA1656" w:rsidP="00B537E0">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+33 %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-15 %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+26 %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+58 %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-58 %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-42 %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+170 %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+181 %</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r>
      <w:tr w:rsidR="006F62E2" w:rsidRPr="003B5EA4" w:rsidTr="006F62E2">
        <w:tc>
          <w:tcPr>
            <w:tcW w:w="2841" w:type="dxa"/>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Personnalité éminente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44</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73 377</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58</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97 797</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153</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280 258</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459</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1 238 105</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973</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2 618 814</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1 687</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4 308 351</w:t>
            </w:r>
          </w:p>
        </w:tc>
      </w:tr>
      <w:tr w:rsidR="006F62E2" w:rsidRPr="003B5EA4" w:rsidTr="006F62E2">
        <w:tc>
          <w:tcPr>
            <w:tcW w:w="2841" w:type="dxa"/>
            <w:shd w:val="clear" w:color="auto" w:fill="auto"/>
          </w:tcPr>
          <w:p w:rsidR="00EA1656" w:rsidRPr="003B5EA4" w:rsidRDefault="00EA1656" w:rsidP="00B537E0">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+32 %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+33 %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+164 %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+187 %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+200 %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+342 %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+113 %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+112 %</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r>
      <w:tr w:rsidR="006F62E2" w:rsidRPr="003B5EA4" w:rsidTr="006F62E2">
        <w:tc>
          <w:tcPr>
            <w:tcW w:w="2841" w:type="dxa"/>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Voyage particulièrement fatiguant</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750</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9 488</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4 571</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20</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69 729</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24</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85 430</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52</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169 968</w:t>
            </w:r>
          </w:p>
        </w:tc>
      </w:tr>
      <w:tr w:rsidR="006F62E2" w:rsidRPr="003B5EA4" w:rsidTr="006F62E2">
        <w:tc>
          <w:tcPr>
            <w:tcW w:w="2841" w:type="dxa"/>
            <w:shd w:val="clear" w:color="auto" w:fill="auto"/>
          </w:tcPr>
          <w:p w:rsidR="00EA1656" w:rsidRPr="003B5EA4" w:rsidRDefault="00EA1656" w:rsidP="00B537E0">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+300 %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+1 165 %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-25 %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-52 %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+567 %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+1 425 %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+23 %</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r>
      <w:tr w:rsidR="006F62E2" w:rsidRPr="003B5EA4" w:rsidTr="006F62E2">
        <w:tc>
          <w:tcPr>
            <w:tcW w:w="2841" w:type="dxa"/>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 xml:space="preserve">Voyages autorisés par le Président </w:t>
            </w:r>
            <w:r w:rsidR="00B708AC" w:rsidRPr="003B5EA4">
              <w:rPr>
                <w:sz w:val="18"/>
                <w:szCs w:val="16"/>
              </w:rPr>
              <w:br/>
            </w:r>
            <w:r w:rsidRPr="003B5EA4">
              <w:rPr>
                <w:sz w:val="18"/>
                <w:szCs w:val="16"/>
              </w:rPr>
              <w:t>de l</w:t>
            </w:r>
            <w:r w:rsidR="00762E0A">
              <w:rPr>
                <w:sz w:val="18"/>
                <w:szCs w:val="16"/>
              </w:rPr>
              <w:t>’</w:t>
            </w:r>
            <w:r w:rsidRPr="003B5EA4">
              <w:rPr>
                <w:sz w:val="18"/>
                <w:szCs w:val="16"/>
              </w:rPr>
              <w:t>Assemblée générale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21 466</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2 759</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26 223</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31 983</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3 534</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18</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85 965</w:t>
            </w:r>
          </w:p>
        </w:tc>
      </w:tr>
      <w:tr w:rsidR="006F62E2" w:rsidRPr="003B5EA4" w:rsidTr="006F62E2">
        <w:tc>
          <w:tcPr>
            <w:tcW w:w="2841" w:type="dxa"/>
            <w:shd w:val="clear" w:color="auto" w:fill="auto"/>
          </w:tcPr>
          <w:p w:rsidR="00EA1656" w:rsidRPr="003B5EA4" w:rsidRDefault="00EA1656" w:rsidP="00B537E0">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-67 %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-87 %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+150 %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+850 %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+22 %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-75 %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-89 %</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r>
      <w:tr w:rsidR="006F62E2" w:rsidRPr="003B5EA4" w:rsidTr="006F62E2">
        <w:tc>
          <w:tcPr>
            <w:tcW w:w="2841" w:type="dxa"/>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Sécurité</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56</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172 499</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73</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325 753</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94</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478 499</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93</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472 914</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93</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530 565</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409</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bCs/>
                <w:sz w:val="18"/>
                <w:szCs w:val="16"/>
              </w:rPr>
              <w:t>1 980 230</w:t>
            </w:r>
          </w:p>
        </w:tc>
      </w:tr>
      <w:tr w:rsidR="006F62E2" w:rsidRPr="003B5EA4" w:rsidTr="006F62E2">
        <w:tc>
          <w:tcPr>
            <w:tcW w:w="2841" w:type="dxa"/>
            <w:shd w:val="clear" w:color="auto" w:fill="auto"/>
          </w:tcPr>
          <w:p w:rsidR="00EA1656" w:rsidRPr="003B5EA4" w:rsidRDefault="00EA1656" w:rsidP="00B537E0">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+30 %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+89 %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+29 %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+47 %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-1 %</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0 %</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+12 %</w:t>
            </w:r>
          </w:p>
        </w:tc>
        <w:tc>
          <w:tcPr>
            <w:tcW w:w="661"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bCs/>
                <w:sz w:val="18"/>
                <w:szCs w:val="16"/>
              </w:rPr>
            </w:pPr>
            <w:r w:rsidRPr="003B5EA4">
              <w:rPr>
                <w:sz w:val="18"/>
                <w:szCs w:val="16"/>
              </w:rPr>
              <w:t>-</w:t>
            </w:r>
          </w:p>
        </w:tc>
      </w:tr>
      <w:tr w:rsidR="006F62E2" w:rsidRPr="003B5EA4" w:rsidTr="006F62E2">
        <w:tc>
          <w:tcPr>
            <w:tcW w:w="2841" w:type="dxa"/>
            <w:shd w:val="clear" w:color="auto" w:fill="auto"/>
          </w:tcPr>
          <w:p w:rsidR="00EA1656" w:rsidRPr="003B5EA4" w:rsidRDefault="00EA1656" w:rsidP="006F62E2">
            <w:pPr>
              <w:suppressAutoHyphens w:val="0"/>
              <w:spacing w:before="40" w:after="40" w:line="220" w:lineRule="exact"/>
              <w:rPr>
                <w:sz w:val="18"/>
                <w:szCs w:val="16"/>
              </w:rPr>
            </w:pPr>
            <w:r w:rsidRPr="003B5EA4">
              <w:rPr>
                <w:sz w:val="18"/>
                <w:szCs w:val="16"/>
              </w:rPr>
              <w:t>Vice-Secrétaire général</w:t>
            </w:r>
            <w:r w:rsidRPr="003B5EA4">
              <w:rPr>
                <w:i/>
                <w:sz w:val="18"/>
                <w:szCs w:val="18"/>
                <w:vertAlign w:val="superscript"/>
              </w:rPr>
              <w:t>a</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17</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61 683</w:t>
            </w:r>
          </w:p>
        </w:tc>
        <w:tc>
          <w:tcPr>
            <w:tcW w:w="708"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21</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139 936</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10</w:t>
            </w: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70 628</w:t>
            </w: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p>
        </w:tc>
        <w:tc>
          <w:tcPr>
            <w:tcW w:w="709"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p>
        </w:tc>
        <w:tc>
          <w:tcPr>
            <w:tcW w:w="1134"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p>
        </w:tc>
        <w:tc>
          <w:tcPr>
            <w:tcW w:w="661"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48</w:t>
            </w:r>
          </w:p>
        </w:tc>
        <w:tc>
          <w:tcPr>
            <w:tcW w:w="1060" w:type="dxa"/>
            <w:shd w:val="clear" w:color="auto" w:fill="auto"/>
            <w:vAlign w:val="bottom"/>
          </w:tcPr>
          <w:p w:rsidR="00EA1656" w:rsidRPr="003B5EA4" w:rsidRDefault="00EA1656" w:rsidP="006F62E2">
            <w:pPr>
              <w:suppressAutoHyphens w:val="0"/>
              <w:spacing w:before="40" w:after="40" w:line="220" w:lineRule="exact"/>
              <w:jc w:val="right"/>
              <w:rPr>
                <w:sz w:val="18"/>
                <w:szCs w:val="16"/>
              </w:rPr>
            </w:pPr>
            <w:r w:rsidRPr="003B5EA4">
              <w:rPr>
                <w:sz w:val="18"/>
                <w:szCs w:val="16"/>
              </w:rPr>
              <w:t>272 247</w:t>
            </w:r>
          </w:p>
        </w:tc>
      </w:tr>
      <w:tr w:rsidR="00D90DA6" w:rsidRPr="003B5EA4" w:rsidTr="006F62E2">
        <w:tc>
          <w:tcPr>
            <w:tcW w:w="2841" w:type="dxa"/>
            <w:shd w:val="clear" w:color="auto" w:fill="auto"/>
          </w:tcPr>
          <w:p w:rsidR="00D90DA6" w:rsidRPr="003B5EA4" w:rsidRDefault="00D90DA6" w:rsidP="00D90DA6">
            <w:pPr>
              <w:suppressAutoHyphens w:val="0"/>
              <w:spacing w:before="40" w:after="40" w:line="220" w:lineRule="exact"/>
              <w:ind w:left="284"/>
              <w:rPr>
                <w:sz w:val="18"/>
                <w:szCs w:val="16"/>
              </w:rPr>
            </w:pPr>
            <w:r w:rsidRPr="003B5EA4">
              <w:rPr>
                <w:sz w:val="18"/>
                <w:szCs w:val="16"/>
              </w:rPr>
              <w:t>Variation en pourcentage</w:t>
            </w:r>
          </w:p>
        </w:tc>
        <w:tc>
          <w:tcPr>
            <w:tcW w:w="709" w:type="dxa"/>
            <w:shd w:val="clear" w:color="auto" w:fill="auto"/>
            <w:vAlign w:val="bottom"/>
          </w:tcPr>
          <w:p w:rsidR="00D90DA6" w:rsidRPr="000A4F7E" w:rsidDel="00C70BFC" w:rsidRDefault="00D90DA6" w:rsidP="00FD347F">
            <w:pPr>
              <w:suppressAutoHyphens w:val="0"/>
              <w:spacing w:before="40" w:after="40" w:line="220" w:lineRule="exact"/>
              <w:jc w:val="right"/>
              <w:rPr>
                <w:sz w:val="18"/>
                <w:lang w:val="es-ES"/>
              </w:rPr>
            </w:pPr>
            <w:r w:rsidRPr="000A4F7E">
              <w:rPr>
                <w:sz w:val="18"/>
                <w:lang w:val="es-ES"/>
              </w:rPr>
              <w:t>-</w:t>
            </w:r>
          </w:p>
        </w:tc>
        <w:tc>
          <w:tcPr>
            <w:tcW w:w="1134" w:type="dxa"/>
            <w:shd w:val="clear" w:color="auto" w:fill="auto"/>
            <w:vAlign w:val="bottom"/>
          </w:tcPr>
          <w:p w:rsidR="00D90DA6" w:rsidRPr="000A4F7E" w:rsidDel="00C70BFC" w:rsidRDefault="00D90DA6" w:rsidP="00FD347F">
            <w:pPr>
              <w:suppressAutoHyphens w:val="0"/>
              <w:spacing w:before="40" w:after="40" w:line="220" w:lineRule="exact"/>
              <w:jc w:val="right"/>
              <w:rPr>
                <w:sz w:val="18"/>
                <w:lang w:val="es-ES"/>
              </w:rPr>
            </w:pPr>
            <w:r w:rsidRPr="000A4F7E">
              <w:rPr>
                <w:sz w:val="18"/>
                <w:lang w:val="es-ES"/>
              </w:rPr>
              <w:t>-</w:t>
            </w:r>
          </w:p>
        </w:tc>
        <w:tc>
          <w:tcPr>
            <w:tcW w:w="708" w:type="dxa"/>
            <w:shd w:val="clear" w:color="auto" w:fill="auto"/>
            <w:vAlign w:val="bottom"/>
          </w:tcPr>
          <w:p w:rsidR="00D90DA6" w:rsidRPr="000A4F7E" w:rsidDel="00AF60BE" w:rsidRDefault="00D90DA6" w:rsidP="00FD347F">
            <w:pPr>
              <w:suppressAutoHyphens w:val="0"/>
              <w:spacing w:before="40" w:after="40" w:line="220" w:lineRule="exact"/>
              <w:jc w:val="right"/>
              <w:rPr>
                <w:sz w:val="18"/>
                <w:lang w:val="es-ES"/>
              </w:rPr>
            </w:pPr>
            <w:r w:rsidRPr="000A4F7E">
              <w:rPr>
                <w:sz w:val="18"/>
                <w:lang w:val="es-ES"/>
              </w:rPr>
              <w:t>+24%</w:t>
            </w:r>
          </w:p>
        </w:tc>
        <w:tc>
          <w:tcPr>
            <w:tcW w:w="1134" w:type="dxa"/>
            <w:shd w:val="clear" w:color="auto" w:fill="auto"/>
            <w:vAlign w:val="bottom"/>
          </w:tcPr>
          <w:p w:rsidR="00D90DA6" w:rsidRPr="000A4F7E" w:rsidDel="00AF60BE" w:rsidRDefault="00D90DA6" w:rsidP="00FD347F">
            <w:pPr>
              <w:suppressAutoHyphens w:val="0"/>
              <w:spacing w:before="40" w:after="40" w:line="220" w:lineRule="exact"/>
              <w:jc w:val="right"/>
              <w:rPr>
                <w:sz w:val="18"/>
                <w:lang w:val="es-ES"/>
              </w:rPr>
            </w:pPr>
            <w:r w:rsidRPr="000A4F7E">
              <w:rPr>
                <w:sz w:val="18"/>
                <w:lang w:val="es-ES"/>
              </w:rPr>
              <w:t>+127%</w:t>
            </w:r>
          </w:p>
        </w:tc>
        <w:tc>
          <w:tcPr>
            <w:tcW w:w="709" w:type="dxa"/>
            <w:shd w:val="clear" w:color="auto" w:fill="auto"/>
            <w:vAlign w:val="bottom"/>
          </w:tcPr>
          <w:p w:rsidR="00D90DA6" w:rsidRPr="000A4F7E" w:rsidRDefault="00D90DA6" w:rsidP="00FD347F">
            <w:pPr>
              <w:suppressAutoHyphens w:val="0"/>
              <w:spacing w:before="40" w:after="40" w:line="220" w:lineRule="exact"/>
              <w:jc w:val="right"/>
              <w:rPr>
                <w:sz w:val="18"/>
                <w:lang w:val="es-ES"/>
              </w:rPr>
            </w:pPr>
            <w:r w:rsidRPr="000A4F7E">
              <w:rPr>
                <w:sz w:val="18"/>
                <w:lang w:val="es-ES"/>
              </w:rPr>
              <w:t>-52%</w:t>
            </w:r>
          </w:p>
        </w:tc>
        <w:tc>
          <w:tcPr>
            <w:tcW w:w="1134" w:type="dxa"/>
            <w:shd w:val="clear" w:color="auto" w:fill="auto"/>
            <w:vAlign w:val="bottom"/>
          </w:tcPr>
          <w:p w:rsidR="00D90DA6" w:rsidRPr="000A4F7E" w:rsidDel="00C70BFC" w:rsidRDefault="00D90DA6" w:rsidP="00FD347F">
            <w:pPr>
              <w:suppressAutoHyphens w:val="0"/>
              <w:spacing w:before="40" w:after="40" w:line="220" w:lineRule="exact"/>
              <w:jc w:val="right"/>
              <w:rPr>
                <w:sz w:val="18"/>
                <w:lang w:val="es-ES"/>
              </w:rPr>
            </w:pPr>
            <w:r w:rsidRPr="000A4F7E">
              <w:rPr>
                <w:sz w:val="18"/>
                <w:lang w:val="es-ES"/>
              </w:rPr>
              <w:t>-50%</w:t>
            </w:r>
          </w:p>
        </w:tc>
        <w:tc>
          <w:tcPr>
            <w:tcW w:w="709" w:type="dxa"/>
            <w:shd w:val="clear" w:color="auto" w:fill="auto"/>
            <w:vAlign w:val="bottom"/>
          </w:tcPr>
          <w:p w:rsidR="00D90DA6" w:rsidRPr="000A4F7E" w:rsidRDefault="00D90DA6" w:rsidP="00FD347F">
            <w:pPr>
              <w:suppressAutoHyphens w:val="0"/>
              <w:spacing w:before="40" w:after="40" w:line="220" w:lineRule="exact"/>
              <w:jc w:val="right"/>
              <w:rPr>
                <w:sz w:val="18"/>
                <w:lang w:val="es-ES"/>
              </w:rPr>
            </w:pPr>
          </w:p>
        </w:tc>
        <w:tc>
          <w:tcPr>
            <w:tcW w:w="1134" w:type="dxa"/>
            <w:shd w:val="clear" w:color="auto" w:fill="auto"/>
            <w:vAlign w:val="bottom"/>
          </w:tcPr>
          <w:p w:rsidR="00D90DA6" w:rsidRPr="000A4F7E" w:rsidRDefault="00D90DA6" w:rsidP="00FD347F">
            <w:pPr>
              <w:suppressAutoHyphens w:val="0"/>
              <w:spacing w:before="40" w:after="40" w:line="220" w:lineRule="exact"/>
              <w:jc w:val="right"/>
              <w:rPr>
                <w:sz w:val="18"/>
                <w:lang w:val="es-ES"/>
              </w:rPr>
            </w:pPr>
          </w:p>
        </w:tc>
        <w:tc>
          <w:tcPr>
            <w:tcW w:w="709" w:type="dxa"/>
            <w:shd w:val="clear" w:color="auto" w:fill="auto"/>
            <w:vAlign w:val="bottom"/>
          </w:tcPr>
          <w:p w:rsidR="00D90DA6" w:rsidRPr="000A4F7E" w:rsidDel="00C927C2" w:rsidRDefault="00D90DA6" w:rsidP="00FD347F">
            <w:pPr>
              <w:suppressAutoHyphens w:val="0"/>
              <w:spacing w:before="40" w:after="40" w:line="220" w:lineRule="exact"/>
              <w:jc w:val="right"/>
              <w:rPr>
                <w:sz w:val="18"/>
                <w:lang w:val="es-ES"/>
              </w:rPr>
            </w:pPr>
          </w:p>
        </w:tc>
        <w:tc>
          <w:tcPr>
            <w:tcW w:w="1134" w:type="dxa"/>
            <w:shd w:val="clear" w:color="auto" w:fill="auto"/>
            <w:vAlign w:val="bottom"/>
          </w:tcPr>
          <w:p w:rsidR="00D90DA6" w:rsidRPr="000A4F7E" w:rsidDel="00C927C2" w:rsidRDefault="00D90DA6" w:rsidP="00FD347F">
            <w:pPr>
              <w:suppressAutoHyphens w:val="0"/>
              <w:spacing w:before="40" w:after="40" w:line="220" w:lineRule="exact"/>
              <w:jc w:val="right"/>
              <w:rPr>
                <w:sz w:val="18"/>
                <w:lang w:val="es-ES"/>
              </w:rPr>
            </w:pPr>
          </w:p>
        </w:tc>
        <w:tc>
          <w:tcPr>
            <w:tcW w:w="661" w:type="dxa"/>
            <w:shd w:val="clear" w:color="auto" w:fill="auto"/>
            <w:vAlign w:val="bottom"/>
          </w:tcPr>
          <w:p w:rsidR="00D90DA6" w:rsidRPr="000A4F7E" w:rsidDel="00936D1C" w:rsidRDefault="00D90DA6" w:rsidP="00FD347F">
            <w:pPr>
              <w:suppressAutoHyphens w:val="0"/>
              <w:spacing w:before="40" w:after="40" w:line="220" w:lineRule="exact"/>
              <w:jc w:val="right"/>
              <w:rPr>
                <w:sz w:val="18"/>
                <w:lang w:val="es-ES"/>
              </w:rPr>
            </w:pPr>
          </w:p>
        </w:tc>
        <w:tc>
          <w:tcPr>
            <w:tcW w:w="1060" w:type="dxa"/>
            <w:shd w:val="clear" w:color="auto" w:fill="auto"/>
            <w:vAlign w:val="bottom"/>
          </w:tcPr>
          <w:p w:rsidR="00D90DA6" w:rsidRPr="000A4F7E" w:rsidDel="00361921" w:rsidRDefault="00D90DA6" w:rsidP="00FD347F">
            <w:pPr>
              <w:suppressAutoHyphens w:val="0"/>
              <w:spacing w:before="40" w:after="40" w:line="220" w:lineRule="exact"/>
              <w:jc w:val="right"/>
              <w:rPr>
                <w:sz w:val="18"/>
                <w:lang w:val="es-ES"/>
              </w:rPr>
            </w:pPr>
          </w:p>
        </w:tc>
      </w:tr>
      <w:tr w:rsidR="006F62E2" w:rsidRPr="003B5EA4" w:rsidTr="00C35CD5">
        <w:tc>
          <w:tcPr>
            <w:tcW w:w="2841" w:type="dxa"/>
            <w:tcBorders>
              <w:top w:val="single" w:sz="4" w:space="0" w:color="auto"/>
              <w:bottom w:val="single" w:sz="4" w:space="0" w:color="auto"/>
            </w:tcBorders>
            <w:shd w:val="clear" w:color="auto" w:fill="auto"/>
          </w:tcPr>
          <w:p w:rsidR="00EA1656" w:rsidRPr="003B5EA4" w:rsidRDefault="00EA1656" w:rsidP="006F62E2">
            <w:pPr>
              <w:suppressAutoHyphens w:val="0"/>
              <w:spacing w:before="80" w:after="80" w:line="220" w:lineRule="exact"/>
              <w:ind w:firstLine="284"/>
              <w:rPr>
                <w:b/>
                <w:sz w:val="18"/>
                <w:szCs w:val="16"/>
              </w:rPr>
            </w:pPr>
            <w:r w:rsidRPr="003B5EA4">
              <w:rPr>
                <w:b/>
                <w:sz w:val="18"/>
                <w:szCs w:val="16"/>
              </w:rPr>
              <w:t>Total</w:t>
            </w:r>
          </w:p>
        </w:tc>
        <w:tc>
          <w:tcPr>
            <w:tcW w:w="709"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243</w:t>
            </w:r>
          </w:p>
        </w:tc>
        <w:tc>
          <w:tcPr>
            <w:tcW w:w="1134"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537 654</w:t>
            </w:r>
          </w:p>
        </w:tc>
        <w:tc>
          <w:tcPr>
            <w:tcW w:w="708"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334</w:t>
            </w:r>
          </w:p>
        </w:tc>
        <w:tc>
          <w:tcPr>
            <w:tcW w:w="1134"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841 920</w:t>
            </w:r>
          </w:p>
        </w:tc>
        <w:tc>
          <w:tcPr>
            <w:tcW w:w="709"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529</w:t>
            </w:r>
          </w:p>
        </w:tc>
        <w:tc>
          <w:tcPr>
            <w:tcW w:w="1134"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1 268 934</w:t>
            </w:r>
          </w:p>
        </w:tc>
        <w:tc>
          <w:tcPr>
            <w:tcW w:w="709"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747</w:t>
            </w:r>
          </w:p>
        </w:tc>
        <w:tc>
          <w:tcPr>
            <w:tcW w:w="1134"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2 301 488</w:t>
            </w:r>
          </w:p>
        </w:tc>
        <w:tc>
          <w:tcPr>
            <w:tcW w:w="709"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1 294</w:t>
            </w:r>
          </w:p>
        </w:tc>
        <w:tc>
          <w:tcPr>
            <w:tcW w:w="1134"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sz w:val="18"/>
                <w:szCs w:val="16"/>
              </w:rPr>
            </w:pPr>
            <w:r w:rsidRPr="003B5EA4">
              <w:rPr>
                <w:b/>
                <w:sz w:val="18"/>
                <w:szCs w:val="16"/>
              </w:rPr>
              <w:t>3 667 784</w:t>
            </w:r>
          </w:p>
        </w:tc>
        <w:tc>
          <w:tcPr>
            <w:tcW w:w="661"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bCs/>
                <w:sz w:val="18"/>
                <w:szCs w:val="16"/>
              </w:rPr>
            </w:pPr>
            <w:r w:rsidRPr="003B5EA4">
              <w:rPr>
                <w:b/>
                <w:bCs/>
                <w:sz w:val="18"/>
                <w:szCs w:val="16"/>
              </w:rPr>
              <w:t>3 147</w:t>
            </w:r>
          </w:p>
        </w:tc>
        <w:tc>
          <w:tcPr>
            <w:tcW w:w="1060" w:type="dxa"/>
            <w:tcBorders>
              <w:top w:val="single" w:sz="4" w:space="0" w:color="auto"/>
              <w:bottom w:val="single" w:sz="4" w:space="0" w:color="auto"/>
            </w:tcBorders>
            <w:shd w:val="clear" w:color="auto" w:fill="auto"/>
            <w:vAlign w:val="bottom"/>
          </w:tcPr>
          <w:p w:rsidR="00EA1656" w:rsidRPr="003B5EA4" w:rsidRDefault="00EA1656" w:rsidP="006F62E2">
            <w:pPr>
              <w:suppressAutoHyphens w:val="0"/>
              <w:spacing w:before="80" w:after="80" w:line="220" w:lineRule="exact"/>
              <w:jc w:val="right"/>
              <w:rPr>
                <w:b/>
                <w:bCs/>
                <w:sz w:val="18"/>
                <w:szCs w:val="16"/>
              </w:rPr>
            </w:pPr>
            <w:r w:rsidRPr="003B5EA4">
              <w:rPr>
                <w:b/>
                <w:bCs/>
                <w:sz w:val="18"/>
                <w:szCs w:val="16"/>
              </w:rPr>
              <w:t>8 617 780</w:t>
            </w:r>
          </w:p>
        </w:tc>
      </w:tr>
      <w:tr w:rsidR="00FD347F" w:rsidRPr="003B5EA4" w:rsidTr="006F62E2">
        <w:tc>
          <w:tcPr>
            <w:tcW w:w="2841" w:type="dxa"/>
            <w:tcBorders>
              <w:top w:val="single" w:sz="4" w:space="0" w:color="auto"/>
              <w:bottom w:val="single" w:sz="12" w:space="0" w:color="auto"/>
            </w:tcBorders>
            <w:shd w:val="clear" w:color="auto" w:fill="auto"/>
          </w:tcPr>
          <w:p w:rsidR="00FD347F" w:rsidRPr="003B5EA4" w:rsidRDefault="00FD347F" w:rsidP="00FD347F">
            <w:pPr>
              <w:suppressAutoHyphens w:val="0"/>
              <w:spacing w:before="80" w:after="80" w:line="220" w:lineRule="exact"/>
              <w:ind w:firstLine="284"/>
              <w:rPr>
                <w:b/>
                <w:sz w:val="18"/>
                <w:szCs w:val="16"/>
              </w:rPr>
            </w:pPr>
            <w:r w:rsidRPr="003B5EA4">
              <w:rPr>
                <w:b/>
                <w:sz w:val="18"/>
                <w:szCs w:val="16"/>
              </w:rPr>
              <w:t>Variation en pourcentage</w:t>
            </w:r>
          </w:p>
        </w:tc>
        <w:tc>
          <w:tcPr>
            <w:tcW w:w="709"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w:t>
            </w:r>
          </w:p>
        </w:tc>
        <w:tc>
          <w:tcPr>
            <w:tcW w:w="1134"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w:t>
            </w:r>
          </w:p>
        </w:tc>
        <w:tc>
          <w:tcPr>
            <w:tcW w:w="708"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+37%</w:t>
            </w:r>
          </w:p>
        </w:tc>
        <w:tc>
          <w:tcPr>
            <w:tcW w:w="1134"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+57%</w:t>
            </w:r>
          </w:p>
        </w:tc>
        <w:tc>
          <w:tcPr>
            <w:tcW w:w="709"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+58%</w:t>
            </w:r>
          </w:p>
        </w:tc>
        <w:tc>
          <w:tcPr>
            <w:tcW w:w="1134"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+51%</w:t>
            </w:r>
          </w:p>
        </w:tc>
        <w:tc>
          <w:tcPr>
            <w:tcW w:w="709"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+41%</w:t>
            </w:r>
          </w:p>
        </w:tc>
        <w:tc>
          <w:tcPr>
            <w:tcW w:w="1134"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+81%</w:t>
            </w:r>
          </w:p>
        </w:tc>
        <w:tc>
          <w:tcPr>
            <w:tcW w:w="709"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+73%</w:t>
            </w:r>
          </w:p>
        </w:tc>
        <w:tc>
          <w:tcPr>
            <w:tcW w:w="1134"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+59%</w:t>
            </w:r>
          </w:p>
        </w:tc>
        <w:tc>
          <w:tcPr>
            <w:tcW w:w="661"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w:t>
            </w:r>
          </w:p>
        </w:tc>
        <w:tc>
          <w:tcPr>
            <w:tcW w:w="1060" w:type="dxa"/>
            <w:tcBorders>
              <w:top w:val="single" w:sz="4" w:space="0" w:color="auto"/>
              <w:bottom w:val="single" w:sz="12" w:space="0" w:color="auto"/>
            </w:tcBorders>
            <w:shd w:val="clear" w:color="auto" w:fill="auto"/>
            <w:vAlign w:val="bottom"/>
          </w:tcPr>
          <w:p w:rsidR="00FD347F" w:rsidRPr="000A4F7E" w:rsidRDefault="00FD347F" w:rsidP="00FD347F">
            <w:pPr>
              <w:suppressAutoHyphens w:val="0"/>
              <w:spacing w:before="80" w:after="80" w:line="220" w:lineRule="exact"/>
              <w:jc w:val="right"/>
              <w:rPr>
                <w:b/>
                <w:sz w:val="18"/>
                <w:lang w:val="es-ES"/>
              </w:rPr>
            </w:pPr>
            <w:r w:rsidRPr="000A4F7E">
              <w:rPr>
                <w:b/>
                <w:sz w:val="18"/>
                <w:lang w:val="es-ES"/>
              </w:rPr>
              <w:t>-</w:t>
            </w:r>
          </w:p>
        </w:tc>
      </w:tr>
    </w:tbl>
    <w:p w:rsidR="007D2A11" w:rsidRPr="003B5EA4" w:rsidRDefault="007D2A11" w:rsidP="000E69C5">
      <w:pPr>
        <w:pStyle w:val="SingleTxtG"/>
        <w:spacing w:before="120" w:after="0"/>
        <w:ind w:left="284" w:right="284" w:firstLine="170"/>
        <w:rPr>
          <w:sz w:val="18"/>
          <w:szCs w:val="18"/>
        </w:rPr>
      </w:pPr>
      <w:r w:rsidRPr="003B5EA4">
        <w:rPr>
          <w:i/>
          <w:sz w:val="18"/>
          <w:szCs w:val="18"/>
        </w:rPr>
        <w:t>Sources</w:t>
      </w:r>
      <w:r w:rsidRPr="003B5EA4">
        <w:rPr>
          <w:sz w:val="18"/>
          <w:szCs w:val="18"/>
        </w:rPr>
        <w:t> : A/63/524, A/65/348, A/67/356, A/69/643, A/71/741 et Corr.1. Du 1</w:t>
      </w:r>
      <w:r w:rsidRPr="003B5EA4">
        <w:rPr>
          <w:sz w:val="18"/>
          <w:szCs w:val="18"/>
          <w:vertAlign w:val="superscript"/>
        </w:rPr>
        <w:t>er</w:t>
      </w:r>
      <w:r w:rsidRPr="003B5EA4">
        <w:rPr>
          <w:sz w:val="18"/>
          <w:szCs w:val="18"/>
        </w:rPr>
        <w:t> juillet au 30 juin de chaque période biennale. Variations par rapport à la période biennale précédente.</w:t>
      </w:r>
    </w:p>
    <w:p w:rsidR="0070036B" w:rsidRPr="003B5EA4" w:rsidRDefault="007D2A11" w:rsidP="007D2A11">
      <w:pPr>
        <w:pStyle w:val="SingleTxtG"/>
        <w:ind w:left="284" w:firstLine="170"/>
        <w:rPr>
          <w:sz w:val="18"/>
          <w:szCs w:val="18"/>
        </w:rPr>
      </w:pPr>
      <w:r w:rsidRPr="003B5EA4">
        <w:rPr>
          <w:i/>
          <w:sz w:val="18"/>
          <w:szCs w:val="18"/>
          <w:vertAlign w:val="superscript"/>
        </w:rPr>
        <w:t>a</w:t>
      </w:r>
      <w:r w:rsidR="000E69C5" w:rsidRPr="003B5EA4">
        <w:rPr>
          <w:sz w:val="18"/>
          <w:szCs w:val="18"/>
        </w:rPr>
        <w:t xml:space="preserve">  </w:t>
      </w:r>
      <w:r w:rsidRPr="003B5EA4">
        <w:rPr>
          <w:sz w:val="18"/>
          <w:szCs w:val="18"/>
        </w:rPr>
        <w:t>Catégorie ne relevant plus des dérogations</w:t>
      </w:r>
      <w:r w:rsidR="000E69C5" w:rsidRPr="003B5EA4">
        <w:rPr>
          <w:sz w:val="18"/>
          <w:szCs w:val="18"/>
        </w:rPr>
        <w:t>.</w:t>
      </w:r>
    </w:p>
    <w:p w:rsidR="00821B03" w:rsidRPr="003B5EA4" w:rsidRDefault="00821B03" w:rsidP="007D2A11">
      <w:pPr>
        <w:pStyle w:val="SingleTxtG"/>
        <w:ind w:left="284" w:firstLine="170"/>
        <w:rPr>
          <w:sz w:val="18"/>
          <w:szCs w:val="18"/>
        </w:rPr>
      </w:pPr>
    </w:p>
    <w:p w:rsidR="0094122B" w:rsidRPr="003B5EA4" w:rsidRDefault="0094122B" w:rsidP="007D2A11">
      <w:pPr>
        <w:pStyle w:val="SingleTxtG"/>
        <w:ind w:left="284" w:firstLine="170"/>
        <w:rPr>
          <w:sz w:val="18"/>
          <w:szCs w:val="18"/>
        </w:rPr>
        <w:sectPr w:rsidR="0094122B" w:rsidRPr="003B5EA4" w:rsidSect="005E46A7">
          <w:headerReference w:type="even" r:id="rId30"/>
          <w:headerReference w:type="default" r:id="rId31"/>
          <w:footerReference w:type="even" r:id="rId32"/>
          <w:footerReference w:type="default" r:id="rId33"/>
          <w:endnotePr>
            <w:numFmt w:val="decimal"/>
          </w:endnotePr>
          <w:pgSz w:w="16838" w:h="11906" w:orient="landscape" w:code="9"/>
          <w:pgMar w:top="1134" w:right="1417" w:bottom="1134" w:left="1134" w:header="567" w:footer="567" w:gutter="0"/>
          <w:cols w:space="708"/>
          <w:docGrid w:linePitch="360"/>
        </w:sectPr>
      </w:pPr>
    </w:p>
    <w:p w:rsidR="0094122B" w:rsidRPr="003B5EA4" w:rsidRDefault="0094122B" w:rsidP="0094122B">
      <w:pPr>
        <w:pStyle w:val="HChG"/>
      </w:pPr>
      <w:r w:rsidRPr="003B5EA4">
        <w:lastRenderedPageBreak/>
        <w:tab/>
        <w:t>VI.</w:t>
      </w:r>
      <w:r w:rsidRPr="003B5EA4">
        <w:tab/>
        <w:t>Améliorer les politiques et pratiques de gestion des voyages en avion et renforcer la responsabilisation</w:t>
      </w:r>
    </w:p>
    <w:p w:rsidR="0094122B" w:rsidRPr="003B5EA4" w:rsidRDefault="0094122B" w:rsidP="004C7E04">
      <w:pPr>
        <w:pStyle w:val="H1G"/>
        <w:spacing w:before="320" w:after="200"/>
      </w:pPr>
      <w:r w:rsidRPr="003B5EA4">
        <w:tab/>
        <w:t>A.</w:t>
      </w:r>
      <w:r w:rsidRPr="003B5EA4">
        <w:tab/>
        <w:t>Contexte</w:t>
      </w:r>
    </w:p>
    <w:p w:rsidR="0094122B" w:rsidRPr="003B5EA4" w:rsidRDefault="0087427B" w:rsidP="0094122B">
      <w:pPr>
        <w:pStyle w:val="SingleTxtG"/>
        <w:rPr>
          <w:lang w:eastAsia="zh-CN"/>
        </w:rPr>
      </w:pPr>
      <w:r w:rsidRPr="003B5EA4">
        <w:t>91.</w:t>
      </w:r>
      <w:r w:rsidRPr="003B5EA4">
        <w:tab/>
      </w:r>
      <w:r w:rsidRPr="003B5EA4">
        <w:rPr>
          <w:lang w:eastAsia="zh-CN"/>
        </w:rPr>
        <w:t>En 2011, l</w:t>
      </w:r>
      <w:r w:rsidR="00762E0A">
        <w:rPr>
          <w:lang w:eastAsia="zh-CN"/>
        </w:rPr>
        <w:t>’</w:t>
      </w:r>
      <w:r w:rsidRPr="003B5EA4">
        <w:rPr>
          <w:lang w:eastAsia="zh-CN"/>
        </w:rPr>
        <w:t>Assemblée générale a renouvelé sa demande priant le Secrétaire général de prendre d</w:t>
      </w:r>
      <w:r w:rsidR="00762E0A">
        <w:rPr>
          <w:lang w:eastAsia="zh-CN"/>
        </w:rPr>
        <w:t>’</w:t>
      </w:r>
      <w:r w:rsidRPr="003B5EA4">
        <w:rPr>
          <w:lang w:eastAsia="zh-CN"/>
        </w:rPr>
        <w:t>urgence des dispositions pour améliorer la gestion des voyages en avion et de s</w:t>
      </w:r>
      <w:r w:rsidR="00762E0A">
        <w:rPr>
          <w:lang w:eastAsia="zh-CN"/>
        </w:rPr>
        <w:t>’</w:t>
      </w:r>
      <w:r w:rsidRPr="003B5EA4">
        <w:rPr>
          <w:lang w:eastAsia="zh-CN"/>
        </w:rPr>
        <w:t>employer à faire une utilisation plus efficace et rationnelle des ressources allouées en la matière</w:t>
      </w:r>
      <w:r w:rsidRPr="003B5EA4">
        <w:rPr>
          <w:rStyle w:val="Appelnotedebasdep"/>
        </w:rPr>
        <w:footnoteReference w:id="104"/>
      </w:r>
      <w:r w:rsidRPr="003B5EA4">
        <w:rPr>
          <w:lang w:eastAsia="zh-CN"/>
        </w:rPr>
        <w:t>. Les bases sont par conséquent clairement jetées pour que les voyages en avion soient inclus dans les réformes et processus d</w:t>
      </w:r>
      <w:r w:rsidR="00762E0A">
        <w:rPr>
          <w:lang w:eastAsia="zh-CN"/>
        </w:rPr>
        <w:t>’</w:t>
      </w:r>
      <w:r w:rsidRPr="003B5EA4">
        <w:rPr>
          <w:lang w:eastAsia="zh-CN"/>
        </w:rPr>
        <w:t>innovation organisationnels, notamment dans les dispositions prises pour renforcer, revitaliser et réorienter les cultures, moyens et systèmes de gestion, et renforcer les mécanismes appliqués en matière de d</w:t>
      </w:r>
      <w:r w:rsidR="00762E0A">
        <w:rPr>
          <w:lang w:eastAsia="zh-CN"/>
        </w:rPr>
        <w:t>’</w:t>
      </w:r>
      <w:r w:rsidRPr="003B5EA4">
        <w:rPr>
          <w:lang w:eastAsia="zh-CN"/>
        </w:rPr>
        <w:t>obligation redditionnelle et de contrôle</w:t>
      </w:r>
      <w:r w:rsidRPr="003B5EA4">
        <w:rPr>
          <w:rStyle w:val="Appelnotedebasdep"/>
        </w:rPr>
        <w:footnoteReference w:id="105"/>
      </w:r>
      <w:r w:rsidRPr="003B5EA4">
        <w:rPr>
          <w:lang w:eastAsia="zh-CN"/>
        </w:rPr>
        <w:t>.</w:t>
      </w:r>
    </w:p>
    <w:p w:rsidR="0087427B" w:rsidRPr="003B5EA4" w:rsidRDefault="0087427B" w:rsidP="0094122B">
      <w:pPr>
        <w:pStyle w:val="SingleTxtG"/>
      </w:pPr>
      <w:r w:rsidRPr="003B5EA4">
        <w:rPr>
          <w:lang w:eastAsia="zh-CN"/>
        </w:rPr>
        <w:t>92.</w:t>
      </w:r>
      <w:r w:rsidRPr="003B5EA4">
        <w:rPr>
          <w:lang w:eastAsia="zh-CN"/>
        </w:rPr>
        <w:tab/>
        <w:t>Le présent chapitre cerne les domaines et possibilités d</w:t>
      </w:r>
      <w:r w:rsidR="00762E0A">
        <w:rPr>
          <w:lang w:eastAsia="zh-CN"/>
        </w:rPr>
        <w:t>’</w:t>
      </w:r>
      <w:r w:rsidRPr="003B5EA4">
        <w:rPr>
          <w:lang w:eastAsia="zh-CN"/>
        </w:rPr>
        <w:t>amélioration de la gestion, des politiques et des pratiques régissant les voyages en avion, ainsi que les mesures qui peuvent être prises pour renforcer le cadre de responsabilisation de l</w:t>
      </w:r>
      <w:r w:rsidR="00762E0A">
        <w:rPr>
          <w:lang w:eastAsia="zh-CN"/>
        </w:rPr>
        <w:t>’</w:t>
      </w:r>
      <w:r w:rsidRPr="003B5EA4">
        <w:rPr>
          <w:lang w:eastAsia="zh-CN"/>
        </w:rPr>
        <w:t>administration de ces voyages, et les possibilités d</w:t>
      </w:r>
      <w:r w:rsidR="00762E0A">
        <w:rPr>
          <w:lang w:eastAsia="zh-CN"/>
        </w:rPr>
        <w:t>’</w:t>
      </w:r>
      <w:r w:rsidRPr="003B5EA4">
        <w:rPr>
          <w:lang w:eastAsia="zh-CN"/>
        </w:rPr>
        <w:t>exploiter plus efficacement les outils et services existants.</w:t>
      </w:r>
    </w:p>
    <w:p w:rsidR="0094122B" w:rsidRPr="003B5EA4" w:rsidRDefault="0087427B" w:rsidP="004C7E04">
      <w:pPr>
        <w:pStyle w:val="H1G"/>
        <w:spacing w:before="320" w:after="200"/>
        <w:rPr>
          <w:lang w:eastAsia="zh-CN"/>
        </w:rPr>
      </w:pPr>
      <w:r w:rsidRPr="003B5EA4">
        <w:tab/>
        <w:t>B.</w:t>
      </w:r>
      <w:r w:rsidRPr="003B5EA4">
        <w:tab/>
      </w:r>
      <w:r w:rsidRPr="003B5EA4">
        <w:rPr>
          <w:lang w:eastAsia="zh-CN"/>
        </w:rPr>
        <w:t>Amélioration des cadres juridiques existants</w:t>
      </w:r>
    </w:p>
    <w:p w:rsidR="0087427B" w:rsidRPr="003B5EA4" w:rsidRDefault="0087427B" w:rsidP="0087427B">
      <w:pPr>
        <w:pStyle w:val="SingleTxtG"/>
        <w:rPr>
          <w:lang w:eastAsia="zh-CN"/>
        </w:rPr>
      </w:pPr>
      <w:r w:rsidRPr="003B5EA4">
        <w:rPr>
          <w:lang w:eastAsia="zh-CN"/>
        </w:rPr>
        <w:t>93.</w:t>
      </w:r>
      <w:r w:rsidRPr="003B5EA4">
        <w:rPr>
          <w:lang w:eastAsia="zh-CN"/>
        </w:rPr>
        <w:tab/>
        <w:t>L</w:t>
      </w:r>
      <w:r w:rsidR="00762E0A">
        <w:rPr>
          <w:lang w:eastAsia="zh-CN"/>
        </w:rPr>
        <w:t>’</w:t>
      </w:r>
      <w:r w:rsidRPr="003B5EA4">
        <w:rPr>
          <w:lang w:eastAsia="zh-CN"/>
        </w:rPr>
        <w:t>existence de règles, politiques et procédures claires et complètes est essentielle pour la bonne gestion des voyages en avion. Une étude menée par un institut de recherche privé a conclu que lorsque les entreprises avaient à cœur de clarifier leurs politiques et de renforcer les mesures visant à ce qu</w:t>
      </w:r>
      <w:r w:rsidR="00762E0A">
        <w:rPr>
          <w:lang w:eastAsia="zh-CN"/>
        </w:rPr>
        <w:t>’</w:t>
      </w:r>
      <w:r w:rsidRPr="003B5EA4">
        <w:rPr>
          <w:lang w:eastAsia="zh-CN"/>
        </w:rPr>
        <w:t>elles soient suivies, elles pouvaient économiser en moyenne 20 % de leurs dépenses relatives aux voyages en avion</w:t>
      </w:r>
      <w:r w:rsidRPr="003B5EA4">
        <w:rPr>
          <w:color w:val="1A1A1A"/>
          <w:lang w:eastAsia="zh-CN"/>
        </w:rPr>
        <w:t>. Les mesures visées consistent notamment à faire appliquer les politiques en matière de planification anticipée et de seuils ouvrant droit à la classe affaires, et à tirer parti des tarifs soumis à conditions et des fournisseurs préférentiels</w:t>
      </w:r>
      <w:r w:rsidRPr="003B5EA4">
        <w:rPr>
          <w:rStyle w:val="Appelnotedebasdep"/>
        </w:rPr>
        <w:footnoteReference w:id="106"/>
      </w:r>
      <w:r w:rsidRPr="003B5EA4">
        <w:rPr>
          <w:color w:val="1A1A1A"/>
          <w:lang w:eastAsia="zh-CN"/>
        </w:rPr>
        <w:t>. L</w:t>
      </w:r>
      <w:r w:rsidR="00762E0A">
        <w:rPr>
          <w:color w:val="1A1A1A"/>
          <w:lang w:eastAsia="zh-CN"/>
        </w:rPr>
        <w:t>’</w:t>
      </w:r>
      <w:r w:rsidRPr="003B5EA4">
        <w:rPr>
          <w:color w:val="1A1A1A"/>
          <w:lang w:eastAsia="zh-CN"/>
        </w:rPr>
        <w:t>étude montre aussi que les entreprises du secteur privé s</w:t>
      </w:r>
      <w:r w:rsidR="00762E0A">
        <w:rPr>
          <w:color w:val="1A1A1A"/>
          <w:lang w:eastAsia="zh-CN"/>
        </w:rPr>
        <w:t>’</w:t>
      </w:r>
      <w:r w:rsidRPr="003B5EA4">
        <w:rPr>
          <w:color w:val="1A1A1A"/>
          <w:lang w:eastAsia="zh-CN"/>
        </w:rPr>
        <w:t>attachent moins à resserrer les règles qu</w:t>
      </w:r>
      <w:r w:rsidR="00762E0A">
        <w:rPr>
          <w:color w:val="1A1A1A"/>
          <w:lang w:eastAsia="zh-CN"/>
        </w:rPr>
        <w:t>’</w:t>
      </w:r>
      <w:r w:rsidRPr="003B5EA4">
        <w:rPr>
          <w:color w:val="1A1A1A"/>
          <w:lang w:eastAsia="zh-CN"/>
        </w:rPr>
        <w:t>à clarifier et préciser les politiques, à renforcer les mesures destinées à en promouvoir le respect et à améliorer la gestion pour réaliser des économies</w:t>
      </w:r>
      <w:r w:rsidRPr="003B5EA4">
        <w:rPr>
          <w:rStyle w:val="Appelnotedebasdep"/>
        </w:rPr>
        <w:footnoteReference w:id="107"/>
      </w:r>
      <w:r w:rsidRPr="003B5EA4">
        <w:rPr>
          <w:color w:val="1A1A1A"/>
          <w:lang w:eastAsia="zh-CN"/>
        </w:rPr>
        <w:t>.</w:t>
      </w:r>
    </w:p>
    <w:p w:rsidR="0087427B" w:rsidRPr="003B5EA4" w:rsidRDefault="0087427B" w:rsidP="0087427B">
      <w:pPr>
        <w:pStyle w:val="SingleTxtG"/>
        <w:rPr>
          <w:lang w:eastAsia="zh-CN"/>
        </w:rPr>
      </w:pPr>
      <w:r w:rsidRPr="003B5EA4">
        <w:rPr>
          <w:lang w:eastAsia="zh-CN"/>
        </w:rPr>
        <w:t>94.</w:t>
      </w:r>
      <w:r w:rsidRPr="003B5EA4">
        <w:rPr>
          <w:lang w:eastAsia="zh-CN"/>
        </w:rPr>
        <w:tab/>
        <w:t>Les entretiens qu</w:t>
      </w:r>
      <w:r w:rsidR="00762E0A">
        <w:rPr>
          <w:lang w:eastAsia="zh-CN"/>
        </w:rPr>
        <w:t>’</w:t>
      </w:r>
      <w:r w:rsidRPr="003B5EA4">
        <w:rPr>
          <w:lang w:eastAsia="zh-CN"/>
        </w:rPr>
        <w:t>elle a menés avec des institutions financières internationales, à savoir le Fonds monétaire international, la BID et le Groupe de la Banque mondiale, ont permis à l</w:t>
      </w:r>
      <w:r w:rsidR="00762E0A">
        <w:rPr>
          <w:lang w:eastAsia="zh-CN"/>
        </w:rPr>
        <w:t>’</w:t>
      </w:r>
      <w:r w:rsidRPr="003B5EA4">
        <w:rPr>
          <w:lang w:eastAsia="zh-CN"/>
        </w:rPr>
        <w:t>Inspectrice de constater que la rationalisation des procédures relatives aux voyages et la centralisation de leur gestion au siège de l</w:t>
      </w:r>
      <w:r w:rsidR="00762E0A">
        <w:rPr>
          <w:lang w:eastAsia="zh-CN"/>
        </w:rPr>
        <w:t>’</w:t>
      </w:r>
      <w:r w:rsidRPr="003B5EA4">
        <w:rPr>
          <w:lang w:eastAsia="zh-CN"/>
        </w:rPr>
        <w:t>organisation sont des mesures qui avaient été privilégiées pour assurer le respect uniforme des politiques en la matière. À cet égard, les questions d</w:t>
      </w:r>
      <w:r w:rsidR="00762E0A">
        <w:rPr>
          <w:lang w:eastAsia="zh-CN"/>
        </w:rPr>
        <w:t>’</w:t>
      </w:r>
      <w:r w:rsidRPr="003B5EA4">
        <w:rPr>
          <w:lang w:eastAsia="zh-CN"/>
        </w:rPr>
        <w:t>intérêt pour les entités des Nations Unies en ce qui a trait à la rationalisation, l</w:t>
      </w:r>
      <w:r w:rsidR="00762E0A">
        <w:rPr>
          <w:lang w:eastAsia="zh-CN"/>
        </w:rPr>
        <w:t>’</w:t>
      </w:r>
      <w:r w:rsidRPr="003B5EA4">
        <w:rPr>
          <w:lang w:eastAsia="zh-CN"/>
        </w:rPr>
        <w:t>actualisation et l</w:t>
      </w:r>
      <w:r w:rsidR="00762E0A">
        <w:rPr>
          <w:lang w:eastAsia="zh-CN"/>
        </w:rPr>
        <w:t>’</w:t>
      </w:r>
      <w:r w:rsidRPr="003B5EA4">
        <w:rPr>
          <w:lang w:eastAsia="zh-CN"/>
        </w:rPr>
        <w:t>amélioration des règles, politiques et pratiques régissant l</w:t>
      </w:r>
      <w:r w:rsidR="00762E0A">
        <w:rPr>
          <w:lang w:eastAsia="zh-CN"/>
        </w:rPr>
        <w:t>’</w:t>
      </w:r>
      <w:r w:rsidRPr="003B5EA4">
        <w:rPr>
          <w:lang w:eastAsia="zh-CN"/>
        </w:rPr>
        <w:t>administration des voyages en avion sont détaillées ci-dessous.</w:t>
      </w:r>
    </w:p>
    <w:p w:rsidR="0087427B" w:rsidRPr="003B5EA4" w:rsidRDefault="0087427B" w:rsidP="004C7E04">
      <w:pPr>
        <w:pStyle w:val="H1G"/>
        <w:spacing w:before="320" w:after="200"/>
        <w:rPr>
          <w:lang w:eastAsia="zh-CN"/>
        </w:rPr>
      </w:pPr>
      <w:r w:rsidRPr="003B5EA4">
        <w:rPr>
          <w:lang w:eastAsia="zh-CN"/>
        </w:rPr>
        <w:tab/>
        <w:t>C.</w:t>
      </w:r>
      <w:r w:rsidRPr="003B5EA4">
        <w:rPr>
          <w:lang w:eastAsia="zh-CN"/>
        </w:rPr>
        <w:tab/>
        <w:t xml:space="preserve">Rationalisation des règles et politiques actuelles et amélioration </w:t>
      </w:r>
      <w:r w:rsidRPr="003B5EA4">
        <w:rPr>
          <w:lang w:eastAsia="zh-CN"/>
        </w:rPr>
        <w:br/>
        <w:t>de la gestion</w:t>
      </w:r>
    </w:p>
    <w:p w:rsidR="0087427B" w:rsidRPr="003B5EA4" w:rsidRDefault="0087427B" w:rsidP="004E1D1E">
      <w:pPr>
        <w:pStyle w:val="SingleTxtG"/>
        <w:rPr>
          <w:lang w:eastAsia="zh-CN"/>
        </w:rPr>
      </w:pPr>
      <w:r w:rsidRPr="003B5EA4">
        <w:rPr>
          <w:lang w:eastAsia="zh-CN"/>
        </w:rPr>
        <w:t>95.</w:t>
      </w:r>
      <w:r w:rsidRPr="003B5EA4">
        <w:rPr>
          <w:lang w:eastAsia="zh-CN"/>
        </w:rPr>
        <w:tab/>
        <w:t>Idéalement, la politique d</w:t>
      </w:r>
      <w:r w:rsidR="00762E0A">
        <w:rPr>
          <w:lang w:eastAsia="zh-CN"/>
        </w:rPr>
        <w:t>’</w:t>
      </w:r>
      <w:r w:rsidRPr="003B5EA4">
        <w:rPr>
          <w:lang w:eastAsia="zh-CN"/>
        </w:rPr>
        <w:t>une organisation en matière de voyages devrait rassembler toutes les règles et procédures pertinentes en un seul document commun. Il n</w:t>
      </w:r>
      <w:r w:rsidR="00762E0A">
        <w:rPr>
          <w:lang w:eastAsia="zh-CN"/>
        </w:rPr>
        <w:t>’</w:t>
      </w:r>
      <w:r w:rsidRPr="003B5EA4">
        <w:rPr>
          <w:lang w:eastAsia="zh-CN"/>
        </w:rPr>
        <w:t>en est toutefois pas toujours ainsi parmi les organismes des Nations Unies où ces politiques peuvent se trouver réparties entre divers instruments.</w:t>
      </w:r>
      <w:r w:rsidRPr="003B5EA4" w:rsidDel="008E41DA">
        <w:rPr>
          <w:lang w:eastAsia="zh-CN"/>
        </w:rPr>
        <w:t xml:space="preserve"> </w:t>
      </w:r>
      <w:r w:rsidRPr="003B5EA4">
        <w:rPr>
          <w:lang w:eastAsia="zh-CN"/>
        </w:rPr>
        <w:t>Au Secrétariat de l</w:t>
      </w:r>
      <w:r w:rsidR="00762E0A">
        <w:rPr>
          <w:lang w:eastAsia="zh-CN"/>
        </w:rPr>
        <w:t>’</w:t>
      </w:r>
      <w:r w:rsidRPr="003B5EA4">
        <w:rPr>
          <w:lang w:eastAsia="zh-CN"/>
        </w:rPr>
        <w:t xml:space="preserve">ONU, par </w:t>
      </w:r>
      <w:r w:rsidRPr="003B5EA4">
        <w:rPr>
          <w:lang w:eastAsia="zh-CN"/>
        </w:rPr>
        <w:lastRenderedPageBreak/>
        <w:t xml:space="preserve">exemple, les modifications apportées aux règles régissant les voyages peuvent être promulguées et communiquées par une variété de canaux, mémorandums ou notes administratives. </w:t>
      </w:r>
      <w:r w:rsidR="005B3474">
        <w:rPr>
          <w:lang w:eastAsia="zh-CN"/>
        </w:rPr>
        <w:t>T</w:t>
      </w:r>
      <w:r w:rsidRPr="003B5EA4">
        <w:rPr>
          <w:lang w:eastAsia="zh-CN"/>
        </w:rPr>
        <w:t>elle fragmentation peut nuire à la compréhension globale et à la bonne application des politiques en matière de voyages. Situation qui a été confirmée à l</w:t>
      </w:r>
      <w:r w:rsidR="00762E0A">
        <w:rPr>
          <w:lang w:eastAsia="zh-CN"/>
        </w:rPr>
        <w:t>’</w:t>
      </w:r>
      <w:r w:rsidRPr="003B5EA4">
        <w:rPr>
          <w:lang w:eastAsia="zh-CN"/>
        </w:rPr>
        <w:t>occasion d</w:t>
      </w:r>
      <w:r w:rsidR="00762E0A">
        <w:rPr>
          <w:lang w:eastAsia="zh-CN"/>
        </w:rPr>
        <w:t>’</w:t>
      </w:r>
      <w:r w:rsidRPr="003B5EA4">
        <w:rPr>
          <w:lang w:eastAsia="zh-CN"/>
        </w:rPr>
        <w:t>entretiens avec des agences de voyage</w:t>
      </w:r>
      <w:r w:rsidR="00027591">
        <w:rPr>
          <w:lang w:eastAsia="zh-CN"/>
        </w:rPr>
        <w:t>s</w:t>
      </w:r>
      <w:r w:rsidRPr="003B5EA4">
        <w:rPr>
          <w:lang w:eastAsia="zh-CN"/>
        </w:rPr>
        <w:t>, lesquelles ont également relevé le fait que le personnel ne savait pas bien comment accéder aux politiques actuelles en matière de voyages et l</w:t>
      </w:r>
      <w:r w:rsidR="00762E0A">
        <w:rPr>
          <w:lang w:eastAsia="zh-CN"/>
        </w:rPr>
        <w:t>’</w:t>
      </w:r>
      <w:r w:rsidRPr="003B5EA4">
        <w:rPr>
          <w:lang w:eastAsia="zh-CN"/>
        </w:rPr>
        <w:t>impression que les ressources en ligne n</w:t>
      </w:r>
      <w:r w:rsidR="00762E0A">
        <w:rPr>
          <w:lang w:eastAsia="zh-CN"/>
        </w:rPr>
        <w:t>’</w:t>
      </w:r>
      <w:r w:rsidRPr="003B5EA4">
        <w:rPr>
          <w:lang w:eastAsia="zh-CN"/>
        </w:rPr>
        <w:t>étaient pas particulièrement conviviales.</w:t>
      </w:r>
    </w:p>
    <w:p w:rsidR="0087427B" w:rsidRPr="003B5EA4" w:rsidRDefault="0087427B" w:rsidP="0087427B">
      <w:pPr>
        <w:pStyle w:val="SingleTxtG"/>
        <w:rPr>
          <w:lang w:eastAsia="zh-CN"/>
        </w:rPr>
      </w:pPr>
      <w:r w:rsidRPr="003B5EA4">
        <w:rPr>
          <w:lang w:eastAsia="zh-CN"/>
        </w:rPr>
        <w:t>96.</w:t>
      </w:r>
      <w:r w:rsidRPr="003B5EA4">
        <w:rPr>
          <w:lang w:eastAsia="zh-CN"/>
        </w:rPr>
        <w:tab/>
        <w:t>L</w:t>
      </w:r>
      <w:r w:rsidR="00762E0A">
        <w:rPr>
          <w:lang w:eastAsia="zh-CN"/>
        </w:rPr>
        <w:t>’</w:t>
      </w:r>
      <w:r w:rsidRPr="003B5EA4">
        <w:rPr>
          <w:lang w:eastAsia="zh-CN"/>
        </w:rPr>
        <w:t>instruction administrative du Secrétariat de l</w:t>
      </w:r>
      <w:r w:rsidR="00762E0A">
        <w:rPr>
          <w:lang w:eastAsia="zh-CN"/>
        </w:rPr>
        <w:t>’</w:t>
      </w:r>
      <w:r w:rsidRPr="003B5EA4">
        <w:rPr>
          <w:lang w:eastAsia="zh-CN"/>
        </w:rPr>
        <w:t>ONU (ST/AI/2013/3), qui est venue apporter plusieurs changements aux politiques en matière de voyages ainsi qu</w:t>
      </w:r>
      <w:r w:rsidR="00762E0A">
        <w:rPr>
          <w:lang w:eastAsia="zh-CN"/>
        </w:rPr>
        <w:t>’</w:t>
      </w:r>
      <w:r w:rsidRPr="003B5EA4">
        <w:rPr>
          <w:lang w:eastAsia="zh-CN"/>
        </w:rPr>
        <w:t>aux prestations connexes, engendrant une économie ponctuelle de 8,9 % sur le prix moyen du billet d</w:t>
      </w:r>
      <w:r w:rsidR="00762E0A">
        <w:rPr>
          <w:lang w:eastAsia="zh-CN"/>
        </w:rPr>
        <w:t>’</w:t>
      </w:r>
      <w:r w:rsidRPr="003B5EA4">
        <w:rPr>
          <w:lang w:eastAsia="zh-CN"/>
        </w:rPr>
        <w:t>avion pour les voyages organisés par le Siège de l</w:t>
      </w:r>
      <w:r w:rsidR="00762E0A">
        <w:rPr>
          <w:lang w:eastAsia="zh-CN"/>
        </w:rPr>
        <w:t>’</w:t>
      </w:r>
      <w:r w:rsidRPr="003B5EA4">
        <w:rPr>
          <w:lang w:eastAsia="zh-CN"/>
        </w:rPr>
        <w:t>ONU en 2004</w:t>
      </w:r>
      <w:r w:rsidRPr="003B5EA4">
        <w:rPr>
          <w:rStyle w:val="Appelnotedebasdep"/>
        </w:rPr>
        <w:footnoteReference w:id="108"/>
      </w:r>
      <w:r w:rsidRPr="003B5EA4">
        <w:rPr>
          <w:lang w:eastAsia="zh-CN"/>
        </w:rPr>
        <w:t>, n</w:t>
      </w:r>
      <w:r w:rsidR="00762E0A">
        <w:rPr>
          <w:lang w:eastAsia="zh-CN"/>
        </w:rPr>
        <w:t>’</w:t>
      </w:r>
      <w:r w:rsidRPr="003B5EA4">
        <w:rPr>
          <w:lang w:eastAsia="zh-CN"/>
        </w:rPr>
        <w:t>a cependant pas rationalisé ni synthétisé les diverse</w:t>
      </w:r>
      <w:r w:rsidR="00027591">
        <w:rPr>
          <w:lang w:eastAsia="zh-CN"/>
        </w:rPr>
        <w:t>s</w:t>
      </w:r>
      <w:r w:rsidRPr="003B5EA4">
        <w:rPr>
          <w:lang w:eastAsia="zh-CN"/>
        </w:rPr>
        <w:t xml:space="preserve"> politiques et règles en vigueur.</w:t>
      </w:r>
    </w:p>
    <w:p w:rsidR="00F05C05" w:rsidRPr="003B5EA4" w:rsidRDefault="0087427B" w:rsidP="0087427B">
      <w:pPr>
        <w:pStyle w:val="SingleTxtG"/>
        <w:rPr>
          <w:b/>
          <w:bCs/>
          <w:lang w:eastAsia="zh-CN"/>
        </w:rPr>
      </w:pPr>
      <w:r w:rsidRPr="003B5EA4">
        <w:rPr>
          <w:lang w:eastAsia="zh-CN"/>
        </w:rPr>
        <w:t>97.</w:t>
      </w:r>
      <w:r w:rsidRPr="003B5EA4">
        <w:rPr>
          <w:lang w:eastAsia="zh-CN"/>
        </w:rPr>
        <w:tab/>
      </w:r>
      <w:r w:rsidR="007877C8" w:rsidRPr="003B5EA4">
        <w:rPr>
          <w:b/>
          <w:bCs/>
          <w:lang w:eastAsia="zh-CN"/>
        </w:rPr>
        <w:t>De l</w:t>
      </w:r>
      <w:r w:rsidR="00762E0A">
        <w:rPr>
          <w:b/>
          <w:bCs/>
          <w:lang w:eastAsia="zh-CN"/>
        </w:rPr>
        <w:t>’</w:t>
      </w:r>
      <w:r w:rsidR="007877C8" w:rsidRPr="003B5EA4">
        <w:rPr>
          <w:b/>
          <w:bCs/>
          <w:lang w:eastAsia="zh-CN"/>
        </w:rPr>
        <w:t>avis de l</w:t>
      </w:r>
      <w:r w:rsidR="00762E0A">
        <w:rPr>
          <w:b/>
          <w:bCs/>
          <w:lang w:eastAsia="zh-CN"/>
        </w:rPr>
        <w:t>’</w:t>
      </w:r>
      <w:r w:rsidR="007877C8" w:rsidRPr="003B5EA4">
        <w:rPr>
          <w:b/>
          <w:bCs/>
          <w:lang w:eastAsia="zh-CN"/>
        </w:rPr>
        <w:t>Inspectrice, les chefs de secrétariat des organismes des Nations Unies devraient examiner périodiquement les politiques, règles et règlements en matière de voyages afin de relever de nouvelles possibilités de gains d</w:t>
      </w:r>
      <w:r w:rsidR="00762E0A">
        <w:rPr>
          <w:b/>
          <w:bCs/>
          <w:lang w:eastAsia="zh-CN"/>
        </w:rPr>
        <w:t>’</w:t>
      </w:r>
      <w:r w:rsidR="007877C8" w:rsidRPr="003B5EA4">
        <w:rPr>
          <w:b/>
          <w:bCs/>
          <w:lang w:eastAsia="zh-CN"/>
        </w:rPr>
        <w:t>efficience et d</w:t>
      </w:r>
      <w:r w:rsidR="00762E0A">
        <w:rPr>
          <w:b/>
          <w:bCs/>
          <w:lang w:eastAsia="zh-CN"/>
        </w:rPr>
        <w:t>’</w:t>
      </w:r>
      <w:r w:rsidR="007877C8" w:rsidRPr="003B5EA4">
        <w:rPr>
          <w:b/>
          <w:bCs/>
          <w:lang w:eastAsia="zh-CN"/>
        </w:rPr>
        <w:t>uniformisation. Tout changement appelant l</w:t>
      </w:r>
      <w:r w:rsidR="00762E0A">
        <w:rPr>
          <w:b/>
          <w:bCs/>
          <w:lang w:eastAsia="zh-CN"/>
        </w:rPr>
        <w:t>’</w:t>
      </w:r>
      <w:r w:rsidR="007877C8" w:rsidRPr="003B5EA4">
        <w:rPr>
          <w:b/>
          <w:bCs/>
          <w:lang w:eastAsia="zh-CN"/>
        </w:rPr>
        <w:t>intervention des organes délibérants devrait être soumis à leur examen assorti d</w:t>
      </w:r>
      <w:r w:rsidR="00762E0A">
        <w:rPr>
          <w:b/>
          <w:bCs/>
          <w:lang w:eastAsia="zh-CN"/>
        </w:rPr>
        <w:t>’</w:t>
      </w:r>
      <w:r w:rsidR="007877C8" w:rsidRPr="003B5EA4">
        <w:rPr>
          <w:b/>
          <w:bCs/>
          <w:lang w:eastAsia="zh-CN"/>
        </w:rPr>
        <w:t>une justification et d</w:t>
      </w:r>
      <w:r w:rsidR="00762E0A">
        <w:rPr>
          <w:b/>
          <w:bCs/>
          <w:lang w:eastAsia="zh-CN"/>
        </w:rPr>
        <w:t>’</w:t>
      </w:r>
      <w:r w:rsidR="007877C8" w:rsidRPr="003B5EA4">
        <w:rPr>
          <w:b/>
          <w:bCs/>
          <w:lang w:eastAsia="zh-CN"/>
        </w:rPr>
        <w:t>une analyse complètes des améliorations envisagées. Les modifications approuvées devraient être largement diffusées et rendues directement accessibles sur l</w:t>
      </w:r>
      <w:r w:rsidR="00762E0A">
        <w:rPr>
          <w:b/>
          <w:bCs/>
          <w:lang w:eastAsia="zh-CN"/>
        </w:rPr>
        <w:t>’</w:t>
      </w:r>
      <w:r w:rsidR="002F61CA">
        <w:rPr>
          <w:b/>
          <w:bCs/>
          <w:lang w:eastAsia="zh-CN"/>
        </w:rPr>
        <w:t>In</w:t>
      </w:r>
      <w:r w:rsidR="007877C8" w:rsidRPr="003B5EA4">
        <w:rPr>
          <w:b/>
          <w:bCs/>
          <w:lang w:eastAsia="zh-CN"/>
        </w:rPr>
        <w:t>tranet, sous un format convivial, à tout le personnel des sièges et des bureaux régionaux.</w:t>
      </w:r>
    </w:p>
    <w:p w:rsidR="0087427B" w:rsidRPr="003B5EA4" w:rsidRDefault="005D71BD" w:rsidP="005D71BD">
      <w:pPr>
        <w:pStyle w:val="H1G"/>
        <w:rPr>
          <w:lang w:eastAsia="zh-CN"/>
        </w:rPr>
      </w:pPr>
      <w:r w:rsidRPr="003B5EA4">
        <w:rPr>
          <w:lang w:eastAsia="zh-CN"/>
        </w:rPr>
        <w:tab/>
        <w:t>D.</w:t>
      </w:r>
      <w:r w:rsidRPr="003B5EA4">
        <w:rPr>
          <w:lang w:eastAsia="zh-CN"/>
        </w:rPr>
        <w:tab/>
        <w:t>Actualisation des règles et politiques et amélioration des pratiques</w:t>
      </w:r>
    </w:p>
    <w:p w:rsidR="005D71BD" w:rsidRPr="003B5EA4" w:rsidRDefault="005D71BD" w:rsidP="005D71BD">
      <w:pPr>
        <w:pStyle w:val="SingleTxtG"/>
        <w:rPr>
          <w:lang w:eastAsia="zh-CN"/>
        </w:rPr>
      </w:pPr>
      <w:r w:rsidRPr="003B5EA4">
        <w:rPr>
          <w:lang w:eastAsia="zh-CN"/>
        </w:rPr>
        <w:t>98.</w:t>
      </w:r>
      <w:r w:rsidRPr="003B5EA4">
        <w:rPr>
          <w:lang w:eastAsia="zh-CN"/>
        </w:rPr>
        <w:tab/>
        <w:t>Selon les réponses au questionnaire et les entretiens, 26 organismes ont apporté des changements à leurs politiques en matière de voyages au cours des dernières années</w:t>
      </w:r>
      <w:r w:rsidRPr="003B5EA4">
        <w:rPr>
          <w:rStyle w:val="Appelnotedebasdep"/>
        </w:rPr>
        <w:footnoteReference w:id="109"/>
      </w:r>
      <w:r w:rsidRPr="003B5EA4">
        <w:rPr>
          <w:lang w:eastAsia="zh-CN"/>
        </w:rPr>
        <w:t>, l</w:t>
      </w:r>
      <w:r w:rsidR="00762E0A">
        <w:rPr>
          <w:lang w:eastAsia="zh-CN"/>
        </w:rPr>
        <w:t>’</w:t>
      </w:r>
      <w:r w:rsidRPr="003B5EA4">
        <w:rPr>
          <w:lang w:eastAsia="zh-CN"/>
        </w:rPr>
        <w:t>UPU et l</w:t>
      </w:r>
      <w:r w:rsidR="00762E0A">
        <w:rPr>
          <w:lang w:eastAsia="zh-CN"/>
        </w:rPr>
        <w:t>’</w:t>
      </w:r>
      <w:r w:rsidRPr="003B5EA4">
        <w:rPr>
          <w:lang w:eastAsia="zh-CN"/>
        </w:rPr>
        <w:t>OMT étant les exceptions où aucune révision n</w:t>
      </w:r>
      <w:r w:rsidR="00762E0A">
        <w:rPr>
          <w:lang w:eastAsia="zh-CN"/>
        </w:rPr>
        <w:t>’</w:t>
      </w:r>
      <w:r w:rsidRPr="003B5EA4">
        <w:rPr>
          <w:lang w:eastAsia="zh-CN"/>
        </w:rPr>
        <w:t>a été menée récemment. L</w:t>
      </w:r>
      <w:r w:rsidR="00762E0A">
        <w:rPr>
          <w:lang w:eastAsia="zh-CN"/>
        </w:rPr>
        <w:t>’</w:t>
      </w:r>
      <w:r w:rsidRPr="003B5EA4">
        <w:rPr>
          <w:lang w:eastAsia="zh-CN"/>
        </w:rPr>
        <w:t>annexe VI résume les réformes entreprises par les organismes participants avec pour objectifs principaux, notamment, de réaliser des économies, de réduire les aspects complexes du système, d</w:t>
      </w:r>
      <w:r w:rsidR="00762E0A">
        <w:rPr>
          <w:lang w:eastAsia="zh-CN"/>
        </w:rPr>
        <w:t>’</w:t>
      </w:r>
      <w:r w:rsidRPr="003B5EA4">
        <w:rPr>
          <w:lang w:eastAsia="zh-CN"/>
        </w:rPr>
        <w:t>adopter de nouvelles technologies, de rationaliser les processus et d</w:t>
      </w:r>
      <w:r w:rsidR="00762E0A">
        <w:rPr>
          <w:lang w:eastAsia="zh-CN"/>
        </w:rPr>
        <w:t>’</w:t>
      </w:r>
      <w:r w:rsidRPr="003B5EA4">
        <w:rPr>
          <w:lang w:eastAsia="zh-CN"/>
        </w:rPr>
        <w:t>améliorer la situation pour les voyageurs.</w:t>
      </w:r>
    </w:p>
    <w:p w:rsidR="005D71BD" w:rsidRPr="003B5EA4" w:rsidRDefault="005D71BD" w:rsidP="005D71BD">
      <w:pPr>
        <w:pStyle w:val="SingleTxtG"/>
        <w:rPr>
          <w:lang w:eastAsia="zh-CN"/>
        </w:rPr>
      </w:pPr>
      <w:r w:rsidRPr="003B5EA4">
        <w:rPr>
          <w:lang w:eastAsia="zh-CN"/>
        </w:rPr>
        <w:t>99.</w:t>
      </w:r>
      <w:r w:rsidRPr="003B5EA4">
        <w:rPr>
          <w:lang w:eastAsia="zh-CN"/>
        </w:rPr>
        <w:tab/>
        <w:t>Quoique des efforts louables aient été accomplis par certains organismes participants pour adapter et actualiser leurs règles, politiques et pratiques ces dernières années, le présent examen a conduit au constat que des améliorations étaient encore nécessaires. Ainsi certains fonctionnaires de l</w:t>
      </w:r>
      <w:r w:rsidR="00762E0A">
        <w:rPr>
          <w:lang w:eastAsia="zh-CN"/>
        </w:rPr>
        <w:t>’</w:t>
      </w:r>
      <w:r w:rsidRPr="003B5EA4">
        <w:rPr>
          <w:lang w:eastAsia="zh-CN"/>
        </w:rPr>
        <w:t>ONU interrogés ont-ils indiqué qu</w:t>
      </w:r>
      <w:r w:rsidR="00762E0A">
        <w:rPr>
          <w:lang w:eastAsia="zh-CN"/>
        </w:rPr>
        <w:t>’</w:t>
      </w:r>
      <w:r w:rsidRPr="003B5EA4">
        <w:rPr>
          <w:lang w:eastAsia="zh-CN"/>
        </w:rPr>
        <w:t>un des principaux facteurs affectant l</w:t>
      </w:r>
      <w:r w:rsidR="00762E0A">
        <w:rPr>
          <w:lang w:eastAsia="zh-CN"/>
        </w:rPr>
        <w:t>’</w:t>
      </w:r>
      <w:r w:rsidRPr="003B5EA4">
        <w:rPr>
          <w:lang w:eastAsia="zh-CN"/>
        </w:rPr>
        <w:t>efficacité et l</w:t>
      </w:r>
      <w:r w:rsidR="00762E0A">
        <w:rPr>
          <w:lang w:eastAsia="zh-CN"/>
        </w:rPr>
        <w:t>’</w:t>
      </w:r>
      <w:r w:rsidRPr="003B5EA4">
        <w:rPr>
          <w:lang w:eastAsia="zh-CN"/>
        </w:rPr>
        <w:t>efficience des pratiques d</w:t>
      </w:r>
      <w:r w:rsidR="00762E0A">
        <w:rPr>
          <w:lang w:eastAsia="zh-CN"/>
        </w:rPr>
        <w:t>’</w:t>
      </w:r>
      <w:r w:rsidRPr="003B5EA4">
        <w:rPr>
          <w:lang w:eastAsia="zh-CN"/>
        </w:rPr>
        <w:t>administration des voyages en avion étaient les politiques en place, lesquelles n</w:t>
      </w:r>
      <w:r w:rsidR="00762E0A">
        <w:rPr>
          <w:lang w:eastAsia="zh-CN"/>
        </w:rPr>
        <w:t>’</w:t>
      </w:r>
      <w:r w:rsidRPr="003B5EA4">
        <w:rPr>
          <w:lang w:eastAsia="zh-CN"/>
        </w:rPr>
        <w:t>avaient été ni rationalisées ni mises à jour compte tenu des possibilités et défis nouveaux caractérisant le secteur du transport aérien d</w:t>
      </w:r>
      <w:r w:rsidR="00762E0A">
        <w:rPr>
          <w:lang w:eastAsia="zh-CN"/>
        </w:rPr>
        <w:t>’</w:t>
      </w:r>
      <w:r w:rsidRPr="003B5EA4">
        <w:rPr>
          <w:lang w:eastAsia="zh-CN"/>
        </w:rPr>
        <w:t>aujourd</w:t>
      </w:r>
      <w:r w:rsidR="00762E0A">
        <w:rPr>
          <w:lang w:eastAsia="zh-CN"/>
        </w:rPr>
        <w:t>’</w:t>
      </w:r>
      <w:r w:rsidRPr="003B5EA4">
        <w:rPr>
          <w:lang w:eastAsia="zh-CN"/>
        </w:rPr>
        <w:t>hui.</w:t>
      </w:r>
    </w:p>
    <w:p w:rsidR="005D71BD" w:rsidRPr="003B5EA4" w:rsidRDefault="005D71BD" w:rsidP="005D71BD">
      <w:pPr>
        <w:pStyle w:val="SingleTxtG"/>
        <w:rPr>
          <w:lang w:eastAsia="zh-CN"/>
        </w:rPr>
      </w:pPr>
      <w:r w:rsidRPr="003B5EA4">
        <w:rPr>
          <w:lang w:eastAsia="zh-CN"/>
        </w:rPr>
        <w:t>100.</w:t>
      </w:r>
      <w:r w:rsidRPr="003B5EA4">
        <w:rPr>
          <w:lang w:eastAsia="zh-CN"/>
        </w:rPr>
        <w:tab/>
        <w:t>Il convient de rappeler que les conditions de voyage en avion (voir chap. III ci</w:t>
      </w:r>
      <w:r w:rsidRPr="003B5EA4">
        <w:rPr>
          <w:lang w:eastAsia="zh-CN"/>
        </w:rPr>
        <w:noBreakHyphen/>
        <w:t>dessus) sont encore régies par une série de résolutions de l</w:t>
      </w:r>
      <w:r w:rsidR="00762E0A">
        <w:rPr>
          <w:lang w:eastAsia="zh-CN"/>
        </w:rPr>
        <w:t>’</w:t>
      </w:r>
      <w:r w:rsidRPr="003B5EA4">
        <w:rPr>
          <w:lang w:eastAsia="zh-CN"/>
        </w:rPr>
        <w:t>Assemblée générale dont la plus ancienne date de 1987. Parmi celles-ci, la résolution 42/214 confirmant le droit au voyage en première classe du Secrétaire général et des chefs des délégations des pays les moins avancés, la résolution 45/248 laissant au Secrétaire général la faculté de continuer à autoriser le voyage en classe affaires en mission officielle, et la résolution 53/214 habilitant pleinement le Président de l</w:t>
      </w:r>
      <w:r w:rsidR="00762E0A">
        <w:rPr>
          <w:lang w:eastAsia="zh-CN"/>
        </w:rPr>
        <w:t>’</w:t>
      </w:r>
      <w:r w:rsidRPr="003B5EA4">
        <w:rPr>
          <w:lang w:eastAsia="zh-CN"/>
        </w:rPr>
        <w:t xml:space="preserve">Assemblée générale, compte tenu du budget-programme, à utiliser les crédits prévus au budget de son </w:t>
      </w:r>
      <w:r w:rsidR="002F61CA">
        <w:rPr>
          <w:lang w:eastAsia="zh-CN"/>
        </w:rPr>
        <w:t>b</w:t>
      </w:r>
      <w:r w:rsidRPr="003B5EA4">
        <w:rPr>
          <w:lang w:eastAsia="zh-CN"/>
        </w:rPr>
        <w:t>ureau, notamment pour ce qui est des dépenses de représentation et des frais de voyage.</w:t>
      </w:r>
    </w:p>
    <w:p w:rsidR="005D71BD" w:rsidRPr="003B5EA4" w:rsidRDefault="005D71BD" w:rsidP="004F1F45">
      <w:pPr>
        <w:pStyle w:val="SingleTxtG"/>
        <w:rPr>
          <w:lang w:eastAsia="zh-CN"/>
        </w:rPr>
      </w:pPr>
      <w:r w:rsidRPr="003B5EA4">
        <w:rPr>
          <w:lang w:eastAsia="zh-CN"/>
        </w:rPr>
        <w:t>101.</w:t>
      </w:r>
      <w:r w:rsidRPr="003B5EA4">
        <w:rPr>
          <w:lang w:eastAsia="zh-CN"/>
        </w:rPr>
        <w:tab/>
        <w:t>En outre, plusieurs décisions de l</w:t>
      </w:r>
      <w:r w:rsidR="00762E0A">
        <w:rPr>
          <w:lang w:eastAsia="zh-CN"/>
        </w:rPr>
        <w:t>’</w:t>
      </w:r>
      <w:r w:rsidRPr="003B5EA4">
        <w:rPr>
          <w:lang w:eastAsia="zh-CN"/>
        </w:rPr>
        <w:t xml:space="preserve">Assemblée générale régissent la présentation de rapports sur les voyages en avion, comme les décisions 40/555 à la présentation annuelle du rapport concernant les dépenses engagées pour les voyages en première classe, et 57/589 </w:t>
      </w:r>
      <w:r w:rsidRPr="003B5EA4">
        <w:rPr>
          <w:lang w:eastAsia="zh-CN"/>
        </w:rPr>
        <w:lastRenderedPageBreak/>
        <w:t>relative à la présentation tous les deux ans du rapport sur les conditions de voyage en avion. À cela s</w:t>
      </w:r>
      <w:r w:rsidR="00762E0A">
        <w:rPr>
          <w:lang w:eastAsia="zh-CN"/>
        </w:rPr>
        <w:t>’</w:t>
      </w:r>
      <w:r w:rsidRPr="003B5EA4">
        <w:rPr>
          <w:lang w:eastAsia="zh-CN"/>
        </w:rPr>
        <w:t>ajoute la circulaire du Secrétaire général de 1991</w:t>
      </w:r>
      <w:r w:rsidRPr="003B5EA4">
        <w:rPr>
          <w:rStyle w:val="Appelnotedebasdep"/>
        </w:rPr>
        <w:footnoteReference w:id="110"/>
      </w:r>
      <w:r w:rsidRPr="003B5EA4">
        <w:rPr>
          <w:lang w:eastAsia="zh-CN"/>
        </w:rPr>
        <w:t xml:space="preserve"> régissant les conditions de voyage en avion et prestations connexes applicables aux non-fonctionnaires, exception faite des consultants et vacataires dont les droits en la matière ont été modifiés en 2013</w:t>
      </w:r>
      <w:r w:rsidRPr="003B5EA4">
        <w:rPr>
          <w:rStyle w:val="Appelnotedebasdep"/>
        </w:rPr>
        <w:footnoteReference w:id="111"/>
      </w:r>
      <w:r w:rsidRPr="003B5EA4">
        <w:rPr>
          <w:lang w:eastAsia="zh-CN"/>
        </w:rPr>
        <w:t>.</w:t>
      </w:r>
    </w:p>
    <w:p w:rsidR="005D71BD" w:rsidRDefault="005D71BD" w:rsidP="005D71BD">
      <w:pPr>
        <w:pStyle w:val="SingleTxtG"/>
        <w:rPr>
          <w:lang w:eastAsia="zh-CN"/>
        </w:rPr>
      </w:pPr>
      <w:r w:rsidRPr="003B5EA4">
        <w:rPr>
          <w:lang w:eastAsia="zh-CN"/>
        </w:rPr>
        <w:t>102.</w:t>
      </w:r>
      <w:r w:rsidRPr="003B5EA4">
        <w:rPr>
          <w:lang w:eastAsia="zh-CN"/>
        </w:rPr>
        <w:tab/>
        <w:t>Compte tenu de la fragmentation des règles régissant les conditions de voyage en avion des fonctionnaires de haut rang, des autres fonctionnaires et des non-fonctionnaires entre plusieurs résolutions et décisions, la recommandation qui suit envisage le regroupement de ces dispositions en un seul document clair, synthétique et actualisé qui contribuerait à une gestion des voyages plus efficiente.</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B05B7" w:rsidTr="00A24509">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CB05B7" w:rsidRDefault="00CB05B7" w:rsidP="00A24509"/>
        </w:tc>
      </w:tr>
      <w:tr w:rsidR="00CB05B7" w:rsidTr="00A24509">
        <w:trPr>
          <w:jc w:val="center"/>
        </w:trPr>
        <w:tc>
          <w:tcPr>
            <w:tcW w:w="7653" w:type="dxa"/>
            <w:tcBorders>
              <w:left w:val="single" w:sz="4" w:space="0" w:color="auto"/>
              <w:bottom w:val="nil"/>
              <w:right w:val="single" w:sz="4" w:space="0" w:color="auto"/>
            </w:tcBorders>
            <w:shd w:val="clear" w:color="auto" w:fill="auto"/>
          </w:tcPr>
          <w:p w:rsidR="00CB05B7" w:rsidRDefault="00CB05B7" w:rsidP="00A24509">
            <w:pPr>
              <w:spacing w:after="120"/>
              <w:jc w:val="both"/>
            </w:pPr>
            <w:r w:rsidRPr="00CB05B7">
              <w:rPr>
                <w:b/>
              </w:rPr>
              <w:t>Recommandation 3</w:t>
            </w:r>
          </w:p>
        </w:tc>
      </w:tr>
      <w:tr w:rsidR="00CB05B7" w:rsidTr="00A24509">
        <w:trPr>
          <w:jc w:val="center"/>
        </w:trPr>
        <w:tc>
          <w:tcPr>
            <w:tcW w:w="7653" w:type="dxa"/>
            <w:tcBorders>
              <w:left w:val="single" w:sz="4" w:space="0" w:color="auto"/>
              <w:bottom w:val="nil"/>
              <w:right w:val="single" w:sz="4" w:space="0" w:color="auto"/>
            </w:tcBorders>
            <w:shd w:val="clear" w:color="auto" w:fill="auto"/>
          </w:tcPr>
          <w:p w:rsidR="00CB05B7" w:rsidRPr="00CB05B7" w:rsidRDefault="00CB05B7" w:rsidP="00CB05B7">
            <w:pPr>
              <w:spacing w:after="120"/>
              <w:ind w:firstLine="567"/>
              <w:jc w:val="both"/>
              <w:rPr>
                <w:b/>
              </w:rPr>
            </w:pPr>
            <w:r w:rsidRPr="00CB05B7">
              <w:rPr>
                <w:b/>
              </w:rPr>
              <w:t>L</w:t>
            </w:r>
            <w:r w:rsidR="00762E0A">
              <w:rPr>
                <w:b/>
              </w:rPr>
              <w:t>’</w:t>
            </w:r>
            <w:r w:rsidRPr="00CB05B7">
              <w:rPr>
                <w:b/>
              </w:rPr>
              <w:t>Assemblée générale devrait prier le Secrétaire général d</w:t>
            </w:r>
            <w:r w:rsidR="00762E0A">
              <w:rPr>
                <w:b/>
              </w:rPr>
              <w:t>’</w:t>
            </w:r>
            <w:r w:rsidRPr="00CB05B7">
              <w:rPr>
                <w:b/>
              </w:rPr>
              <w:t>examiner les résolutions 42/214, 45/248A et 53/214 et les décisions 40/555 et 57/589 de l</w:t>
            </w:r>
            <w:r w:rsidR="00762E0A">
              <w:rPr>
                <w:b/>
              </w:rPr>
              <w:t>’</w:t>
            </w:r>
            <w:r w:rsidRPr="00CB05B7">
              <w:rPr>
                <w:b/>
              </w:rPr>
              <w:t>Assemblée générale régissant les conditions de voyage en avion et de formuler d</w:t>
            </w:r>
            <w:r w:rsidR="00762E0A">
              <w:rPr>
                <w:b/>
              </w:rPr>
              <w:t>’</w:t>
            </w:r>
            <w:r w:rsidRPr="00CB05B7">
              <w:rPr>
                <w:b/>
              </w:rPr>
              <w:t>ici à 2019 des propositions de mise à jour et de regroupement des politiques en la matière, compte tenu des évolutions qu</w:t>
            </w:r>
            <w:r w:rsidR="00762E0A">
              <w:rPr>
                <w:b/>
              </w:rPr>
              <w:t>’</w:t>
            </w:r>
            <w:r w:rsidRPr="00CB05B7">
              <w:rPr>
                <w:b/>
              </w:rPr>
              <w:t>ont connues les systèmes et technologies de l</w:t>
            </w:r>
            <w:r w:rsidR="00762E0A">
              <w:rPr>
                <w:b/>
              </w:rPr>
              <w:t>’</w:t>
            </w:r>
            <w:r w:rsidRPr="00CB05B7">
              <w:rPr>
                <w:b/>
              </w:rPr>
              <w:t>information et le secteur des voyages en avion,</w:t>
            </w:r>
            <w:r w:rsidRPr="00CB05B7">
              <w:rPr>
                <w:b/>
                <w:bCs/>
              </w:rPr>
              <w:t xml:space="preserve"> ainsi que des bonnes pratiques d</w:t>
            </w:r>
            <w:r w:rsidR="00762E0A">
              <w:rPr>
                <w:b/>
                <w:bCs/>
              </w:rPr>
              <w:t>’</w:t>
            </w:r>
            <w:r w:rsidRPr="00CB05B7">
              <w:rPr>
                <w:b/>
                <w:bCs/>
              </w:rPr>
              <w:t>autres organismes des Nations Unies.</w:t>
            </w:r>
          </w:p>
        </w:tc>
      </w:tr>
      <w:tr w:rsidR="00CB05B7" w:rsidTr="00A24509">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CB05B7" w:rsidRDefault="00CB05B7" w:rsidP="00A24509"/>
        </w:tc>
      </w:tr>
      <w:tr w:rsidR="003C0D9B" w:rsidRPr="003B5EA4" w:rsidTr="00033655">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3C0D9B" w:rsidRPr="003B5EA4" w:rsidRDefault="003C0D9B" w:rsidP="00CB05B7">
            <w:pPr>
              <w:suppressAutoHyphens w:val="0"/>
              <w:kinsoku/>
              <w:overflowPunct/>
              <w:autoSpaceDE/>
              <w:autoSpaceDN/>
              <w:adjustRightInd/>
              <w:snapToGrid/>
              <w:spacing w:line="240" w:lineRule="auto"/>
            </w:pPr>
          </w:p>
        </w:tc>
      </w:tr>
    </w:tbl>
    <w:p w:rsidR="003C0D9B" w:rsidRPr="003B5EA4" w:rsidRDefault="003C0D9B" w:rsidP="003C0D9B">
      <w:pPr>
        <w:pStyle w:val="SingleTxtG"/>
        <w:spacing w:before="120"/>
        <w:rPr>
          <w:lang w:eastAsia="zh-CN"/>
        </w:rPr>
      </w:pPr>
      <w:r w:rsidRPr="003B5EA4">
        <w:rPr>
          <w:lang w:eastAsia="zh-CN"/>
        </w:rPr>
        <w:t>103.</w:t>
      </w:r>
      <w:r w:rsidRPr="003B5EA4">
        <w:rPr>
          <w:lang w:eastAsia="zh-CN"/>
        </w:rPr>
        <w:tab/>
        <w:t>Nonobstant le nombre croissant d</w:t>
      </w:r>
      <w:r w:rsidR="00762E0A">
        <w:rPr>
          <w:lang w:eastAsia="zh-CN"/>
        </w:rPr>
        <w:t>’</w:t>
      </w:r>
      <w:r w:rsidRPr="003B5EA4">
        <w:rPr>
          <w:lang w:eastAsia="zh-CN"/>
        </w:rPr>
        <w:t>organes et organes subsidiaires dont les voyages sont financés par le système des Nations Unies, la liste des non-fonctionnaires concernés n</w:t>
      </w:r>
      <w:r w:rsidR="00762E0A">
        <w:rPr>
          <w:lang w:eastAsia="zh-CN"/>
        </w:rPr>
        <w:t>’</w:t>
      </w:r>
      <w:r w:rsidRPr="003B5EA4">
        <w:rPr>
          <w:lang w:eastAsia="zh-CN"/>
        </w:rPr>
        <w:t>a pas été mise à jour. Sur ce point, l</w:t>
      </w:r>
      <w:r w:rsidR="00762E0A">
        <w:rPr>
          <w:lang w:eastAsia="zh-CN"/>
        </w:rPr>
        <w:t>’</w:t>
      </w:r>
      <w:r w:rsidRPr="003B5EA4">
        <w:rPr>
          <w:lang w:eastAsia="zh-CN"/>
        </w:rPr>
        <w:t>Inspectrice est d</w:t>
      </w:r>
      <w:r w:rsidR="00762E0A">
        <w:rPr>
          <w:lang w:eastAsia="zh-CN"/>
        </w:rPr>
        <w:t>’</w:t>
      </w:r>
      <w:r w:rsidRPr="003B5EA4">
        <w:rPr>
          <w:lang w:eastAsia="zh-CN"/>
        </w:rPr>
        <w:t>avis que les instructions administratives relatives aux conditions de voyage en avion devraient se référer à la liste complète des organes et organes subsidiaires dont les voyages sont financés par l</w:t>
      </w:r>
      <w:r w:rsidR="00762E0A">
        <w:rPr>
          <w:lang w:eastAsia="zh-CN"/>
        </w:rPr>
        <w:t>’</w:t>
      </w:r>
      <w:r w:rsidRPr="003B5EA4">
        <w:rPr>
          <w:lang w:eastAsia="zh-CN"/>
        </w:rPr>
        <w:t>ONU.</w:t>
      </w:r>
    </w:p>
    <w:p w:rsidR="003C0D9B" w:rsidRPr="003B5EA4" w:rsidRDefault="003C0D9B" w:rsidP="003C0D9B">
      <w:pPr>
        <w:pStyle w:val="SingleTxtG"/>
        <w:spacing w:before="120"/>
        <w:rPr>
          <w:b/>
          <w:bCs/>
          <w:lang w:eastAsia="zh-CN"/>
        </w:rPr>
      </w:pPr>
      <w:r w:rsidRPr="003B5EA4">
        <w:rPr>
          <w:lang w:eastAsia="zh-CN"/>
        </w:rPr>
        <w:t>104.</w:t>
      </w:r>
      <w:r w:rsidRPr="003B5EA4">
        <w:rPr>
          <w:lang w:eastAsia="zh-CN"/>
        </w:rPr>
        <w:tab/>
        <w:t>Dans le cas de l</w:t>
      </w:r>
      <w:r w:rsidR="00762E0A">
        <w:rPr>
          <w:lang w:eastAsia="zh-CN"/>
        </w:rPr>
        <w:t>’</w:t>
      </w:r>
      <w:r w:rsidRPr="003B5EA4">
        <w:rPr>
          <w:lang w:eastAsia="zh-CN"/>
        </w:rPr>
        <w:t>ONU, c</w:t>
      </w:r>
      <w:r w:rsidR="00762E0A">
        <w:rPr>
          <w:lang w:eastAsia="zh-CN"/>
        </w:rPr>
        <w:t>’</w:t>
      </w:r>
      <w:r w:rsidRPr="003B5EA4">
        <w:rPr>
          <w:lang w:eastAsia="zh-CN"/>
        </w:rPr>
        <w:t>est une circulaire datant de 1991</w:t>
      </w:r>
      <w:r w:rsidRPr="003B5EA4">
        <w:rPr>
          <w:rStyle w:val="Appelnotedebasdep"/>
        </w:rPr>
        <w:footnoteReference w:id="112"/>
      </w:r>
      <w:r w:rsidRPr="003B5EA4">
        <w:rPr>
          <w:lang w:eastAsia="zh-CN"/>
        </w:rPr>
        <w:t xml:space="preserve"> qui continue de régir les conditions de voyage en avion des membres des organes et organes subsidiaires qui se déplacent à titre personnel. Ce texte n</w:t>
      </w:r>
      <w:r w:rsidR="00762E0A">
        <w:rPr>
          <w:lang w:eastAsia="zh-CN"/>
        </w:rPr>
        <w:t>’</w:t>
      </w:r>
      <w:r w:rsidRPr="003B5EA4">
        <w:rPr>
          <w:lang w:eastAsia="zh-CN"/>
        </w:rPr>
        <w:t>a pas été modifié par l</w:t>
      </w:r>
      <w:r w:rsidR="00762E0A">
        <w:rPr>
          <w:lang w:eastAsia="zh-CN"/>
        </w:rPr>
        <w:t>’</w:t>
      </w:r>
      <w:r w:rsidRPr="003B5EA4">
        <w:rPr>
          <w:lang w:eastAsia="zh-CN"/>
        </w:rPr>
        <w:t>instruction administrative ST/AI/2013/3, dès lors que dans sa résolution 67/254 l</w:t>
      </w:r>
      <w:r w:rsidR="00762E0A">
        <w:rPr>
          <w:lang w:eastAsia="zh-CN"/>
        </w:rPr>
        <w:t>’</w:t>
      </w:r>
      <w:r w:rsidRPr="003B5EA4">
        <w:rPr>
          <w:lang w:eastAsia="zh-CN"/>
        </w:rPr>
        <w:t xml:space="preserve">Assemblée générale a décidé de ne pas modifier les conditions de voyage en avion de cette catégorie de voyageurs. Pour résoudre cette situation, </w:t>
      </w:r>
      <w:r w:rsidRPr="003B5EA4">
        <w:rPr>
          <w:b/>
          <w:bCs/>
          <w:lang w:eastAsia="zh-CN"/>
        </w:rPr>
        <w:t>le Secrétaire général devrait examiner et mettre à jour la circulaire relative aux conditions de voyage en avion et aux prestations connexes applicables aux non-fonctionnaires, afin d</w:t>
      </w:r>
      <w:r w:rsidR="00762E0A">
        <w:rPr>
          <w:b/>
          <w:bCs/>
          <w:lang w:eastAsia="zh-CN"/>
        </w:rPr>
        <w:t>’</w:t>
      </w:r>
      <w:r w:rsidRPr="003B5EA4">
        <w:rPr>
          <w:b/>
          <w:bCs/>
          <w:lang w:eastAsia="zh-CN"/>
        </w:rPr>
        <w:t>y inclure les organes et organes subsidiaires établis depuis sa publication, et d</w:t>
      </w:r>
      <w:r w:rsidR="00762E0A">
        <w:rPr>
          <w:b/>
          <w:bCs/>
          <w:lang w:eastAsia="zh-CN"/>
        </w:rPr>
        <w:t>’</w:t>
      </w:r>
      <w:r w:rsidRPr="003B5EA4">
        <w:rPr>
          <w:b/>
          <w:bCs/>
          <w:lang w:eastAsia="zh-CN"/>
        </w:rPr>
        <w:t>en supprimer les organes qui n</w:t>
      </w:r>
      <w:r w:rsidR="00762E0A">
        <w:rPr>
          <w:b/>
          <w:bCs/>
          <w:lang w:eastAsia="zh-CN"/>
        </w:rPr>
        <w:t>’</w:t>
      </w:r>
      <w:r w:rsidRPr="003B5EA4">
        <w:rPr>
          <w:b/>
          <w:bCs/>
          <w:lang w:eastAsia="zh-CN"/>
        </w:rPr>
        <w:t>existent plus.</w:t>
      </w:r>
    </w:p>
    <w:p w:rsidR="002E2594" w:rsidRPr="003B5EA4" w:rsidRDefault="002E2594" w:rsidP="002E2594">
      <w:pPr>
        <w:pStyle w:val="H1G"/>
      </w:pPr>
      <w:r w:rsidRPr="003B5EA4">
        <w:rPr>
          <w:lang w:eastAsia="zh-CN"/>
        </w:rPr>
        <w:tab/>
        <w:t>E.</w:t>
      </w:r>
      <w:r w:rsidRPr="003B5EA4">
        <w:rPr>
          <w:lang w:eastAsia="zh-CN"/>
        </w:rPr>
        <w:tab/>
        <w:t>Mise en place d</w:t>
      </w:r>
      <w:r w:rsidR="00762E0A">
        <w:rPr>
          <w:lang w:eastAsia="zh-CN"/>
        </w:rPr>
        <w:t>’</w:t>
      </w:r>
      <w:r w:rsidRPr="003B5EA4">
        <w:rPr>
          <w:lang w:eastAsia="zh-CN"/>
        </w:rPr>
        <w:t>un cadre de responsabilisation solide</w:t>
      </w:r>
    </w:p>
    <w:p w:rsidR="005D71BD" w:rsidRPr="003B5EA4" w:rsidRDefault="002E2594" w:rsidP="005D71BD">
      <w:pPr>
        <w:pStyle w:val="SingleTxtG"/>
        <w:rPr>
          <w:lang w:eastAsia="zh-CN"/>
        </w:rPr>
      </w:pPr>
      <w:r w:rsidRPr="003B5EA4">
        <w:rPr>
          <w:lang w:eastAsia="zh-CN"/>
        </w:rPr>
        <w:t>105.</w:t>
      </w:r>
      <w:r w:rsidRPr="003B5EA4">
        <w:rPr>
          <w:lang w:eastAsia="zh-CN"/>
        </w:rPr>
        <w:tab/>
        <w:t>L</w:t>
      </w:r>
      <w:r w:rsidR="00762E0A">
        <w:rPr>
          <w:lang w:eastAsia="zh-CN"/>
        </w:rPr>
        <w:t>’</w:t>
      </w:r>
      <w:r w:rsidRPr="003B5EA4">
        <w:rPr>
          <w:lang w:eastAsia="zh-CN"/>
        </w:rPr>
        <w:t>Assemblée générale a prié le Secrétaire général, à plusieurs reprises, de tenir les gestionnaires responsables de la bonne utilisation des ressources destinées aux voyages</w:t>
      </w:r>
      <w:r w:rsidRPr="003B5EA4">
        <w:rPr>
          <w:rStyle w:val="Appelnotedebasdep"/>
        </w:rPr>
        <w:footnoteReference w:id="113"/>
      </w:r>
      <w:r w:rsidRPr="003B5EA4">
        <w:rPr>
          <w:lang w:eastAsia="zh-CN"/>
        </w:rPr>
        <w:t>. Pour que puisse s</w:t>
      </w:r>
      <w:r w:rsidR="00762E0A">
        <w:rPr>
          <w:lang w:eastAsia="zh-CN"/>
        </w:rPr>
        <w:t>’</w:t>
      </w:r>
      <w:r w:rsidRPr="003B5EA4">
        <w:rPr>
          <w:lang w:eastAsia="zh-CN"/>
        </w:rPr>
        <w:t>établir un cadre de responsabilisation solide, il importe que les politiques relatives aux voyages définissent clairement les rôles et responsabilités des hauts fonctionnaires concernés ainsi que des fonctionnaires des groupes des voyages, et que soient prises les dispositions de formation appropriées pour veiller au respect des politiques en matière de voyages et à la bonne compréhension des réformes les concernant. Par ailleurs, étant donné les préoccupations accrues que suscitent les questions de sécurité à travers le monde, les organismes doivent veiller à ce que les mesures d</w:t>
      </w:r>
      <w:r w:rsidR="00762E0A">
        <w:rPr>
          <w:lang w:eastAsia="zh-CN"/>
        </w:rPr>
        <w:t>’</w:t>
      </w:r>
      <w:r w:rsidRPr="003B5EA4">
        <w:rPr>
          <w:lang w:eastAsia="zh-CN"/>
        </w:rPr>
        <w:t>efficience ne compromettent pas la sûreté et la sécurité des intéressés</w:t>
      </w:r>
      <w:r w:rsidRPr="003B5EA4">
        <w:rPr>
          <w:rStyle w:val="Appelnotedebasdep"/>
        </w:rPr>
        <w:footnoteReference w:id="114"/>
      </w:r>
      <w:r w:rsidRPr="003B5EA4">
        <w:rPr>
          <w:lang w:eastAsia="zh-CN"/>
        </w:rPr>
        <w:t>.</w:t>
      </w:r>
    </w:p>
    <w:p w:rsidR="001642E4" w:rsidRPr="003B5EA4" w:rsidRDefault="001642E4" w:rsidP="001642E4">
      <w:pPr>
        <w:pStyle w:val="H23G"/>
        <w:rPr>
          <w:lang w:eastAsia="zh-CN"/>
        </w:rPr>
      </w:pPr>
      <w:r w:rsidRPr="003B5EA4">
        <w:rPr>
          <w:lang w:eastAsia="zh-CN"/>
        </w:rPr>
        <w:lastRenderedPageBreak/>
        <w:tab/>
      </w:r>
      <w:r w:rsidRPr="003B5EA4">
        <w:rPr>
          <w:lang w:eastAsia="zh-CN"/>
        </w:rPr>
        <w:tab/>
        <w:t>Rôle des hauts fonctionnaires</w:t>
      </w:r>
    </w:p>
    <w:p w:rsidR="001642E4" w:rsidRPr="003B5EA4" w:rsidRDefault="001642E4" w:rsidP="001642E4">
      <w:pPr>
        <w:pStyle w:val="SingleTxtG"/>
        <w:rPr>
          <w:lang w:eastAsia="zh-CN"/>
        </w:rPr>
      </w:pPr>
      <w:r w:rsidRPr="003B5EA4">
        <w:rPr>
          <w:lang w:eastAsia="zh-CN"/>
        </w:rPr>
        <w:t>106.</w:t>
      </w:r>
      <w:r w:rsidRPr="003B5EA4">
        <w:rPr>
          <w:lang w:eastAsia="zh-CN"/>
        </w:rPr>
        <w:tab/>
        <w:t>Tout gestionnaire a l</w:t>
      </w:r>
      <w:r w:rsidR="00762E0A">
        <w:rPr>
          <w:lang w:eastAsia="zh-CN"/>
        </w:rPr>
        <w:t>’</w:t>
      </w:r>
      <w:r w:rsidRPr="003B5EA4">
        <w:rPr>
          <w:lang w:eastAsia="zh-CN"/>
        </w:rPr>
        <w:t>obligation de veiller à l</w:t>
      </w:r>
      <w:r w:rsidR="00762E0A">
        <w:rPr>
          <w:lang w:eastAsia="zh-CN"/>
        </w:rPr>
        <w:t>’</w:t>
      </w:r>
      <w:r w:rsidRPr="003B5EA4">
        <w:rPr>
          <w:lang w:eastAsia="zh-CN"/>
        </w:rPr>
        <w:t>application des règlements et règles de son organisme. Sa responsabilisation doit être renforcée face à ces nouvelles responsabilités. À cette fin, il faut que les règles en question soient clarifiées et précisées et que soient mis en place des mécanismes pour en assurer le respect. C</w:t>
      </w:r>
      <w:r w:rsidR="00762E0A">
        <w:rPr>
          <w:lang w:eastAsia="zh-CN"/>
        </w:rPr>
        <w:t>’</w:t>
      </w:r>
      <w:r w:rsidRPr="003B5EA4">
        <w:rPr>
          <w:lang w:eastAsia="zh-CN"/>
        </w:rPr>
        <w:t>est la première étape vers l</w:t>
      </w:r>
      <w:r w:rsidR="00762E0A">
        <w:rPr>
          <w:lang w:eastAsia="zh-CN"/>
        </w:rPr>
        <w:t>’</w:t>
      </w:r>
      <w:r w:rsidRPr="003B5EA4">
        <w:rPr>
          <w:lang w:eastAsia="zh-CN"/>
        </w:rPr>
        <w:t>instauration d</w:t>
      </w:r>
      <w:r w:rsidR="00762E0A">
        <w:rPr>
          <w:lang w:eastAsia="zh-CN"/>
        </w:rPr>
        <w:t>’</w:t>
      </w:r>
      <w:r w:rsidRPr="003B5EA4">
        <w:rPr>
          <w:lang w:eastAsia="zh-CN"/>
        </w:rPr>
        <w:t>une culture de responsabilisation et de responsabilité qui doit conduire à une exploitation plus efficace des ressources du budget-programme.</w:t>
      </w:r>
    </w:p>
    <w:p w:rsidR="001642E4" w:rsidRPr="003B5EA4" w:rsidRDefault="001642E4" w:rsidP="001642E4">
      <w:pPr>
        <w:pStyle w:val="SingleTxtG"/>
        <w:rPr>
          <w:lang w:eastAsia="zh-CN"/>
        </w:rPr>
      </w:pPr>
      <w:r w:rsidRPr="003B5EA4">
        <w:rPr>
          <w:lang w:eastAsia="zh-CN"/>
        </w:rPr>
        <w:t>107.</w:t>
      </w:r>
      <w:r w:rsidRPr="003B5EA4">
        <w:rPr>
          <w:lang w:eastAsia="zh-CN"/>
        </w:rPr>
        <w:tab/>
        <w:t>La responsabilité du respect des politiques de l</w:t>
      </w:r>
      <w:r w:rsidR="00762E0A">
        <w:rPr>
          <w:lang w:eastAsia="zh-CN"/>
        </w:rPr>
        <w:t>’</w:t>
      </w:r>
      <w:r w:rsidRPr="003B5EA4">
        <w:rPr>
          <w:lang w:eastAsia="zh-CN"/>
        </w:rPr>
        <w:t>organisme ne peut s</w:t>
      </w:r>
      <w:r w:rsidR="00762E0A">
        <w:rPr>
          <w:lang w:eastAsia="zh-CN"/>
        </w:rPr>
        <w:t>’</w:t>
      </w:r>
      <w:r w:rsidRPr="003B5EA4">
        <w:rPr>
          <w:lang w:eastAsia="zh-CN"/>
        </w:rPr>
        <w:t>assumer qu</w:t>
      </w:r>
      <w:r w:rsidR="00762E0A">
        <w:rPr>
          <w:lang w:eastAsia="zh-CN"/>
        </w:rPr>
        <w:t>’</w:t>
      </w:r>
      <w:r w:rsidRPr="003B5EA4">
        <w:rPr>
          <w:lang w:eastAsia="zh-CN"/>
        </w:rPr>
        <w:t>avec la participation active de la direction. Selon une étude effectuée par un institut de recherche privé en 2008, 45 % des gestionnaires des voyages interrogés ont cité le manque de soutien de la direction au premier rang des obstacles à un meilleur respect des politiques en matière de voyages, ajoutant que la communication de ces politiques par les cadres supérieurs était « probablement la façon la plus efficace de sensibiliser le personnel aux règles de gestion des voyages, de surmonter leur résistance éventuelle à tout changement nécessaire et de promouvoir le respect de la politique »</w:t>
      </w:r>
      <w:r w:rsidRPr="003B5EA4">
        <w:rPr>
          <w:rStyle w:val="Appelnotedebasdep"/>
        </w:rPr>
        <w:footnoteReference w:id="115"/>
      </w:r>
      <w:r w:rsidRPr="003B5EA4">
        <w:rPr>
          <w:lang w:eastAsia="zh-CN"/>
        </w:rPr>
        <w:t>. Dans l</w:t>
      </w:r>
      <w:r w:rsidR="00762E0A">
        <w:rPr>
          <w:lang w:eastAsia="zh-CN"/>
        </w:rPr>
        <w:t>’</w:t>
      </w:r>
      <w:r w:rsidRPr="003B5EA4">
        <w:rPr>
          <w:lang w:eastAsia="zh-CN"/>
        </w:rPr>
        <w:t>administration des voyages en avion, qui appelle une étroite coordination avec les groupes des voyages, le haut responsable qui s</w:t>
      </w:r>
      <w:r w:rsidR="00762E0A">
        <w:rPr>
          <w:lang w:eastAsia="zh-CN"/>
        </w:rPr>
        <w:t>’</w:t>
      </w:r>
      <w:r w:rsidRPr="003B5EA4">
        <w:rPr>
          <w:lang w:eastAsia="zh-CN"/>
        </w:rPr>
        <w:t>investit et communique en amont est un élément particulièrement précieux.</w:t>
      </w:r>
    </w:p>
    <w:p w:rsidR="0003104C" w:rsidRPr="003B5EA4" w:rsidRDefault="0003104C" w:rsidP="001642E4">
      <w:pPr>
        <w:pStyle w:val="SingleTxtG"/>
        <w:rPr>
          <w:bCs/>
          <w:lang w:eastAsia="zh-CN"/>
        </w:rPr>
      </w:pPr>
      <w:r w:rsidRPr="003B5EA4">
        <w:rPr>
          <w:lang w:eastAsia="zh-CN"/>
        </w:rPr>
        <w:t>108.</w:t>
      </w:r>
      <w:r w:rsidRPr="003B5EA4">
        <w:rPr>
          <w:lang w:eastAsia="zh-CN"/>
        </w:rPr>
        <w:tab/>
      </w:r>
      <w:r w:rsidRPr="003B5EA4">
        <w:rPr>
          <w:b/>
          <w:bCs/>
          <w:lang w:eastAsia="zh-CN"/>
        </w:rPr>
        <w:t>L</w:t>
      </w:r>
      <w:r w:rsidR="00762E0A">
        <w:rPr>
          <w:b/>
          <w:bCs/>
          <w:lang w:eastAsia="zh-CN"/>
        </w:rPr>
        <w:t>’</w:t>
      </w:r>
      <w:r w:rsidR="00A407BE">
        <w:rPr>
          <w:b/>
          <w:bCs/>
          <w:lang w:eastAsia="zh-CN"/>
        </w:rPr>
        <w:t>I</w:t>
      </w:r>
      <w:r w:rsidRPr="003B5EA4">
        <w:rPr>
          <w:b/>
          <w:bCs/>
          <w:lang w:eastAsia="zh-CN"/>
        </w:rPr>
        <w:t>nspectrice est d</w:t>
      </w:r>
      <w:r w:rsidR="00762E0A">
        <w:rPr>
          <w:b/>
          <w:bCs/>
          <w:lang w:eastAsia="zh-CN"/>
        </w:rPr>
        <w:t>’</w:t>
      </w:r>
      <w:r w:rsidRPr="003B5EA4">
        <w:rPr>
          <w:b/>
          <w:bCs/>
          <w:lang w:eastAsia="zh-CN"/>
        </w:rPr>
        <w:t>avis que, conformément aux conclusions du rapport du CCI sur les dispositifs d</w:t>
      </w:r>
      <w:r w:rsidR="00762E0A">
        <w:rPr>
          <w:b/>
          <w:bCs/>
          <w:lang w:eastAsia="zh-CN"/>
        </w:rPr>
        <w:t>’</w:t>
      </w:r>
      <w:r w:rsidRPr="003B5EA4">
        <w:rPr>
          <w:b/>
          <w:bCs/>
          <w:lang w:eastAsia="zh-CN"/>
        </w:rPr>
        <w:t>application du principe de responsabilité dans les organismes des Nations Unies, les chefs de secrétariat doivent définir clairement les fonctions et responsabilités des fonctionnaires aux différents niveaux de l</w:t>
      </w:r>
      <w:r w:rsidR="00762E0A">
        <w:rPr>
          <w:b/>
          <w:bCs/>
          <w:lang w:eastAsia="zh-CN"/>
        </w:rPr>
        <w:t>’</w:t>
      </w:r>
      <w:r w:rsidRPr="003B5EA4">
        <w:rPr>
          <w:b/>
          <w:bCs/>
          <w:lang w:eastAsia="zh-CN"/>
        </w:rPr>
        <w:t>administration des voyages, moyennant une indication précise de « qui est chargé de faire quoi » et des seuils à partir desquels une décision doit être renvoyée au sommet de la chaîne hiérarchique. Les règlements, règles et décisions établissant les délégations de pouvoirs doivent clairement indiquer qui est responsable à chaque étape des activités de l</w:t>
      </w:r>
      <w:r w:rsidR="00762E0A">
        <w:rPr>
          <w:b/>
          <w:bCs/>
          <w:lang w:eastAsia="zh-CN"/>
        </w:rPr>
        <w:t>’</w:t>
      </w:r>
      <w:r w:rsidRPr="003B5EA4">
        <w:rPr>
          <w:b/>
          <w:bCs/>
          <w:lang w:eastAsia="zh-CN"/>
        </w:rPr>
        <w:t>organisation</w:t>
      </w:r>
      <w:r w:rsidRPr="003B5EA4">
        <w:rPr>
          <w:rStyle w:val="Appelnotedebasdep"/>
        </w:rPr>
        <w:footnoteReference w:id="116"/>
      </w:r>
      <w:r w:rsidRPr="003B5EA4">
        <w:rPr>
          <w:bCs/>
          <w:lang w:eastAsia="zh-CN"/>
        </w:rPr>
        <w:t>.</w:t>
      </w:r>
    </w:p>
    <w:p w:rsidR="0003104C" w:rsidRPr="003B5EA4" w:rsidRDefault="0003104C" w:rsidP="00737C8D">
      <w:pPr>
        <w:pStyle w:val="H23G"/>
      </w:pPr>
      <w:r w:rsidRPr="003B5EA4">
        <w:rPr>
          <w:lang w:eastAsia="zh-CN"/>
        </w:rPr>
        <w:tab/>
      </w:r>
      <w:r w:rsidRPr="003B5EA4">
        <w:rPr>
          <w:lang w:eastAsia="zh-CN"/>
        </w:rPr>
        <w:tab/>
      </w:r>
      <w:r w:rsidR="00737C8D" w:rsidRPr="003B5EA4">
        <w:rPr>
          <w:lang w:eastAsia="zh-CN"/>
        </w:rPr>
        <w:t>Rôle des fonctionnaires du groupe des voyages</w:t>
      </w:r>
    </w:p>
    <w:p w:rsidR="0003104C" w:rsidRPr="003B5EA4" w:rsidRDefault="0003104C" w:rsidP="001642E4">
      <w:pPr>
        <w:pStyle w:val="SingleTxtG"/>
        <w:rPr>
          <w:bCs/>
          <w:lang w:eastAsia="zh-CN"/>
        </w:rPr>
      </w:pPr>
      <w:r w:rsidRPr="003B5EA4">
        <w:rPr>
          <w:bCs/>
          <w:lang w:eastAsia="zh-CN"/>
        </w:rPr>
        <w:t>109.</w:t>
      </w:r>
      <w:r w:rsidRPr="003B5EA4">
        <w:rPr>
          <w:bCs/>
          <w:lang w:eastAsia="zh-CN"/>
        </w:rPr>
        <w:tab/>
      </w:r>
      <w:r w:rsidR="00737C8D" w:rsidRPr="003B5EA4">
        <w:rPr>
          <w:bCs/>
          <w:lang w:eastAsia="zh-CN"/>
        </w:rPr>
        <w:t>Les informations reçues des organisations participantes concernant les responsabilités et la structure de leurs groupes des voyages donnent à conclure que les fonctions de ces services sont essentiellement limitées à la réservation et à l</w:t>
      </w:r>
      <w:r w:rsidR="00762E0A">
        <w:rPr>
          <w:bCs/>
          <w:lang w:eastAsia="zh-CN"/>
        </w:rPr>
        <w:t>’</w:t>
      </w:r>
      <w:r w:rsidR="00737C8D" w:rsidRPr="003B5EA4">
        <w:rPr>
          <w:bCs/>
          <w:lang w:eastAsia="zh-CN"/>
        </w:rPr>
        <w:t>achat des billets et à la vérification de la bonne application des règlements relatifs aux voyages et aux tarifs. En règle générale, les groupes des voyages n</w:t>
      </w:r>
      <w:r w:rsidR="00762E0A">
        <w:rPr>
          <w:bCs/>
          <w:lang w:eastAsia="zh-CN"/>
        </w:rPr>
        <w:t>’</w:t>
      </w:r>
      <w:r w:rsidR="00737C8D" w:rsidRPr="003B5EA4">
        <w:rPr>
          <w:bCs/>
          <w:lang w:eastAsia="zh-CN"/>
        </w:rPr>
        <w:t>ont pas les moyens d</w:t>
      </w:r>
      <w:r w:rsidR="00762E0A">
        <w:rPr>
          <w:bCs/>
          <w:lang w:eastAsia="zh-CN"/>
        </w:rPr>
        <w:t>’</w:t>
      </w:r>
      <w:r w:rsidR="00737C8D" w:rsidRPr="003B5EA4">
        <w:rPr>
          <w:bCs/>
          <w:lang w:eastAsia="zh-CN"/>
        </w:rPr>
        <w:t>évaluer et d</w:t>
      </w:r>
      <w:r w:rsidR="00762E0A">
        <w:rPr>
          <w:bCs/>
          <w:lang w:eastAsia="zh-CN"/>
        </w:rPr>
        <w:t>’</w:t>
      </w:r>
      <w:r w:rsidR="00737C8D" w:rsidRPr="003B5EA4">
        <w:rPr>
          <w:bCs/>
          <w:lang w:eastAsia="zh-CN"/>
        </w:rPr>
        <w:t>adopter d</w:t>
      </w:r>
      <w:r w:rsidR="00762E0A">
        <w:rPr>
          <w:bCs/>
          <w:lang w:eastAsia="zh-CN"/>
        </w:rPr>
        <w:t>’</w:t>
      </w:r>
      <w:r w:rsidR="00737C8D" w:rsidRPr="003B5EA4">
        <w:rPr>
          <w:bCs/>
          <w:lang w:eastAsia="zh-CN"/>
        </w:rPr>
        <w:t>éventuelles innovations en raison du volume élevé de travail de procédure et d</w:t>
      </w:r>
      <w:r w:rsidR="00762E0A">
        <w:rPr>
          <w:bCs/>
          <w:lang w:eastAsia="zh-CN"/>
        </w:rPr>
        <w:t>’</w:t>
      </w:r>
      <w:r w:rsidR="00737C8D" w:rsidRPr="003B5EA4">
        <w:rPr>
          <w:bCs/>
          <w:lang w:eastAsia="zh-CN"/>
        </w:rPr>
        <w:t>administration qui leur incombe et de leurs effectifs réduits.</w:t>
      </w:r>
    </w:p>
    <w:p w:rsidR="00737C8D" w:rsidRPr="003B5EA4" w:rsidRDefault="00737C8D" w:rsidP="001642E4">
      <w:pPr>
        <w:pStyle w:val="SingleTxtG"/>
        <w:rPr>
          <w:bCs/>
          <w:lang w:eastAsia="zh-CN"/>
        </w:rPr>
      </w:pPr>
      <w:r w:rsidRPr="003B5EA4">
        <w:rPr>
          <w:bCs/>
          <w:lang w:eastAsia="zh-CN"/>
        </w:rPr>
        <w:t>110.</w:t>
      </w:r>
      <w:r w:rsidRPr="003B5EA4">
        <w:rPr>
          <w:bCs/>
          <w:lang w:eastAsia="zh-CN"/>
        </w:rPr>
        <w:tab/>
        <w:t>Pour qu</w:t>
      </w:r>
      <w:r w:rsidR="00762E0A">
        <w:rPr>
          <w:bCs/>
          <w:lang w:eastAsia="zh-CN"/>
        </w:rPr>
        <w:t>’</w:t>
      </w:r>
      <w:r w:rsidRPr="003B5EA4">
        <w:rPr>
          <w:bCs/>
          <w:lang w:eastAsia="zh-CN"/>
        </w:rPr>
        <w:t>une approche plus dynamique puissent être adoptée, il faudrait que les groupes des voyages soient versatiles et à même de consacrer du temps à l</w:t>
      </w:r>
      <w:r w:rsidR="00762E0A">
        <w:rPr>
          <w:bCs/>
          <w:lang w:eastAsia="zh-CN"/>
        </w:rPr>
        <w:t>’</w:t>
      </w:r>
      <w:r w:rsidRPr="003B5EA4">
        <w:rPr>
          <w:bCs/>
          <w:lang w:eastAsia="zh-CN"/>
        </w:rPr>
        <w:t>exploitation de nouvelles possibilités offertes par le marché et à la mise en œuvre de méthodes de travail innovantes. À cet égard, les définitions d</w:t>
      </w:r>
      <w:r w:rsidR="00762E0A">
        <w:rPr>
          <w:bCs/>
          <w:lang w:eastAsia="zh-CN"/>
        </w:rPr>
        <w:t>’</w:t>
      </w:r>
      <w:r w:rsidRPr="003B5EA4">
        <w:rPr>
          <w:bCs/>
          <w:lang w:eastAsia="zh-CN"/>
        </w:rPr>
        <w:t>emploi du personnel des groupes des voyages devraient faire l</w:t>
      </w:r>
      <w:r w:rsidR="00762E0A">
        <w:rPr>
          <w:bCs/>
          <w:lang w:eastAsia="zh-CN"/>
        </w:rPr>
        <w:t>’</w:t>
      </w:r>
      <w:r w:rsidRPr="003B5EA4">
        <w:rPr>
          <w:bCs/>
          <w:lang w:eastAsia="zh-CN"/>
        </w:rPr>
        <w:t>objet de mises à jour régulières afin de tenir compte de la nature évolutive du secteur des voyages aériens, d</w:t>
      </w:r>
      <w:r w:rsidR="00762E0A">
        <w:rPr>
          <w:bCs/>
          <w:lang w:eastAsia="zh-CN"/>
        </w:rPr>
        <w:t>’</w:t>
      </w:r>
      <w:r w:rsidRPr="003B5EA4">
        <w:rPr>
          <w:bCs/>
          <w:lang w:eastAsia="zh-CN"/>
        </w:rPr>
        <w:t>inclure les compétences plus pointues nécessaires pour suivre les changements, et de favoriser une plus grande adéquation entre les termes de la définition d</w:t>
      </w:r>
      <w:r w:rsidR="00762E0A">
        <w:rPr>
          <w:bCs/>
          <w:lang w:eastAsia="zh-CN"/>
        </w:rPr>
        <w:t>’</w:t>
      </w:r>
      <w:r w:rsidRPr="003B5EA4">
        <w:rPr>
          <w:bCs/>
          <w:lang w:eastAsia="zh-CN"/>
        </w:rPr>
        <w:t>emploi et les tâches quotidiennes des fonctionnaires qui se consacrent aux activités d</w:t>
      </w:r>
      <w:r w:rsidR="00762E0A">
        <w:rPr>
          <w:bCs/>
          <w:lang w:eastAsia="zh-CN"/>
        </w:rPr>
        <w:t>’</w:t>
      </w:r>
      <w:r w:rsidRPr="003B5EA4">
        <w:rPr>
          <w:bCs/>
          <w:lang w:eastAsia="zh-CN"/>
        </w:rPr>
        <w:t>administration des voyages</w:t>
      </w:r>
      <w:r w:rsidRPr="003B5EA4">
        <w:rPr>
          <w:rStyle w:val="Appelnotedebasdep"/>
        </w:rPr>
        <w:footnoteReference w:id="117"/>
      </w:r>
      <w:r w:rsidRPr="003B5EA4">
        <w:rPr>
          <w:bCs/>
          <w:lang w:eastAsia="zh-CN"/>
        </w:rPr>
        <w:t>. Les plans de travail et les évaluations des résultats devraient également comprendre des objectifs clairs afin d</w:t>
      </w:r>
      <w:r w:rsidR="00762E0A">
        <w:rPr>
          <w:bCs/>
          <w:lang w:eastAsia="zh-CN"/>
        </w:rPr>
        <w:t>’</w:t>
      </w:r>
      <w:r w:rsidRPr="003B5EA4">
        <w:rPr>
          <w:bCs/>
          <w:lang w:eastAsia="zh-CN"/>
        </w:rPr>
        <w:t>assurer le développement régulier des compétences au moyen de formations appropriées.</w:t>
      </w:r>
    </w:p>
    <w:p w:rsidR="00737C8D" w:rsidRPr="003B5EA4" w:rsidRDefault="00737C8D" w:rsidP="00737C8D">
      <w:pPr>
        <w:pStyle w:val="H23G"/>
      </w:pPr>
      <w:r w:rsidRPr="003B5EA4">
        <w:rPr>
          <w:lang w:eastAsia="zh-CN"/>
        </w:rPr>
        <w:lastRenderedPageBreak/>
        <w:tab/>
      </w:r>
      <w:r w:rsidRPr="003B5EA4">
        <w:rPr>
          <w:lang w:eastAsia="zh-CN"/>
        </w:rPr>
        <w:tab/>
        <w:t>Amélioration de la formation et des connaissances relatives aux politiques et pratiques d</w:t>
      </w:r>
      <w:r w:rsidR="00762E0A">
        <w:rPr>
          <w:lang w:eastAsia="zh-CN"/>
        </w:rPr>
        <w:t>’</w:t>
      </w:r>
      <w:r w:rsidRPr="003B5EA4">
        <w:rPr>
          <w:lang w:eastAsia="zh-CN"/>
        </w:rPr>
        <w:t>administration des voyages</w:t>
      </w:r>
    </w:p>
    <w:p w:rsidR="00737C8D" w:rsidRPr="003B5EA4" w:rsidRDefault="00737C8D" w:rsidP="001642E4">
      <w:pPr>
        <w:pStyle w:val="SingleTxtG"/>
        <w:rPr>
          <w:bCs/>
          <w:lang w:eastAsia="zh-CN"/>
        </w:rPr>
      </w:pPr>
      <w:r w:rsidRPr="003B5EA4">
        <w:rPr>
          <w:bCs/>
          <w:lang w:eastAsia="zh-CN"/>
        </w:rPr>
        <w:t>111.</w:t>
      </w:r>
      <w:r w:rsidRPr="003B5EA4">
        <w:rPr>
          <w:bCs/>
          <w:lang w:eastAsia="zh-CN"/>
        </w:rPr>
        <w:tab/>
        <w:t>Face aux complexités et subtilités des politiques en matière de voyages, le personnel des groupes des voyages devrait avoir une formation et des connaissances suffisantes pour expliquer aux voyageurs les économies ou autres avantages visés par les révisions de ces politiques. Leurs connaissances devraient également leur permettre de répondre aux demandes de renseignements et de mettre sur pied et de mener des séances d</w:t>
      </w:r>
      <w:r w:rsidR="00762E0A">
        <w:rPr>
          <w:bCs/>
          <w:lang w:eastAsia="zh-CN"/>
        </w:rPr>
        <w:t>’</w:t>
      </w:r>
      <w:r w:rsidRPr="003B5EA4">
        <w:rPr>
          <w:bCs/>
          <w:lang w:eastAsia="zh-CN"/>
        </w:rPr>
        <w:t>information et de formation relatives à la politique en matière de voyages et au processus et outils de réservation.</w:t>
      </w:r>
    </w:p>
    <w:p w:rsidR="00737C8D" w:rsidRPr="003B5EA4" w:rsidRDefault="00737C8D" w:rsidP="001642E4">
      <w:pPr>
        <w:pStyle w:val="SingleTxtG"/>
        <w:rPr>
          <w:bCs/>
          <w:lang w:eastAsia="zh-CN"/>
        </w:rPr>
      </w:pPr>
      <w:r w:rsidRPr="003B5EA4">
        <w:rPr>
          <w:bCs/>
          <w:lang w:eastAsia="zh-CN"/>
        </w:rPr>
        <w:t>112.</w:t>
      </w:r>
      <w:r w:rsidRPr="003B5EA4">
        <w:rPr>
          <w:bCs/>
          <w:lang w:eastAsia="zh-CN"/>
        </w:rPr>
        <w:tab/>
        <w:t>En ce qui concerne les données fournies concernant la formation, il apparaît que différentes méthodes et outils de formation sont utilisés par les organismes des Nations Unies. À titre d</w:t>
      </w:r>
      <w:r w:rsidR="00762E0A">
        <w:rPr>
          <w:bCs/>
          <w:lang w:eastAsia="zh-CN"/>
        </w:rPr>
        <w:t>’</w:t>
      </w:r>
      <w:r w:rsidRPr="003B5EA4">
        <w:rPr>
          <w:bCs/>
          <w:lang w:eastAsia="zh-CN"/>
        </w:rPr>
        <w:t>exemple, 15 d</w:t>
      </w:r>
      <w:r w:rsidR="00762E0A">
        <w:rPr>
          <w:bCs/>
          <w:lang w:eastAsia="zh-CN"/>
        </w:rPr>
        <w:t>’</w:t>
      </w:r>
      <w:r w:rsidRPr="003B5EA4">
        <w:rPr>
          <w:bCs/>
          <w:lang w:eastAsia="zh-CN"/>
        </w:rPr>
        <w:t>entre elles disent organiser des séances de formation en personne ou en ligne, des ateliers ou des séances d</w:t>
      </w:r>
      <w:r w:rsidR="00762E0A">
        <w:rPr>
          <w:bCs/>
          <w:lang w:eastAsia="zh-CN"/>
        </w:rPr>
        <w:t>’</w:t>
      </w:r>
      <w:r w:rsidRPr="003B5EA4">
        <w:rPr>
          <w:bCs/>
          <w:lang w:eastAsia="zh-CN"/>
        </w:rPr>
        <w:t>information sur des questions relatives aux voyages en avion, destinées soit à tout le personnel ou seulement aux fonctionnaires qui travaillent directement dans le domaine de voyages en avion</w:t>
      </w:r>
      <w:r w:rsidRPr="003B5EA4">
        <w:rPr>
          <w:rStyle w:val="Appelnotedebasdep"/>
        </w:rPr>
        <w:footnoteReference w:id="118"/>
      </w:r>
      <w:r w:rsidRPr="003B5EA4">
        <w:rPr>
          <w:bCs/>
          <w:lang w:eastAsia="zh-CN"/>
        </w:rPr>
        <w:t>. Chaque entité des Nations Unies devrait évaluer l</w:t>
      </w:r>
      <w:r w:rsidR="00762E0A">
        <w:rPr>
          <w:bCs/>
          <w:lang w:eastAsia="zh-CN"/>
        </w:rPr>
        <w:t>’</w:t>
      </w:r>
      <w:r w:rsidRPr="003B5EA4">
        <w:rPr>
          <w:bCs/>
          <w:lang w:eastAsia="zh-CN"/>
        </w:rPr>
        <w:t>efficacité des formations qu</w:t>
      </w:r>
      <w:r w:rsidR="00762E0A">
        <w:rPr>
          <w:bCs/>
          <w:lang w:eastAsia="zh-CN"/>
        </w:rPr>
        <w:t>’</w:t>
      </w:r>
      <w:r w:rsidRPr="003B5EA4">
        <w:rPr>
          <w:bCs/>
          <w:lang w:eastAsia="zh-CN"/>
        </w:rPr>
        <w:t>elle propose et partager ses conclusions par le truchement de la plateforme du Réseau interinstitutions Voyages afin que puissent être mis en évidence les pratiques et outils susceptibles d</w:t>
      </w:r>
      <w:r w:rsidR="00762E0A">
        <w:rPr>
          <w:bCs/>
          <w:lang w:eastAsia="zh-CN"/>
        </w:rPr>
        <w:t>’</w:t>
      </w:r>
      <w:r w:rsidRPr="003B5EA4">
        <w:rPr>
          <w:bCs/>
          <w:lang w:eastAsia="zh-CN"/>
        </w:rPr>
        <w:t>être reproduits.</w:t>
      </w:r>
    </w:p>
    <w:p w:rsidR="00737C8D" w:rsidRPr="003B5EA4" w:rsidRDefault="00737C8D" w:rsidP="001642E4">
      <w:pPr>
        <w:pStyle w:val="SingleTxtG"/>
        <w:rPr>
          <w:b/>
          <w:lang w:eastAsia="zh-CN"/>
        </w:rPr>
      </w:pPr>
      <w:r w:rsidRPr="003B5EA4">
        <w:rPr>
          <w:lang w:eastAsia="zh-CN"/>
        </w:rPr>
        <w:t>113.</w:t>
      </w:r>
      <w:r w:rsidRPr="003B5EA4">
        <w:rPr>
          <w:lang w:eastAsia="zh-CN"/>
        </w:rPr>
        <w:tab/>
      </w:r>
      <w:r w:rsidRPr="003B5EA4">
        <w:rPr>
          <w:b/>
          <w:lang w:eastAsia="zh-CN"/>
        </w:rPr>
        <w:t>L</w:t>
      </w:r>
      <w:r w:rsidR="00762E0A">
        <w:rPr>
          <w:b/>
          <w:lang w:eastAsia="zh-CN"/>
        </w:rPr>
        <w:t>’</w:t>
      </w:r>
      <w:r w:rsidRPr="003B5EA4">
        <w:rPr>
          <w:b/>
          <w:lang w:eastAsia="zh-CN"/>
        </w:rPr>
        <w:t>Inspectrice est d</w:t>
      </w:r>
      <w:r w:rsidR="00762E0A">
        <w:rPr>
          <w:b/>
          <w:lang w:eastAsia="zh-CN"/>
        </w:rPr>
        <w:t>’</w:t>
      </w:r>
      <w:r w:rsidRPr="003B5EA4">
        <w:rPr>
          <w:b/>
          <w:lang w:eastAsia="zh-CN"/>
        </w:rPr>
        <w:t>avis que les chefs de secrétariat des organismes des Nations Unies qui ne l</w:t>
      </w:r>
      <w:r w:rsidR="00762E0A">
        <w:rPr>
          <w:b/>
          <w:lang w:eastAsia="zh-CN"/>
        </w:rPr>
        <w:t>’</w:t>
      </w:r>
      <w:r w:rsidRPr="003B5EA4">
        <w:rPr>
          <w:b/>
          <w:lang w:eastAsia="zh-CN"/>
        </w:rPr>
        <w:t>ont pas encore fait devraient veiller à ce que leurs politiques en matière de voyages soient largement diffusées, disponibles et accessibles sur l</w:t>
      </w:r>
      <w:r w:rsidR="00762E0A">
        <w:rPr>
          <w:b/>
          <w:lang w:eastAsia="zh-CN"/>
        </w:rPr>
        <w:t>’</w:t>
      </w:r>
      <w:r w:rsidRPr="003B5EA4">
        <w:rPr>
          <w:b/>
          <w:lang w:eastAsia="zh-CN"/>
        </w:rPr>
        <w:t>Intranet, à l</w:t>
      </w:r>
      <w:r w:rsidR="00762E0A">
        <w:rPr>
          <w:b/>
          <w:lang w:eastAsia="zh-CN"/>
        </w:rPr>
        <w:t>’</w:t>
      </w:r>
      <w:r w:rsidRPr="003B5EA4">
        <w:rPr>
          <w:b/>
          <w:lang w:eastAsia="zh-CN"/>
        </w:rPr>
        <w:t>intention de tous les membres du personnel, sous une forme conviviale. À cette fin, ils devraient évaluer leurs stratégies de formation et de communication relatives aux politiques en matière de voyages afin de minimiser les risques et d</w:t>
      </w:r>
      <w:r w:rsidR="00762E0A">
        <w:rPr>
          <w:b/>
          <w:lang w:eastAsia="zh-CN"/>
        </w:rPr>
        <w:t>’</w:t>
      </w:r>
      <w:r w:rsidRPr="003B5EA4">
        <w:rPr>
          <w:b/>
          <w:lang w:eastAsia="zh-CN"/>
        </w:rPr>
        <w:t>encourager l</w:t>
      </w:r>
      <w:r w:rsidR="00762E0A">
        <w:rPr>
          <w:b/>
          <w:lang w:eastAsia="zh-CN"/>
        </w:rPr>
        <w:t>’</w:t>
      </w:r>
      <w:r w:rsidRPr="003B5EA4">
        <w:rPr>
          <w:b/>
          <w:lang w:eastAsia="zh-CN"/>
        </w:rPr>
        <w:t>adhésion.</w:t>
      </w:r>
    </w:p>
    <w:p w:rsidR="000E1A4F" w:rsidRPr="003B5EA4" w:rsidRDefault="000E1A4F" w:rsidP="000E1A4F">
      <w:pPr>
        <w:pStyle w:val="H23G"/>
        <w:rPr>
          <w:lang w:eastAsia="zh-CN"/>
        </w:rPr>
      </w:pPr>
      <w:r w:rsidRPr="003B5EA4">
        <w:rPr>
          <w:lang w:eastAsia="zh-CN"/>
        </w:rPr>
        <w:tab/>
      </w:r>
      <w:r w:rsidRPr="003B5EA4">
        <w:rPr>
          <w:lang w:eastAsia="zh-CN"/>
        </w:rPr>
        <w:tab/>
        <w:t>Devoir de protection de la sûreté et de la sécurité des voyageurs</w:t>
      </w:r>
    </w:p>
    <w:p w:rsidR="000E1A4F" w:rsidRPr="003B5EA4" w:rsidRDefault="009146A9" w:rsidP="009146A9">
      <w:pPr>
        <w:pStyle w:val="SingleTxtG"/>
        <w:rPr>
          <w:lang w:eastAsia="zh-CN"/>
        </w:rPr>
      </w:pPr>
      <w:r w:rsidRPr="003B5EA4">
        <w:rPr>
          <w:lang w:eastAsia="zh-CN"/>
        </w:rPr>
        <w:t>114.</w:t>
      </w:r>
      <w:r w:rsidRPr="003B5EA4">
        <w:rPr>
          <w:lang w:eastAsia="zh-CN"/>
        </w:rPr>
        <w:tab/>
        <w:t>Vu que les ressources humaines sont le principal atout de toute organisation, la sûreté, la sécurité et le bien-être du personnel devraient rester des considérations non négociable</w:t>
      </w:r>
      <w:r w:rsidR="00220EB3">
        <w:rPr>
          <w:lang w:eastAsia="zh-CN"/>
        </w:rPr>
        <w:t>s</w:t>
      </w:r>
      <w:r w:rsidRPr="003B5EA4">
        <w:rPr>
          <w:lang w:eastAsia="zh-CN"/>
        </w:rPr>
        <w:t xml:space="preserve"> lorsqu</w:t>
      </w:r>
      <w:r w:rsidR="005B3474">
        <w:rPr>
          <w:lang w:eastAsia="zh-CN"/>
        </w:rPr>
        <w:t xml:space="preserve">e </w:t>
      </w:r>
      <w:r w:rsidRPr="003B5EA4">
        <w:rPr>
          <w:lang w:eastAsia="zh-CN"/>
        </w:rPr>
        <w:t>est planifié un voyage en mission. Il importe de prêter attention à l</w:t>
      </w:r>
      <w:r w:rsidR="00762E0A">
        <w:rPr>
          <w:lang w:eastAsia="zh-CN"/>
        </w:rPr>
        <w:t>’</w:t>
      </w:r>
      <w:r w:rsidRPr="003B5EA4">
        <w:rPr>
          <w:lang w:eastAsia="zh-CN"/>
        </w:rPr>
        <w:t>équilibre entre le travail et la vie privée de l</w:t>
      </w:r>
      <w:r w:rsidR="00762E0A">
        <w:rPr>
          <w:lang w:eastAsia="zh-CN"/>
        </w:rPr>
        <w:t>’</w:t>
      </w:r>
      <w:r w:rsidRPr="003B5EA4">
        <w:rPr>
          <w:lang w:eastAsia="zh-CN"/>
        </w:rPr>
        <w:t>employé dans le traitement des demandes de voyage et d</w:t>
      </w:r>
      <w:r w:rsidR="00762E0A">
        <w:rPr>
          <w:lang w:eastAsia="zh-CN"/>
        </w:rPr>
        <w:t>’</w:t>
      </w:r>
      <w:r w:rsidRPr="003B5EA4">
        <w:rPr>
          <w:lang w:eastAsia="zh-CN"/>
        </w:rPr>
        <w:t>éliminer les déplacements inutiles, dès lors que les conditions dans lesquelles s</w:t>
      </w:r>
      <w:r w:rsidR="00762E0A">
        <w:rPr>
          <w:lang w:eastAsia="zh-CN"/>
        </w:rPr>
        <w:t>’</w:t>
      </w:r>
      <w:r w:rsidRPr="003B5EA4">
        <w:rPr>
          <w:lang w:eastAsia="zh-CN"/>
        </w:rPr>
        <w:t>effectuent les voyages en avion se sont détériorées au fil des ans. À son tour, cette approche peut contribuer à réduire l</w:t>
      </w:r>
      <w:r w:rsidR="00762E0A">
        <w:rPr>
          <w:lang w:eastAsia="zh-CN"/>
        </w:rPr>
        <w:t>’</w:t>
      </w:r>
      <w:r w:rsidRPr="003B5EA4">
        <w:rPr>
          <w:lang w:eastAsia="zh-CN"/>
        </w:rPr>
        <w:t>empreinte carbone du système des Nations Unies, au sein duquel les voyages en avion représentent la principale source d</w:t>
      </w:r>
      <w:r w:rsidR="00762E0A">
        <w:rPr>
          <w:lang w:eastAsia="zh-CN"/>
        </w:rPr>
        <w:t>’</w:t>
      </w:r>
      <w:r w:rsidR="009050E7">
        <w:rPr>
          <w:lang w:eastAsia="zh-CN"/>
        </w:rPr>
        <w:t>émission</w:t>
      </w:r>
      <w:r w:rsidRPr="003B5EA4">
        <w:rPr>
          <w:lang w:eastAsia="zh-CN"/>
        </w:rPr>
        <w:t xml:space="preserve"> pour 83 % des entités participantes</w:t>
      </w:r>
      <w:r w:rsidRPr="003B5EA4">
        <w:rPr>
          <w:rStyle w:val="Appelnotedebasdep"/>
        </w:rPr>
        <w:footnoteReference w:id="119"/>
      </w:r>
      <w:r w:rsidRPr="003B5EA4">
        <w:rPr>
          <w:lang w:eastAsia="zh-CN"/>
        </w:rPr>
        <w:t>.</w:t>
      </w:r>
    </w:p>
    <w:p w:rsidR="009146A9" w:rsidRPr="003B5EA4" w:rsidRDefault="009146A9" w:rsidP="009146A9">
      <w:pPr>
        <w:pStyle w:val="SingleTxtG"/>
        <w:rPr>
          <w:b/>
          <w:bCs/>
          <w:lang w:eastAsia="zh-CN"/>
        </w:rPr>
      </w:pPr>
      <w:r w:rsidRPr="003B5EA4">
        <w:rPr>
          <w:lang w:eastAsia="zh-CN"/>
        </w:rPr>
        <w:t>115.</w:t>
      </w:r>
      <w:r w:rsidRPr="003B5EA4">
        <w:rPr>
          <w:lang w:eastAsia="zh-CN"/>
        </w:rPr>
        <w:tab/>
        <w:t>Pour veiller à ce que seuls les voyages essentiels soient effectués, la FAO, l</w:t>
      </w:r>
      <w:r w:rsidR="00762E0A">
        <w:rPr>
          <w:lang w:eastAsia="zh-CN"/>
        </w:rPr>
        <w:t>’</w:t>
      </w:r>
      <w:r w:rsidRPr="003B5EA4">
        <w:rPr>
          <w:lang w:eastAsia="zh-CN"/>
        </w:rPr>
        <w:t>OIT et l</w:t>
      </w:r>
      <w:r w:rsidR="00762E0A">
        <w:rPr>
          <w:lang w:eastAsia="zh-CN"/>
        </w:rPr>
        <w:t>’</w:t>
      </w:r>
      <w:r w:rsidRPr="003B5EA4">
        <w:rPr>
          <w:lang w:eastAsia="zh-CN"/>
        </w:rPr>
        <w:t xml:space="preserve">ONUDI ont imposé des limites au nombre de jours par année civile pendant lesquels un fonctionnaire peut effectuer des voyages officiels, compte tenu de son grade et des caractéristiques de son travail. </w:t>
      </w:r>
      <w:r w:rsidRPr="003B5EA4">
        <w:rPr>
          <w:b/>
          <w:bCs/>
          <w:lang w:eastAsia="zh-CN"/>
        </w:rPr>
        <w:t>L</w:t>
      </w:r>
      <w:r w:rsidR="00762E0A">
        <w:rPr>
          <w:b/>
          <w:bCs/>
          <w:lang w:eastAsia="zh-CN"/>
        </w:rPr>
        <w:t>’</w:t>
      </w:r>
      <w:r w:rsidRPr="003B5EA4">
        <w:rPr>
          <w:b/>
          <w:bCs/>
          <w:lang w:eastAsia="zh-CN"/>
        </w:rPr>
        <w:t>Inspectrice estime qu</w:t>
      </w:r>
      <w:r w:rsidR="00762E0A">
        <w:rPr>
          <w:b/>
          <w:bCs/>
          <w:lang w:eastAsia="zh-CN"/>
        </w:rPr>
        <w:t>’</w:t>
      </w:r>
      <w:r w:rsidRPr="003B5EA4">
        <w:rPr>
          <w:b/>
          <w:bCs/>
          <w:lang w:eastAsia="zh-CN"/>
        </w:rPr>
        <w:t>il est de bonne pratique d</w:t>
      </w:r>
      <w:r w:rsidR="00762E0A">
        <w:rPr>
          <w:b/>
          <w:bCs/>
          <w:lang w:eastAsia="zh-CN"/>
        </w:rPr>
        <w:t>’</w:t>
      </w:r>
      <w:r w:rsidRPr="003B5EA4">
        <w:rPr>
          <w:b/>
          <w:bCs/>
          <w:lang w:eastAsia="zh-CN"/>
        </w:rPr>
        <w:t>instaurer de tels seuils afin de préserver le bien-être des fonctionnaires et d</w:t>
      </w:r>
      <w:r w:rsidR="00762E0A">
        <w:rPr>
          <w:b/>
          <w:bCs/>
          <w:lang w:eastAsia="zh-CN"/>
        </w:rPr>
        <w:t>’</w:t>
      </w:r>
      <w:r w:rsidRPr="003B5EA4">
        <w:rPr>
          <w:b/>
          <w:bCs/>
          <w:lang w:eastAsia="zh-CN"/>
        </w:rPr>
        <w:t>éviter les voyages inutiles, et invite toutes les entités des Nations Unies qui ne l</w:t>
      </w:r>
      <w:r w:rsidR="00762E0A">
        <w:rPr>
          <w:b/>
          <w:bCs/>
          <w:lang w:eastAsia="zh-CN"/>
        </w:rPr>
        <w:t>’</w:t>
      </w:r>
      <w:r w:rsidRPr="003B5EA4">
        <w:rPr>
          <w:b/>
          <w:bCs/>
          <w:lang w:eastAsia="zh-CN"/>
        </w:rPr>
        <w:t>ont pas encore fait à étudier la faisabilité de la limitation du nombre de jours pendant lesquels les membres du personnel peuvent effectuer des voyages officiels, compte tenu des particularités du mandat de chaque organisme et des fonctions de son personnel</w:t>
      </w:r>
      <w:r w:rsidR="00E52105" w:rsidRPr="003B5EA4">
        <w:rPr>
          <w:b/>
          <w:bCs/>
          <w:lang w:eastAsia="zh-CN"/>
        </w:rPr>
        <w:t>.</w:t>
      </w:r>
    </w:p>
    <w:p w:rsidR="00E52105" w:rsidRPr="003B5EA4" w:rsidRDefault="00E52105" w:rsidP="00E52105">
      <w:pPr>
        <w:pStyle w:val="SingleTxtG"/>
        <w:rPr>
          <w:lang w:eastAsia="zh-CN"/>
        </w:rPr>
      </w:pPr>
      <w:r w:rsidRPr="003B5EA4">
        <w:rPr>
          <w:lang w:eastAsia="zh-CN"/>
        </w:rPr>
        <w:t>116.</w:t>
      </w:r>
      <w:r w:rsidRPr="003B5EA4">
        <w:rPr>
          <w:lang w:eastAsia="zh-CN"/>
        </w:rPr>
        <w:tab/>
        <w:t>L</w:t>
      </w:r>
      <w:r w:rsidR="00762E0A">
        <w:rPr>
          <w:lang w:eastAsia="zh-CN"/>
        </w:rPr>
        <w:t>’</w:t>
      </w:r>
      <w:r w:rsidRPr="003B5EA4">
        <w:rPr>
          <w:lang w:eastAsia="zh-CN"/>
        </w:rPr>
        <w:t>Inspectrice salue en tant que bonne pratique, en matière d</w:t>
      </w:r>
      <w:r w:rsidR="00762E0A">
        <w:rPr>
          <w:lang w:eastAsia="zh-CN"/>
        </w:rPr>
        <w:t>’</w:t>
      </w:r>
      <w:r w:rsidRPr="003B5EA4">
        <w:rPr>
          <w:lang w:eastAsia="zh-CN"/>
        </w:rPr>
        <w:t>obligation de protection du personnel, l</w:t>
      </w:r>
      <w:r w:rsidR="00762E0A">
        <w:rPr>
          <w:lang w:eastAsia="zh-CN"/>
        </w:rPr>
        <w:t>’</w:t>
      </w:r>
      <w:r w:rsidRPr="003B5EA4">
        <w:rPr>
          <w:lang w:eastAsia="zh-CN"/>
        </w:rPr>
        <w:t xml:space="preserve">accord collectif relatif aux conditions de voyage en avion du personnel </w:t>
      </w:r>
      <w:r w:rsidRPr="003B5EA4">
        <w:rPr>
          <w:lang w:eastAsia="zh-CN"/>
        </w:rPr>
        <w:lastRenderedPageBreak/>
        <w:t>conclu en 2013 entre l</w:t>
      </w:r>
      <w:r w:rsidR="00762E0A">
        <w:rPr>
          <w:lang w:eastAsia="zh-CN"/>
        </w:rPr>
        <w:t>’</w:t>
      </w:r>
      <w:r w:rsidRPr="003B5EA4">
        <w:rPr>
          <w:lang w:eastAsia="zh-CN"/>
        </w:rPr>
        <w:t>OIT et le syndicat de son personnel, par lequel le Bureau international du Travail engageait l</w:t>
      </w:r>
      <w:r w:rsidR="00762E0A">
        <w:rPr>
          <w:lang w:eastAsia="zh-CN"/>
        </w:rPr>
        <w:t>’</w:t>
      </w:r>
      <w:r w:rsidRPr="003B5EA4">
        <w:rPr>
          <w:lang w:eastAsia="zh-CN"/>
        </w:rPr>
        <w:t>organisation à veiller à ce que « les voyages s</w:t>
      </w:r>
      <w:r w:rsidR="00762E0A">
        <w:rPr>
          <w:lang w:eastAsia="zh-CN"/>
        </w:rPr>
        <w:t>’</w:t>
      </w:r>
      <w:r w:rsidRPr="003B5EA4">
        <w:rPr>
          <w:lang w:eastAsia="zh-CN"/>
        </w:rPr>
        <w:t>effectuent en tenant pleinement compte de la sécurité et de la santé des voyageurs, sans fatigue ni stress indus »</w:t>
      </w:r>
      <w:r w:rsidRPr="003B5EA4">
        <w:rPr>
          <w:rStyle w:val="Appelnotedebasdep"/>
        </w:rPr>
        <w:footnoteReference w:id="120"/>
      </w:r>
      <w:r w:rsidRPr="003B5EA4">
        <w:rPr>
          <w:lang w:eastAsia="zh-CN"/>
        </w:rPr>
        <w:t>. Tous les organismes des Nations Unies ont certes pris des dispositions aux fins de la vérification de l</w:t>
      </w:r>
      <w:r w:rsidR="00762E0A">
        <w:rPr>
          <w:lang w:eastAsia="zh-CN"/>
        </w:rPr>
        <w:t>’</w:t>
      </w:r>
      <w:r w:rsidRPr="003B5EA4">
        <w:rPr>
          <w:lang w:eastAsia="zh-CN"/>
        </w:rPr>
        <w:t>aptitude médicale du fonctionnaire voyageur préalablement à son déplacement, mais ces dispositions devraient être obligatoires dans tous les organismes en tant que condition préalable à la délivrance d</w:t>
      </w:r>
      <w:r w:rsidR="00762E0A">
        <w:rPr>
          <w:lang w:eastAsia="zh-CN"/>
        </w:rPr>
        <w:t>’</w:t>
      </w:r>
      <w:r w:rsidRPr="003B5EA4">
        <w:rPr>
          <w:lang w:eastAsia="zh-CN"/>
        </w:rPr>
        <w:t>une autorisation de voyage. Une vérification de l</w:t>
      </w:r>
      <w:r w:rsidR="00762E0A">
        <w:rPr>
          <w:lang w:eastAsia="zh-CN"/>
        </w:rPr>
        <w:t>’</w:t>
      </w:r>
      <w:r w:rsidRPr="003B5EA4">
        <w:rPr>
          <w:lang w:eastAsia="zh-CN"/>
        </w:rPr>
        <w:t>aptitude psychologique pourrait également être envisagée en tant que condition à satisfaire pour se rendre dans un lieu d</w:t>
      </w:r>
      <w:r w:rsidR="00762E0A">
        <w:rPr>
          <w:lang w:eastAsia="zh-CN"/>
        </w:rPr>
        <w:t>’</w:t>
      </w:r>
      <w:r w:rsidRPr="003B5EA4">
        <w:rPr>
          <w:lang w:eastAsia="zh-CN"/>
        </w:rPr>
        <w:t>affectation classé difficile, le PAM s</w:t>
      </w:r>
      <w:r w:rsidR="00762E0A">
        <w:rPr>
          <w:lang w:eastAsia="zh-CN"/>
        </w:rPr>
        <w:t>’</w:t>
      </w:r>
      <w:r w:rsidRPr="003B5EA4">
        <w:rPr>
          <w:lang w:eastAsia="zh-CN"/>
        </w:rPr>
        <w:t>étant doté de telles dispositions pour les voyages à destination de lieux d</w:t>
      </w:r>
      <w:r w:rsidR="00762E0A">
        <w:rPr>
          <w:lang w:eastAsia="zh-CN"/>
        </w:rPr>
        <w:t>’</w:t>
      </w:r>
      <w:r w:rsidRPr="003B5EA4">
        <w:rPr>
          <w:lang w:eastAsia="zh-CN"/>
        </w:rPr>
        <w:t>affectation des catégories D et E</w:t>
      </w:r>
      <w:r w:rsidRPr="003B5EA4">
        <w:rPr>
          <w:rStyle w:val="Appelnotedebasdep"/>
        </w:rPr>
        <w:footnoteReference w:id="121"/>
      </w:r>
      <w:r w:rsidRPr="003B5EA4">
        <w:rPr>
          <w:lang w:eastAsia="zh-CN"/>
        </w:rPr>
        <w:t>.</w:t>
      </w:r>
    </w:p>
    <w:p w:rsidR="00E52105" w:rsidRPr="003B5EA4" w:rsidRDefault="00E52105" w:rsidP="00E52105">
      <w:pPr>
        <w:pStyle w:val="SingleTxtG"/>
        <w:rPr>
          <w:lang w:eastAsia="zh-CN"/>
        </w:rPr>
      </w:pPr>
      <w:r w:rsidRPr="003B5EA4">
        <w:rPr>
          <w:lang w:eastAsia="zh-CN"/>
        </w:rPr>
        <w:t>117.</w:t>
      </w:r>
      <w:r w:rsidRPr="003B5EA4">
        <w:rPr>
          <w:lang w:eastAsia="zh-CN"/>
        </w:rPr>
        <w:tab/>
        <w:t>Les organismes doivent également veiller à ce que leur personnel se conforme strictement à la procédure d</w:t>
      </w:r>
      <w:r w:rsidR="00762E0A">
        <w:rPr>
          <w:lang w:eastAsia="zh-CN"/>
        </w:rPr>
        <w:t>’</w:t>
      </w:r>
      <w:r w:rsidRPr="003B5EA4">
        <w:rPr>
          <w:lang w:eastAsia="zh-CN"/>
        </w:rPr>
        <w:t>habilitation de sécurité, telle que la prévoit le système de traitement des demandes d</w:t>
      </w:r>
      <w:r w:rsidR="00762E0A">
        <w:rPr>
          <w:lang w:eastAsia="zh-CN"/>
        </w:rPr>
        <w:t>’</w:t>
      </w:r>
      <w:r w:rsidRPr="003B5EA4">
        <w:rPr>
          <w:lang w:eastAsia="zh-CN"/>
        </w:rPr>
        <w:t>autorisation de voyage, et à ce qu</w:t>
      </w:r>
      <w:r w:rsidR="00762E0A">
        <w:rPr>
          <w:lang w:eastAsia="zh-CN"/>
        </w:rPr>
        <w:t>’</w:t>
      </w:r>
      <w:r w:rsidRPr="003B5EA4">
        <w:rPr>
          <w:lang w:eastAsia="zh-CN"/>
        </w:rPr>
        <w:t>il ait suivi les cours obligatoires d</w:t>
      </w:r>
      <w:r w:rsidR="00762E0A">
        <w:rPr>
          <w:lang w:eastAsia="zh-CN"/>
        </w:rPr>
        <w:t>’</w:t>
      </w:r>
      <w:r w:rsidRPr="003B5EA4">
        <w:rPr>
          <w:lang w:eastAsia="zh-CN"/>
        </w:rPr>
        <w:t>acquisition des notions élémentaires et avancées de sécurité sur le terrain, et toute autre formation requise par sa propre entité.</w:t>
      </w:r>
    </w:p>
    <w:p w:rsidR="00E52105" w:rsidRPr="003B5EA4" w:rsidRDefault="00E52105" w:rsidP="00E52105">
      <w:pPr>
        <w:pStyle w:val="SingleTxtG"/>
        <w:rPr>
          <w:lang w:eastAsia="zh-CN"/>
        </w:rPr>
      </w:pPr>
      <w:r w:rsidRPr="003B5EA4">
        <w:rPr>
          <w:lang w:eastAsia="zh-CN"/>
        </w:rPr>
        <w:t>118.</w:t>
      </w:r>
      <w:r w:rsidRPr="003B5EA4">
        <w:rPr>
          <w:lang w:eastAsia="zh-CN"/>
        </w:rPr>
        <w:tab/>
        <w:t>Selon les exigences du Département de la sûreté et de la sécurité,</w:t>
      </w:r>
      <w:r w:rsidRPr="003B5EA4" w:rsidDel="00D52C01">
        <w:rPr>
          <w:vertAlign w:val="superscript"/>
          <w:lang w:eastAsia="zh-CN"/>
        </w:rPr>
        <w:t xml:space="preserve"> </w:t>
      </w:r>
      <w:r w:rsidRPr="003B5EA4">
        <w:rPr>
          <w:lang w:eastAsia="zh-CN"/>
        </w:rPr>
        <w:t>tous les organismes doivent avoir pris des dispositions pour que leurs voyages fassent appel à des compagnies aériennes et des itinéraires qui répondent aux normes de sûreté voulues</w:t>
      </w:r>
      <w:r w:rsidRPr="003B5EA4">
        <w:rPr>
          <w:rStyle w:val="Appelnotedebasdep"/>
        </w:rPr>
        <w:footnoteReference w:id="122"/>
      </w:r>
      <w:r w:rsidRPr="003B5EA4">
        <w:rPr>
          <w:lang w:eastAsia="zh-CN"/>
        </w:rPr>
        <w:t>. Au vu de l</w:t>
      </w:r>
      <w:r w:rsidR="00762E0A">
        <w:rPr>
          <w:lang w:eastAsia="zh-CN"/>
        </w:rPr>
        <w:t>’</w:t>
      </w:r>
      <w:r w:rsidRPr="003B5EA4">
        <w:rPr>
          <w:lang w:eastAsia="zh-CN"/>
        </w:rPr>
        <w:t xml:space="preserve">évolution de la situation mondiale en matière de sécurité, </w:t>
      </w:r>
      <w:r w:rsidRPr="003B5EA4">
        <w:rPr>
          <w:b/>
          <w:lang w:eastAsia="zh-CN"/>
        </w:rPr>
        <w:t>l</w:t>
      </w:r>
      <w:r w:rsidR="00762E0A">
        <w:rPr>
          <w:b/>
          <w:lang w:eastAsia="zh-CN"/>
        </w:rPr>
        <w:t>’</w:t>
      </w:r>
      <w:r w:rsidRPr="003B5EA4">
        <w:rPr>
          <w:b/>
          <w:lang w:eastAsia="zh-CN"/>
        </w:rPr>
        <w:t>Inspectrice est d</w:t>
      </w:r>
      <w:r w:rsidR="00762E0A">
        <w:rPr>
          <w:b/>
          <w:lang w:eastAsia="zh-CN"/>
        </w:rPr>
        <w:t>’</w:t>
      </w:r>
      <w:r w:rsidRPr="003B5EA4">
        <w:rPr>
          <w:b/>
          <w:lang w:eastAsia="zh-CN"/>
        </w:rPr>
        <w:t>avis que la sûreté des itinéraires doit être surveillée et évaluée continuellement et que les mises à jour de sécurité doivent être communiquées sans tarder aux bureaux chargés d</w:t>
      </w:r>
      <w:r w:rsidR="00762E0A">
        <w:rPr>
          <w:b/>
          <w:lang w:eastAsia="zh-CN"/>
        </w:rPr>
        <w:t>’</w:t>
      </w:r>
      <w:r w:rsidRPr="003B5EA4">
        <w:rPr>
          <w:b/>
          <w:lang w:eastAsia="zh-CN"/>
        </w:rPr>
        <w:t>autoriser et d</w:t>
      </w:r>
      <w:r w:rsidR="00762E0A">
        <w:rPr>
          <w:b/>
          <w:lang w:eastAsia="zh-CN"/>
        </w:rPr>
        <w:t>’</w:t>
      </w:r>
      <w:r w:rsidRPr="003B5EA4">
        <w:rPr>
          <w:b/>
          <w:lang w:eastAsia="zh-CN"/>
        </w:rPr>
        <w:t>organiser les voyages</w:t>
      </w:r>
      <w:r w:rsidRPr="003B5EA4">
        <w:rPr>
          <w:lang w:eastAsia="zh-CN"/>
        </w:rPr>
        <w:t>.</w:t>
      </w:r>
    </w:p>
    <w:p w:rsidR="00E52105" w:rsidRPr="003B5EA4" w:rsidRDefault="00B72E25" w:rsidP="00E36A60">
      <w:pPr>
        <w:pStyle w:val="HChG"/>
      </w:pPr>
      <w:r w:rsidRPr="003B5EA4">
        <w:rPr>
          <w:lang w:eastAsia="zh-CN"/>
        </w:rPr>
        <w:br w:type="page"/>
      </w:r>
      <w:r w:rsidR="00C3534E" w:rsidRPr="003B5EA4">
        <w:rPr>
          <w:lang w:eastAsia="zh-CN"/>
        </w:rPr>
        <w:lastRenderedPageBreak/>
        <w:tab/>
        <w:t>VII.</w:t>
      </w:r>
      <w:r w:rsidR="00C3534E" w:rsidRPr="003B5EA4">
        <w:rPr>
          <w:lang w:eastAsia="zh-CN"/>
        </w:rPr>
        <w:tab/>
      </w:r>
      <w:r w:rsidR="00C3534E" w:rsidRPr="003B5EA4">
        <w:t xml:space="preserve">Moderniser les outils de gestion des voyages en avion </w:t>
      </w:r>
      <w:r w:rsidR="00E36A60" w:rsidRPr="003B5EA4">
        <w:br/>
      </w:r>
      <w:r w:rsidR="00C3534E" w:rsidRPr="003B5EA4">
        <w:t xml:space="preserve">et renforcer la collaboration avec les fournisseurs </w:t>
      </w:r>
      <w:r w:rsidR="00E36A60" w:rsidRPr="003B5EA4">
        <w:br/>
      </w:r>
      <w:r w:rsidR="00C3534E" w:rsidRPr="003B5EA4">
        <w:t>de services</w:t>
      </w:r>
    </w:p>
    <w:p w:rsidR="00E36A60" w:rsidRPr="003B5EA4" w:rsidRDefault="00E36A60" w:rsidP="00E36A60">
      <w:pPr>
        <w:pStyle w:val="H1G"/>
      </w:pPr>
      <w:r w:rsidRPr="003B5EA4">
        <w:tab/>
        <w:t>A.</w:t>
      </w:r>
      <w:r w:rsidRPr="003B5EA4">
        <w:tab/>
        <w:t xml:space="preserve">Utilisation des progiciels de gestion intégrés pour assurer la gestion </w:t>
      </w:r>
      <w:r w:rsidRPr="003B5EA4">
        <w:br/>
        <w:t>des voyages</w:t>
      </w:r>
    </w:p>
    <w:p w:rsidR="00E36A60" w:rsidRPr="003B5EA4" w:rsidRDefault="00E36A60" w:rsidP="00E36A60">
      <w:pPr>
        <w:pStyle w:val="SingleTxtG"/>
      </w:pPr>
      <w:r w:rsidRPr="003B5EA4">
        <w:t>119.</w:t>
      </w:r>
      <w:r w:rsidRPr="003B5EA4">
        <w:tab/>
        <w:t>Les progiciels de gestion intégrés sont de puissants outils, qu</w:t>
      </w:r>
      <w:r w:rsidR="00762E0A">
        <w:t>’</w:t>
      </w:r>
      <w:r w:rsidRPr="003B5EA4">
        <w:t>il s</w:t>
      </w:r>
      <w:r w:rsidR="00762E0A">
        <w:t>’</w:t>
      </w:r>
      <w:r w:rsidRPr="003B5EA4">
        <w:t>agisse de gérer les ressources ou de rendre compte et de procéder à l</w:t>
      </w:r>
      <w:r w:rsidR="00762E0A">
        <w:t>’</w:t>
      </w:r>
      <w:r w:rsidRPr="003B5EA4">
        <w:t>analyse des données relatives à ce processus. Le module voyages du progiciel de gestion intégré comprend des fonctions d</w:t>
      </w:r>
      <w:r w:rsidR="00762E0A">
        <w:t>’</w:t>
      </w:r>
      <w:r w:rsidRPr="003B5EA4">
        <w:t>automatisation du processus d</w:t>
      </w:r>
      <w:r w:rsidR="00762E0A">
        <w:t>’</w:t>
      </w:r>
      <w:r w:rsidRPr="003B5EA4">
        <w:t>administration des voyages telles que les demandes de voyages anticipées, les autorisations de voyages, la planification et la réservation, et la comptabilisation des frais de voyage intégrée dans le système de comptabilité financière. De tels systèmes peuvent appuyer une gestion plus efficace des voyages par le renforcement de la planification, des contrôles, de la surveillance et de l</w:t>
      </w:r>
      <w:r w:rsidR="00762E0A">
        <w:t>’</w:t>
      </w:r>
      <w:r w:rsidRPr="003B5EA4">
        <w:t>établissement de rapports, ainsi que de la transparence et de la responsabilisation.</w:t>
      </w:r>
    </w:p>
    <w:p w:rsidR="00E36A60" w:rsidRPr="003B5EA4" w:rsidRDefault="00E36A60" w:rsidP="00E36A60">
      <w:pPr>
        <w:pStyle w:val="SingleTxtG"/>
      </w:pPr>
      <w:r w:rsidRPr="003B5EA4">
        <w:t>120.</w:t>
      </w:r>
      <w:r w:rsidRPr="003B5EA4">
        <w:tab/>
        <w:t>L</w:t>
      </w:r>
      <w:r w:rsidR="00762E0A">
        <w:t>’</w:t>
      </w:r>
      <w:r w:rsidRPr="003B5EA4">
        <w:t>examen a permis de constater que la plupart des organismes des Nations Unies avaient adapté le module voyages de leur progiciel de gestion intégré par suite des variations de leurs processus métiers et des particularités de leurs politiques en matière de voyages. Certaines sont limitées dans la fourniture de statistiques détaillées sur les voyages du fait de l</w:t>
      </w:r>
      <w:r w:rsidR="00762E0A">
        <w:t>’</w:t>
      </w:r>
      <w:r w:rsidRPr="003B5EA4">
        <w:t>utilisation de systèmes de technologie de l</w:t>
      </w:r>
      <w:r w:rsidR="00762E0A">
        <w:t>’</w:t>
      </w:r>
      <w:r w:rsidRPr="003B5EA4">
        <w:t>information étrangers au progiciel de gestion intégré. À l</w:t>
      </w:r>
      <w:r w:rsidR="00762E0A">
        <w:t>’</w:t>
      </w:r>
      <w:r w:rsidRPr="003B5EA4">
        <w:t>heure actuelle, la gestion des voyages est partiellement ou totalement intégrée dans les progiciels de gestion intégré</w:t>
      </w:r>
      <w:r w:rsidR="00935C37">
        <w:t>s</w:t>
      </w:r>
      <w:r w:rsidRPr="003B5EA4">
        <w:t xml:space="preserve"> de 23 organismes</w:t>
      </w:r>
      <w:r w:rsidRPr="003B5EA4">
        <w:rPr>
          <w:rStyle w:val="Appelnotedebasdep"/>
        </w:rPr>
        <w:footnoteReference w:id="123"/>
      </w:r>
      <w:r w:rsidRPr="003B5EA4">
        <w:t>. La présente section examine certains des avantages en matière de gestion des voyages que les organismes peuvent tirer ou ont déjà tirés de la mise en service du module voyages dans le cadre de leurs progiciels de gestion intégrés, en particulier</w:t>
      </w:r>
      <w:r w:rsidR="00935C37">
        <w:t> :</w:t>
      </w:r>
      <w:r w:rsidRPr="003B5EA4">
        <w:t xml:space="preserve"> a) l</w:t>
      </w:r>
      <w:r w:rsidR="00762E0A">
        <w:t>’</w:t>
      </w:r>
      <w:r w:rsidRPr="003B5EA4">
        <w:t>amélioration de la gestion des ressources destinées aux voyages</w:t>
      </w:r>
      <w:r w:rsidR="00935C37">
        <w:t> ;</w:t>
      </w:r>
      <w:r w:rsidRPr="003B5EA4">
        <w:t xml:space="preserve"> et b) la réduction de la charge administrative afférente à la gestion des voyages.</w:t>
      </w:r>
    </w:p>
    <w:p w:rsidR="00E36A60" w:rsidRPr="003B5EA4" w:rsidRDefault="00E36A60" w:rsidP="00E36A60">
      <w:pPr>
        <w:pStyle w:val="H23G"/>
      </w:pPr>
      <w:r w:rsidRPr="003B5EA4">
        <w:tab/>
      </w:r>
      <w:r w:rsidRPr="003B5EA4">
        <w:tab/>
        <w:t xml:space="preserve">Amélioration de la gestion des ressources destinées aux voyages, de la transparence </w:t>
      </w:r>
      <w:r w:rsidRPr="003B5EA4">
        <w:br/>
        <w:t>et de la responsabilisation</w:t>
      </w:r>
    </w:p>
    <w:p w:rsidR="0083157A" w:rsidRPr="003B5EA4" w:rsidRDefault="0083157A" w:rsidP="0083157A">
      <w:pPr>
        <w:pStyle w:val="SingleTxtG"/>
      </w:pPr>
      <w:r w:rsidRPr="003B5EA4">
        <w:t>121.</w:t>
      </w:r>
      <w:r w:rsidRPr="003B5EA4">
        <w:tab/>
        <w:t>La disponibilité des données relatives aux voyages s</w:t>
      </w:r>
      <w:r w:rsidR="00762E0A">
        <w:t>’</w:t>
      </w:r>
      <w:r w:rsidRPr="003B5EA4">
        <w:t>élargit avec la mise en service du module voyages des progiciels de gestion intégrés, ce qui accroît la transparence et la responsabilisation, avec l</w:t>
      </w:r>
      <w:r w:rsidR="00762E0A">
        <w:t>’</w:t>
      </w:r>
      <w:r w:rsidRPr="003B5EA4">
        <w:t>amélioration des pistes d</w:t>
      </w:r>
      <w:r w:rsidR="00762E0A">
        <w:t>’</w:t>
      </w:r>
      <w:r w:rsidRPr="003B5EA4">
        <w:t>audit et des contrôles des dépenses, et fournit par ailleurs un outil de contrôle budgétaire aux lieux d</w:t>
      </w:r>
      <w:r w:rsidR="00762E0A">
        <w:t>’</w:t>
      </w:r>
      <w:r w:rsidRPr="003B5EA4">
        <w:t>affectation. Le module voyages permet aussi d</w:t>
      </w:r>
      <w:r w:rsidR="00762E0A">
        <w:t>’</w:t>
      </w:r>
      <w:r w:rsidRPr="003B5EA4">
        <w:t>intégrer des outils de réservation en ligne et de tirer parti de la disponibilité accrue de données relatives aux voyages pour augmenter le pouvoir d</w:t>
      </w:r>
      <w:r w:rsidR="00762E0A">
        <w:t>’</w:t>
      </w:r>
      <w:r w:rsidRPr="003B5EA4">
        <w:t>achat et négocier des rabais plus importants. En tant que système commun uniformisé à l</w:t>
      </w:r>
      <w:r w:rsidR="00762E0A">
        <w:t>’</w:t>
      </w:r>
      <w:r w:rsidRPr="003B5EA4">
        <w:t>échelle de l</w:t>
      </w:r>
      <w:r w:rsidR="00762E0A">
        <w:t>’</w:t>
      </w:r>
      <w:r w:rsidRPr="003B5EA4">
        <w:t>organisation, le progiciel de gestion intégré permet également la mise au point d</w:t>
      </w:r>
      <w:r w:rsidR="00762E0A">
        <w:t>’</w:t>
      </w:r>
      <w:r w:rsidRPr="003B5EA4">
        <w:t>un modèle mondial de prestation des services de voyages, avec la création de plateformes régionales susceptibles de contribuer à la standardisation des processus relatifs aux voyages et à l</w:t>
      </w:r>
      <w:r w:rsidR="00762E0A">
        <w:t>’</w:t>
      </w:r>
      <w:r w:rsidRPr="003B5EA4">
        <w:t>application plus uniforme des politiques en la matière.</w:t>
      </w:r>
    </w:p>
    <w:p w:rsidR="0083157A" w:rsidRPr="003B5EA4" w:rsidRDefault="0083157A" w:rsidP="00900399">
      <w:pPr>
        <w:pStyle w:val="SingleTxtG"/>
      </w:pPr>
      <w:r w:rsidRPr="003B5EA4">
        <w:rPr>
          <w:rStyle w:val="NotedebasdepageCar"/>
        </w:rPr>
        <w:t>122.</w:t>
      </w:r>
      <w:r w:rsidRPr="003B5EA4">
        <w:rPr>
          <w:rStyle w:val="NotedebasdepageCar"/>
        </w:rPr>
        <w:tab/>
      </w:r>
      <w:r w:rsidRPr="003B5EA4">
        <w:t>Les progiciels de gestion intégrés sont aussi un moyen pour les services concernés de planifier et de suivre activement leurs activités et frais de voyage en temps réel, renforçant ainsi la transparence et la cohérence dans l</w:t>
      </w:r>
      <w:r w:rsidR="00762E0A">
        <w:t>’</w:t>
      </w:r>
      <w:r w:rsidRPr="003B5EA4">
        <w:t>application des processus métiers. Certains organismes comme l</w:t>
      </w:r>
      <w:r w:rsidR="00762E0A">
        <w:t>’</w:t>
      </w:r>
      <w:r w:rsidRPr="003B5EA4">
        <w:t>OIT et l</w:t>
      </w:r>
      <w:r w:rsidR="00762E0A">
        <w:t>’</w:t>
      </w:r>
      <w:r w:rsidRPr="003B5EA4">
        <w:t>OMS disposent ainsi de systèmes capables de fournir les données sous la forme de tableaux de bord de gestion administrative en temps réel que les gestionnaires peuvent utiliser pour surveiller les résultats de leurs services (et d</w:t>
      </w:r>
      <w:r w:rsidR="00762E0A">
        <w:t>’</w:t>
      </w:r>
      <w:r w:rsidRPr="003B5EA4">
        <w:t xml:space="preserve">autres) au regard des indicateurs clefs de performance en matière de voyages. En outre, </w:t>
      </w:r>
      <w:r w:rsidRPr="003B5EA4">
        <w:lastRenderedPageBreak/>
        <w:t>les frais de voyage peuvent être calculés et toutes les composantes de coût de chaque voyage sont détaillées et visibles dans le système.</w:t>
      </w:r>
    </w:p>
    <w:p w:rsidR="0083157A" w:rsidRPr="003B5EA4" w:rsidRDefault="0083157A" w:rsidP="00935C37">
      <w:pPr>
        <w:pStyle w:val="SingleTxtG"/>
      </w:pPr>
      <w:r w:rsidRPr="003B5EA4">
        <w:t>123.</w:t>
      </w:r>
      <w:r w:rsidRPr="003B5EA4">
        <w:tab/>
        <w:t>La plus grande disponibilité de données relatives aux voyages devrait également permettre aux organismes de fournir des analyses détaillées de leurs frais de voyage à leurs directions et organes délibérants afin de faciliter les processus décisionnels. Ces analyses devraient notamment comprendre des informations sur la mesure dans laquelle les politiques régissant les voyages sont respectées et sur les effets que les changements de politiques et de procédures peuvent avoir eu sur la réduction des coûts et l</w:t>
      </w:r>
      <w:r w:rsidR="00762E0A">
        <w:t>’</w:t>
      </w:r>
      <w:r w:rsidRPr="003B5EA4">
        <w:t>accroissement de l</w:t>
      </w:r>
      <w:r w:rsidR="00762E0A">
        <w:t>’</w:t>
      </w:r>
      <w:r w:rsidRPr="003B5EA4">
        <w:t>efficacité.</w:t>
      </w:r>
    </w:p>
    <w:p w:rsidR="0083157A" w:rsidRPr="003B5EA4" w:rsidRDefault="0083157A" w:rsidP="0083157A">
      <w:pPr>
        <w:pStyle w:val="H23G"/>
      </w:pPr>
      <w:r w:rsidRPr="003B5EA4">
        <w:rPr>
          <w:rStyle w:val="NotedebasdepageCar"/>
        </w:rPr>
        <w:tab/>
      </w:r>
      <w:r w:rsidRPr="003B5EA4">
        <w:rPr>
          <w:rStyle w:val="NotedebasdepageCar"/>
        </w:rPr>
        <w:tab/>
      </w:r>
      <w:r w:rsidRPr="003B5EA4">
        <w:t>Réduction de la charge administrative</w:t>
      </w:r>
    </w:p>
    <w:p w:rsidR="0083157A" w:rsidRPr="003B5EA4" w:rsidRDefault="0083157A" w:rsidP="0083157A">
      <w:pPr>
        <w:pStyle w:val="SingleTxtG"/>
      </w:pPr>
      <w:r w:rsidRPr="003B5EA4">
        <w:t>124.</w:t>
      </w:r>
      <w:r w:rsidRPr="003B5EA4">
        <w:tab/>
        <w:t>Des organismes interrogés par le CCI ont indiqué que leurs progiciels de gestion intégrés leur ont permis d</w:t>
      </w:r>
      <w:r w:rsidR="00762E0A">
        <w:t>’</w:t>
      </w:r>
      <w:r w:rsidRPr="003B5EA4">
        <w:t>améliorer et de rationaliser l</w:t>
      </w:r>
      <w:r w:rsidR="00762E0A">
        <w:t>’</w:t>
      </w:r>
      <w:r w:rsidRPr="003B5EA4">
        <w:t>organisation de leurs voyages et les flux de travail concernés, de réduire les saisies manuelles et les erreurs, et de réaliser d</w:t>
      </w:r>
      <w:r w:rsidR="00762E0A">
        <w:t>’</w:t>
      </w:r>
      <w:r w:rsidRPr="003B5EA4">
        <w:t>importants gains d</w:t>
      </w:r>
      <w:r w:rsidR="00762E0A">
        <w:t>’</w:t>
      </w:r>
      <w:r w:rsidRPr="003B5EA4">
        <w:t>efficience. Par exemple, le temps d</w:t>
      </w:r>
      <w:r w:rsidR="00762E0A">
        <w:t>’</w:t>
      </w:r>
      <w:r w:rsidRPr="003B5EA4">
        <w:t>administration d</w:t>
      </w:r>
      <w:r w:rsidR="00762E0A">
        <w:t>’</w:t>
      </w:r>
      <w:r w:rsidRPr="003B5EA4">
        <w:t>un voyage est réduit par le fait que le fonctionnaire soumet directement sa demande de voyage au système, que le processus d</w:t>
      </w:r>
      <w:r w:rsidR="00762E0A">
        <w:t>’</w:t>
      </w:r>
      <w:r w:rsidRPr="003B5EA4">
        <w:t>autorisation est électronique, et qu</w:t>
      </w:r>
      <w:r w:rsidR="00762E0A">
        <w:t>’</w:t>
      </w:r>
      <w:r w:rsidRPr="003B5EA4">
        <w:t>après vérification complète, l</w:t>
      </w:r>
      <w:r w:rsidR="00762E0A">
        <w:t>’</w:t>
      </w:r>
      <w:r w:rsidRPr="003B5EA4">
        <w:t>autorisation de voyage et l</w:t>
      </w:r>
      <w:r w:rsidR="00762E0A">
        <w:t>’</w:t>
      </w:r>
      <w:r w:rsidRPr="003B5EA4">
        <w:t>achat sont automatiquement générés et transmis respectivement au voyageur et à l</w:t>
      </w:r>
      <w:r w:rsidR="00762E0A">
        <w:t>’</w:t>
      </w:r>
      <w:r w:rsidRPr="003B5EA4">
        <w:t>agence de voyages.</w:t>
      </w:r>
    </w:p>
    <w:p w:rsidR="0083157A" w:rsidRPr="003B5EA4" w:rsidRDefault="0083157A" w:rsidP="0083157A">
      <w:pPr>
        <w:pStyle w:val="SingleTxtG"/>
      </w:pPr>
      <w:r w:rsidRPr="003B5EA4">
        <w:t>125.</w:t>
      </w:r>
      <w:r w:rsidRPr="003B5EA4">
        <w:tab/>
        <w:t>Le recours aux progiciels de gestion intégrés s</w:t>
      </w:r>
      <w:r w:rsidR="00762E0A">
        <w:t>’</w:t>
      </w:r>
      <w:r w:rsidRPr="003B5EA4">
        <w:t>est traduit par une diminution du nombre d</w:t>
      </w:r>
      <w:r w:rsidR="00762E0A">
        <w:t>’</w:t>
      </w:r>
      <w:r w:rsidRPr="003B5EA4">
        <w:t>autorisations requises au cours du processus d</w:t>
      </w:r>
      <w:r w:rsidR="00762E0A">
        <w:t>’</w:t>
      </w:r>
      <w:r w:rsidRPr="003B5EA4">
        <w:t xml:space="preserve">administration des voyages, ce nombre étant passé de 10 à </w:t>
      </w:r>
      <w:r w:rsidR="00574A4F">
        <w:t>trois</w:t>
      </w:r>
      <w:r w:rsidRPr="003B5EA4">
        <w:t xml:space="preserve"> dans certains organismes</w:t>
      </w:r>
      <w:r w:rsidRPr="003B5EA4">
        <w:rPr>
          <w:rStyle w:val="Appelnotedebasdep"/>
        </w:rPr>
        <w:footnoteReference w:id="124"/>
      </w:r>
      <w:r w:rsidRPr="003B5EA4">
        <w:t>, ce qui représente une économie considérable de temps et de coût en ce qui concerne les opérations. De plus, les progiciels de gestion intégrés permettent d</w:t>
      </w:r>
      <w:r w:rsidR="00762E0A">
        <w:t>’</w:t>
      </w:r>
      <w:r w:rsidRPr="003B5EA4">
        <w:t xml:space="preserve">envisager la transition du traitement des demandes de remboursement des frais de voyage vers un régime de vérification ponctuelle </w:t>
      </w:r>
      <w:r w:rsidRPr="003B5EA4">
        <w:rPr>
          <w:i/>
        </w:rPr>
        <w:t>ex post facto</w:t>
      </w:r>
      <w:r w:rsidRPr="003B5EA4">
        <w:t xml:space="preserve"> susceptible de réduire significativement les frais généraux d</w:t>
      </w:r>
      <w:r w:rsidR="00762E0A">
        <w:t>’</w:t>
      </w:r>
      <w:r w:rsidRPr="003B5EA4">
        <w:t>ordre administratif et d</w:t>
      </w:r>
      <w:r w:rsidR="00762E0A">
        <w:t>’</w:t>
      </w:r>
      <w:r w:rsidRPr="003B5EA4">
        <w:t>accélérer les remboursements aux voyageurs. Des discussions étaient en cours au Secrétariat de l</w:t>
      </w:r>
      <w:r w:rsidR="00762E0A">
        <w:t>’</w:t>
      </w:r>
      <w:r w:rsidRPr="003B5EA4">
        <w:t>ONU quant aux modalités du passage de l</w:t>
      </w:r>
      <w:r w:rsidR="00762E0A">
        <w:t>’</w:t>
      </w:r>
      <w:r w:rsidRPr="003B5EA4">
        <w:t>autorisation systématique à l</w:t>
      </w:r>
      <w:r w:rsidR="00762E0A">
        <w:t>’</w:t>
      </w:r>
      <w:r w:rsidRPr="003B5EA4">
        <w:t xml:space="preserve">audit </w:t>
      </w:r>
      <w:r w:rsidRPr="003B5EA4">
        <w:rPr>
          <w:i/>
        </w:rPr>
        <w:t>ex post facto</w:t>
      </w:r>
      <w:r w:rsidRPr="003B5EA4">
        <w:t>.</w:t>
      </w:r>
    </w:p>
    <w:p w:rsidR="000048BE" w:rsidRPr="003B5EA4" w:rsidRDefault="000048BE" w:rsidP="000048BE">
      <w:pPr>
        <w:pStyle w:val="SingleTxtG"/>
      </w:pPr>
      <w:r w:rsidRPr="003B5EA4">
        <w:t>126.</w:t>
      </w:r>
      <w:r w:rsidRPr="003B5EA4">
        <w:tab/>
        <w:t>À titre d</w:t>
      </w:r>
      <w:r w:rsidR="00762E0A">
        <w:t>’</w:t>
      </w:r>
      <w:r w:rsidRPr="003B5EA4">
        <w:t>exemple, en 2012, la FAO a mis en œuvre dans son progiciel de gestion intégré une solution de voyages de bout en bout, conçue sur mesure pour administrer ses voyages internationaux, depuis la planification et l</w:t>
      </w:r>
      <w:r w:rsidR="00762E0A">
        <w:t>’</w:t>
      </w:r>
      <w:r w:rsidRPr="003B5EA4">
        <w:t>organisation du voyage jusqu</w:t>
      </w:r>
      <w:r w:rsidR="00762E0A">
        <w:t>’</w:t>
      </w:r>
      <w:r w:rsidRPr="003B5EA4">
        <w:t>au paiement et à la mise en concordance finale. Le système est entièrement intégré avec les autres modules du progiciel (notamment les ressources humaines, les finances et les achats) et prévoit des flux de travail entièrement automatisés entre les parties à l</w:t>
      </w:r>
      <w:r w:rsidR="00762E0A">
        <w:t>’</w:t>
      </w:r>
      <w:r w:rsidRPr="003B5EA4">
        <w:t>administration des voyages, telles que les agences de voyage</w:t>
      </w:r>
      <w:r w:rsidR="00574A4F">
        <w:t>s</w:t>
      </w:r>
      <w:r w:rsidRPr="003B5EA4">
        <w:t>, les opérateurs du système, les responsables des budgets et les superviseurs. Le système de voyages de la FAO administre tous ses voyages internationaux et statutaires et sera étendu à tous les déplacements locaux d</w:t>
      </w:r>
      <w:r w:rsidR="00762E0A">
        <w:t>’</w:t>
      </w:r>
      <w:r w:rsidRPr="003B5EA4">
        <w:t>ici à septembre 2017.</w:t>
      </w:r>
    </w:p>
    <w:p w:rsidR="000048BE" w:rsidRPr="003B5EA4" w:rsidRDefault="000048BE" w:rsidP="000048BE">
      <w:pPr>
        <w:pStyle w:val="SingleTxtG"/>
        <w:rPr>
          <w:b/>
        </w:rPr>
      </w:pPr>
      <w:r w:rsidRPr="003B5EA4">
        <w:t>127.</w:t>
      </w:r>
      <w:r w:rsidRPr="003B5EA4">
        <w:tab/>
        <w:t xml:space="preserve">Compte tenu des avantages manifestes </w:t>
      </w:r>
      <w:r w:rsidRPr="00574A4F">
        <w:rPr>
          <w:b/>
        </w:rPr>
        <w:t>des</w:t>
      </w:r>
      <w:r w:rsidRPr="003B5EA4">
        <w:t xml:space="preserve"> </w:t>
      </w:r>
      <w:r w:rsidRPr="003B5EA4">
        <w:rPr>
          <w:b/>
        </w:rPr>
        <w:t>progiciels de gestion intégrés, l</w:t>
      </w:r>
      <w:r w:rsidR="00762E0A">
        <w:rPr>
          <w:b/>
        </w:rPr>
        <w:t>’</w:t>
      </w:r>
      <w:r w:rsidRPr="003B5EA4">
        <w:rPr>
          <w:b/>
        </w:rPr>
        <w:t>Inspectrice est d</w:t>
      </w:r>
      <w:r w:rsidR="00762E0A">
        <w:rPr>
          <w:b/>
        </w:rPr>
        <w:t>’</w:t>
      </w:r>
      <w:r w:rsidRPr="003B5EA4">
        <w:rPr>
          <w:b/>
        </w:rPr>
        <w:t>avis que les chefs de secrétariat des organismes des Nations Unie</w:t>
      </w:r>
      <w:r w:rsidR="00C73540">
        <w:rPr>
          <w:b/>
        </w:rPr>
        <w:t>s</w:t>
      </w:r>
      <w:r w:rsidRPr="003B5EA4">
        <w:rPr>
          <w:b/>
        </w:rPr>
        <w:t xml:space="preserve"> devraient poursuivre la rationalisation de ces systèmes afin d</w:t>
      </w:r>
      <w:r w:rsidR="00762E0A">
        <w:rPr>
          <w:b/>
        </w:rPr>
        <w:t>’</w:t>
      </w:r>
      <w:r w:rsidRPr="003B5EA4">
        <w:rPr>
          <w:b/>
        </w:rPr>
        <w:t>éviter les adaptations inutiles et de tirer parti d</w:t>
      </w:r>
      <w:r w:rsidR="00762E0A">
        <w:rPr>
          <w:b/>
        </w:rPr>
        <w:t>’</w:t>
      </w:r>
      <w:r w:rsidRPr="003B5EA4">
        <w:rPr>
          <w:b/>
        </w:rPr>
        <w:t>un module voyages intégré.</w:t>
      </w:r>
    </w:p>
    <w:p w:rsidR="000048BE" w:rsidRPr="003B5EA4" w:rsidRDefault="000048BE" w:rsidP="000048BE">
      <w:pPr>
        <w:pStyle w:val="H1G"/>
      </w:pPr>
      <w:r w:rsidRPr="003B5EA4">
        <w:tab/>
        <w:t>B.</w:t>
      </w:r>
      <w:r w:rsidRPr="003B5EA4">
        <w:tab/>
        <w:t>Établissement de partenariats solides avec les fournisseurs de services</w:t>
      </w:r>
    </w:p>
    <w:p w:rsidR="000048BE" w:rsidRPr="003B5EA4" w:rsidRDefault="000048BE" w:rsidP="000048BE">
      <w:pPr>
        <w:pStyle w:val="SingleTxtG"/>
      </w:pPr>
      <w:r w:rsidRPr="003B5EA4">
        <w:t>128.</w:t>
      </w:r>
      <w:r w:rsidRPr="003B5EA4">
        <w:tab/>
        <w:t xml:space="preserve">Le fait de nouer de véritables partenariats avec les sociétés de gestion de voyages et les transporteurs aériens peut réduire substantiellement le coût des voyages en avion pour les organismes des Nations Unies. Dès lors que ces fournisseurs de services sont des acteurs professionnels dans un marché à forte concurrence, les gestionnaires des voyages au sein du système des Nations Unies ont intérêt à communiquer de près avec eux et </w:t>
      </w:r>
      <w:r w:rsidRPr="003B5EA4">
        <w:lastRenderedPageBreak/>
        <w:t>à</w:t>
      </w:r>
      <w:r w:rsidR="00C73540">
        <w:t> </w:t>
      </w:r>
      <w:r w:rsidRPr="003B5EA4">
        <w:t>surveiller de près les relations qu</w:t>
      </w:r>
      <w:r w:rsidR="00762E0A">
        <w:t>’</w:t>
      </w:r>
      <w:r w:rsidRPr="003B5EA4">
        <w:t>ils entretiennent avec eux, de sorte à pouvoir obtenir les meilleures conditions possibles</w:t>
      </w:r>
      <w:r w:rsidRPr="003B5EA4">
        <w:rPr>
          <w:rStyle w:val="Appelnotedebasdep"/>
        </w:rPr>
        <w:footnoteReference w:id="125"/>
      </w:r>
      <w:r w:rsidRPr="003B5EA4">
        <w:t>.</w:t>
      </w:r>
    </w:p>
    <w:p w:rsidR="000048BE" w:rsidRPr="003B5EA4" w:rsidRDefault="000048BE" w:rsidP="000048BE">
      <w:pPr>
        <w:pStyle w:val="SingleTxtG"/>
      </w:pPr>
      <w:r w:rsidRPr="003B5EA4">
        <w:t>129.</w:t>
      </w:r>
      <w:r w:rsidRPr="003B5EA4">
        <w:tab/>
      </w:r>
      <w:r w:rsidR="005E2949" w:rsidRPr="003B5EA4">
        <w:t>Sur ce point, dans leurs entretiens avec le CCI, la Commission consultative pour les questions administratives et budgétaires et le Bureau des services de contrôle interne (BSCI) ont parlé de la nécessité pour les entités des Nations Unies qui se partageant chaque lieu d</w:t>
      </w:r>
      <w:r w:rsidR="00762E0A">
        <w:t>’</w:t>
      </w:r>
      <w:r w:rsidR="005E2949" w:rsidRPr="003B5EA4">
        <w:t>affectation de coordonner et de coopérer dans ce domaine afin de stimuler la concurrence entre fournisseurs et être en meilleure position pour obtenir des conditions favorables. Les organismes des Nations Unies devraient tirer parti des possibilités de partager les mêmes services de voyage pour augmenter le volume de leurs transactions et renforcer ainsi leur puissance de négociation.</w:t>
      </w:r>
    </w:p>
    <w:p w:rsidR="005E2949" w:rsidRPr="003B5EA4" w:rsidRDefault="005E2949" w:rsidP="005E2949">
      <w:pPr>
        <w:pStyle w:val="H23G"/>
      </w:pPr>
      <w:r w:rsidRPr="003B5EA4">
        <w:tab/>
      </w:r>
      <w:r w:rsidRPr="003B5EA4">
        <w:tab/>
        <w:t>Sociétés de gestion de voyages</w:t>
      </w:r>
    </w:p>
    <w:p w:rsidR="000E1A4F" w:rsidRPr="003B5EA4" w:rsidRDefault="005E2949" w:rsidP="005E2949">
      <w:pPr>
        <w:pStyle w:val="SingleTxtG"/>
      </w:pPr>
      <w:r w:rsidRPr="003B5EA4">
        <w:t>130.</w:t>
      </w:r>
      <w:r w:rsidRPr="003B5EA4">
        <w:tab/>
        <w:t>Les sociétés de gestion de voyages sont des agences de voyages d</w:t>
      </w:r>
      <w:r w:rsidR="00762E0A">
        <w:t>’</w:t>
      </w:r>
      <w:r w:rsidRPr="003B5EA4">
        <w:t>affaires qui gèrent les besoins en voyages des organisations selon des contrats passés avec les compagnies aériennes. Sont fournis à ce titre des services de réservation, d</w:t>
      </w:r>
      <w:r w:rsidR="00762E0A">
        <w:t>’</w:t>
      </w:r>
      <w:r w:rsidRPr="003B5EA4">
        <w:t>émission de billets, d</w:t>
      </w:r>
      <w:r w:rsidR="00762E0A">
        <w:t>’</w:t>
      </w:r>
      <w:r w:rsidRPr="003B5EA4">
        <w:t>assistance aux formalités de visas, de fourniture et de traitement analytique de données sur les frais de voyage, de mise à disposition d</w:t>
      </w:r>
      <w:r w:rsidR="00762E0A">
        <w:t>’</w:t>
      </w:r>
      <w:r w:rsidRPr="003B5EA4">
        <w:t>outils de réservation en ligne, de recherche d</w:t>
      </w:r>
      <w:r w:rsidR="00762E0A">
        <w:t>’</w:t>
      </w:r>
      <w:r w:rsidRPr="003B5EA4">
        <w:t>avantages offerts par le marché du transport aérien, de gestion des crises impliquant des voyages, de localisation des voyageurs, et d</w:t>
      </w:r>
      <w:r w:rsidR="00762E0A">
        <w:t>’</w:t>
      </w:r>
      <w:r w:rsidRPr="003B5EA4">
        <w:t>information et de formation concernant les nouvelles technologies à l</w:t>
      </w:r>
      <w:r w:rsidR="00762E0A">
        <w:t>’</w:t>
      </w:r>
      <w:r w:rsidRPr="003B5EA4">
        <w:t>intention du personnel.</w:t>
      </w:r>
    </w:p>
    <w:p w:rsidR="005E2949" w:rsidRPr="003B5EA4" w:rsidRDefault="005E2949" w:rsidP="005E2949">
      <w:pPr>
        <w:pStyle w:val="SingleTxtG"/>
      </w:pPr>
      <w:r w:rsidRPr="003B5EA4">
        <w:t>131.</w:t>
      </w:r>
      <w:r w:rsidRPr="003B5EA4">
        <w:tab/>
        <w:t>Un certain nombre d</w:t>
      </w:r>
      <w:r w:rsidR="00762E0A">
        <w:t>’</w:t>
      </w:r>
      <w:r w:rsidRPr="003B5EA4">
        <w:t>entités des Nations Unies, au siège comme sur le terrain, ont entrepris à titre individuel ou conjoint de s</w:t>
      </w:r>
      <w:r w:rsidR="00762E0A">
        <w:t>’</w:t>
      </w:r>
      <w:r w:rsidRPr="003B5EA4">
        <w:t>assurer les services de sociétés de gestion de voyages afin de réaliser des économies de volume. L</w:t>
      </w:r>
      <w:r w:rsidR="00762E0A">
        <w:t>’</w:t>
      </w:r>
      <w:r w:rsidRPr="003B5EA4">
        <w:t>Inspectrice voit un</w:t>
      </w:r>
      <w:r w:rsidR="00C73540">
        <w:t>e</w:t>
      </w:r>
      <w:r w:rsidRPr="003B5EA4">
        <w:t xml:space="preserve"> bonne pratique dans la sélection d</w:t>
      </w:r>
      <w:r w:rsidR="00762E0A">
        <w:t>’</w:t>
      </w:r>
      <w:r w:rsidRPr="003B5EA4">
        <w:t>une seule société de gestion de voyages par 13 organisations internationales présentes à Genève</w:t>
      </w:r>
      <w:r w:rsidRPr="003B5EA4">
        <w:rPr>
          <w:rStyle w:val="Appelnotedebasdep"/>
        </w:rPr>
        <w:footnoteReference w:id="126"/>
      </w:r>
      <w:r w:rsidRPr="003B5EA4">
        <w:t>. Deux sociétés de gestion de voyages servent des organisations basées à Rome</w:t>
      </w:r>
      <w:r w:rsidRPr="003B5EA4">
        <w:rPr>
          <w:rStyle w:val="Appelnotedebasdep"/>
        </w:rPr>
        <w:footnoteReference w:id="127"/>
      </w:r>
      <w:r w:rsidRPr="003B5EA4">
        <w:t xml:space="preserve"> et à Vienne</w:t>
      </w:r>
      <w:r w:rsidRPr="003B5EA4">
        <w:rPr>
          <w:rStyle w:val="Appelnotedebasdep"/>
        </w:rPr>
        <w:footnoteReference w:id="128"/>
      </w:r>
      <w:r w:rsidRPr="003B5EA4">
        <w:t>, et trois gèrent les voyages d</w:t>
      </w:r>
      <w:r w:rsidR="00762E0A">
        <w:t>’</w:t>
      </w:r>
      <w:r w:rsidRPr="003B5EA4">
        <w:t>organisations implantées à New York</w:t>
      </w:r>
      <w:r w:rsidRPr="003B5EA4">
        <w:rPr>
          <w:rStyle w:val="Appelnotedebasdep"/>
        </w:rPr>
        <w:footnoteReference w:id="129"/>
      </w:r>
      <w:r w:rsidRPr="003B5EA4">
        <w:t>. Certains organismes comme l</w:t>
      </w:r>
      <w:r w:rsidR="00762E0A">
        <w:t>’</w:t>
      </w:r>
      <w:r w:rsidRPr="003B5EA4">
        <w:t>AIEA et l</w:t>
      </w:r>
      <w:r w:rsidR="00762E0A">
        <w:t>’</w:t>
      </w:r>
      <w:r w:rsidRPr="003B5EA4">
        <w:t>UIT ont une structure de gestion centralisée de leurs voyages dans le monde en raison de leur présence limitée sur le terrain. Bien que le Manuel des achats de l</w:t>
      </w:r>
      <w:r w:rsidR="00762E0A">
        <w:t>’</w:t>
      </w:r>
      <w:r w:rsidRPr="003B5EA4">
        <w:t>ONU donne à un organisme la possibilité d</w:t>
      </w:r>
      <w:r w:rsidR="00762E0A">
        <w:t>’</w:t>
      </w:r>
      <w:r w:rsidRPr="003B5EA4">
        <w:t>accorder un contrat à plusieurs fournisseurs afin de susciter une plus grande concurrence, ce n</w:t>
      </w:r>
      <w:r w:rsidR="00762E0A">
        <w:t>’</w:t>
      </w:r>
      <w:r w:rsidRPr="003B5EA4">
        <w:t>est pas ce qui se produit dans la pratique aux sièges des organismes des Nations Unies.</w:t>
      </w:r>
    </w:p>
    <w:p w:rsidR="005E2949" w:rsidRPr="003B5EA4" w:rsidRDefault="005E2949" w:rsidP="005E2949">
      <w:pPr>
        <w:pStyle w:val="SingleTxtG"/>
      </w:pPr>
      <w:r w:rsidRPr="003B5EA4">
        <w:t>132.</w:t>
      </w:r>
      <w:r w:rsidRPr="003B5EA4">
        <w:tab/>
        <w:t>Alors qu</w:t>
      </w:r>
      <w:r w:rsidR="00762E0A">
        <w:t>’</w:t>
      </w:r>
      <w:r w:rsidRPr="003B5EA4">
        <w:t>il utilisait auparavant la même agence de voyages que le Siège de l</w:t>
      </w:r>
      <w:r w:rsidR="00762E0A">
        <w:t>’</w:t>
      </w:r>
      <w:r w:rsidRPr="003B5EA4">
        <w:t>ONU, le PNUD a renégocié, de concert avec le FNUAP et ONU-Femmes, un contrat conjoint pour la fourniture de services de gestion de voyages. Le PNUD, qui gère le contrat au nom du FENU, du FNUAP et d</w:t>
      </w:r>
      <w:r w:rsidR="00762E0A">
        <w:t>’</w:t>
      </w:r>
      <w:r w:rsidRPr="003B5EA4">
        <w:t>ONU-Femmes, a déclaré au CCI que depuis 2015 ce changement de société de gestion avait entraîné une économie de 25 % en frais d</w:t>
      </w:r>
      <w:r w:rsidR="00762E0A">
        <w:t>’</w:t>
      </w:r>
      <w:r w:rsidRPr="003B5EA4">
        <w:t>agence et un gain de temps de 20</w:t>
      </w:r>
      <w:r w:rsidR="00325C8D" w:rsidRPr="003B5EA4">
        <w:t> %</w:t>
      </w:r>
      <w:r w:rsidRPr="003B5EA4">
        <w:t xml:space="preserve"> à 40 % dans le traitement des voyages.</w:t>
      </w:r>
    </w:p>
    <w:p w:rsidR="005E2949" w:rsidRPr="003B5EA4" w:rsidRDefault="005E2949" w:rsidP="005E2949">
      <w:pPr>
        <w:pStyle w:val="SingleTxtG"/>
      </w:pPr>
      <w:r w:rsidRPr="003B5EA4">
        <w:t>133.</w:t>
      </w:r>
      <w:r w:rsidRPr="003B5EA4">
        <w:tab/>
        <w:t>L</w:t>
      </w:r>
      <w:r w:rsidR="00762E0A">
        <w:t>’</w:t>
      </w:r>
      <w:r w:rsidRPr="003B5EA4">
        <w:t>ONU a estimé que tout bénéfice tiré du partage du marché entre plusieurs fournisseurs serait absorbé par les coûts supplémentaires qui seraient à charge du client en raison du dédoublement du dispositif opérationnel à mettre en place, qu</w:t>
      </w:r>
      <w:r w:rsidR="00762E0A">
        <w:t>’</w:t>
      </w:r>
      <w:r w:rsidRPr="003B5EA4">
        <w:t>il s</w:t>
      </w:r>
      <w:r w:rsidR="00762E0A">
        <w:t>’</w:t>
      </w:r>
      <w:r w:rsidRPr="003B5EA4">
        <w:t>agisse du système mondial de réservations, des équipes d</w:t>
      </w:r>
      <w:r w:rsidR="00762E0A">
        <w:t>’</w:t>
      </w:r>
      <w:r w:rsidRPr="003B5EA4">
        <w:t>agents, des locaux, des télécommunications et de l</w:t>
      </w:r>
      <w:r w:rsidR="00762E0A">
        <w:t>’</w:t>
      </w:r>
      <w:r w:rsidRPr="003B5EA4">
        <w:t>appui administratif. L</w:t>
      </w:r>
      <w:r w:rsidR="00762E0A">
        <w:t>’</w:t>
      </w:r>
      <w:r w:rsidRPr="003B5EA4">
        <w:t>ONU encourage donc l</w:t>
      </w:r>
      <w:r w:rsidR="00762E0A">
        <w:t>’</w:t>
      </w:r>
      <w:r w:rsidRPr="003B5EA4">
        <w:t>adjudication à une seule agence, formule qu</w:t>
      </w:r>
      <w:r w:rsidR="00762E0A">
        <w:t>’</w:t>
      </w:r>
      <w:r w:rsidRPr="003B5EA4">
        <w:t>elle considère comme la norme en la matière dans le secteur privé comme dans le secteur public</w:t>
      </w:r>
      <w:r w:rsidRPr="003B5EA4">
        <w:rPr>
          <w:rStyle w:val="Appelnotedebasdep"/>
        </w:rPr>
        <w:footnoteReference w:id="130"/>
      </w:r>
      <w:r w:rsidRPr="003B5EA4">
        <w:t xml:space="preserve">. Cela étant, </w:t>
      </w:r>
      <w:r w:rsidRPr="003B5EA4">
        <w:rPr>
          <w:b/>
        </w:rPr>
        <w:t>l</w:t>
      </w:r>
      <w:r w:rsidR="00762E0A">
        <w:rPr>
          <w:b/>
        </w:rPr>
        <w:t>’</w:t>
      </w:r>
      <w:r w:rsidRPr="003B5EA4">
        <w:rPr>
          <w:b/>
        </w:rPr>
        <w:t>Inspectrice est d</w:t>
      </w:r>
      <w:r w:rsidR="00762E0A">
        <w:rPr>
          <w:b/>
        </w:rPr>
        <w:t>’</w:t>
      </w:r>
      <w:r w:rsidRPr="003B5EA4">
        <w:rPr>
          <w:b/>
        </w:rPr>
        <w:t xml:space="preserve">avis que, </w:t>
      </w:r>
      <w:r w:rsidRPr="003B5EA4">
        <w:rPr>
          <w:b/>
          <w:bCs/>
        </w:rPr>
        <w:t>dans la perspective d</w:t>
      </w:r>
      <w:r w:rsidR="00762E0A">
        <w:rPr>
          <w:b/>
          <w:bCs/>
        </w:rPr>
        <w:t>’</w:t>
      </w:r>
      <w:r w:rsidRPr="003B5EA4">
        <w:rPr>
          <w:b/>
          <w:bCs/>
        </w:rPr>
        <w:t>une rationalisation et d</w:t>
      </w:r>
      <w:r w:rsidR="00762E0A">
        <w:rPr>
          <w:b/>
          <w:bCs/>
        </w:rPr>
        <w:t>’</w:t>
      </w:r>
      <w:r w:rsidRPr="003B5EA4">
        <w:rPr>
          <w:b/>
          <w:bCs/>
        </w:rPr>
        <w:t>une coopération accrues,</w:t>
      </w:r>
      <w:r w:rsidRPr="003B5EA4">
        <w:rPr>
          <w:b/>
        </w:rPr>
        <w:t xml:space="preserve"> les organismes des Nations Unies sis à </w:t>
      </w:r>
      <w:r w:rsidRPr="003B5EA4">
        <w:rPr>
          <w:b/>
          <w:bCs/>
        </w:rPr>
        <w:t xml:space="preserve">New York, Rome et Vienne devraient évaluer la possibilité de surmonter tout obstacle </w:t>
      </w:r>
      <w:r w:rsidRPr="003B5EA4">
        <w:rPr>
          <w:b/>
          <w:bCs/>
        </w:rPr>
        <w:lastRenderedPageBreak/>
        <w:t>qui s</w:t>
      </w:r>
      <w:r w:rsidR="00762E0A">
        <w:rPr>
          <w:b/>
          <w:bCs/>
        </w:rPr>
        <w:t>’</w:t>
      </w:r>
      <w:r w:rsidRPr="003B5EA4">
        <w:rPr>
          <w:b/>
          <w:bCs/>
        </w:rPr>
        <w:t>opposerait à l</w:t>
      </w:r>
      <w:r w:rsidR="00762E0A">
        <w:rPr>
          <w:b/>
          <w:bCs/>
        </w:rPr>
        <w:t>’</w:t>
      </w:r>
      <w:r w:rsidRPr="003B5EA4">
        <w:rPr>
          <w:b/>
          <w:bCs/>
        </w:rPr>
        <w:t>acquisition conjointe des services d</w:t>
      </w:r>
      <w:r w:rsidR="00762E0A">
        <w:rPr>
          <w:b/>
          <w:bCs/>
        </w:rPr>
        <w:t>’</w:t>
      </w:r>
      <w:r w:rsidRPr="003B5EA4">
        <w:rPr>
          <w:b/>
          <w:bCs/>
        </w:rPr>
        <w:t>une société de gestion de voyages commune</w:t>
      </w:r>
      <w:r w:rsidRPr="003B5EA4">
        <w:t>.</w:t>
      </w:r>
    </w:p>
    <w:p w:rsidR="005E2949" w:rsidRPr="003B5EA4" w:rsidRDefault="005E2949" w:rsidP="005E2949">
      <w:pPr>
        <w:pStyle w:val="SingleTxtG"/>
        <w:rPr>
          <w:b/>
        </w:rPr>
      </w:pPr>
      <w:r w:rsidRPr="003B5EA4">
        <w:t>134.</w:t>
      </w:r>
      <w:r w:rsidRPr="003B5EA4">
        <w:tab/>
      </w:r>
      <w:r w:rsidR="00325C8D" w:rsidRPr="003B5EA4">
        <w:t>La pratique de la BID qui consiste à centraliser la gestion de ses voyages aériens à l</w:t>
      </w:r>
      <w:r w:rsidR="00762E0A">
        <w:t>’</w:t>
      </w:r>
      <w:r w:rsidR="00325C8D" w:rsidRPr="003B5EA4">
        <w:t>échelle mondiale en la confiant à une seule société de gestion de voyages chargée de fournir ses services aux bureaux de pays par le truchement d</w:t>
      </w:r>
      <w:r w:rsidR="00762E0A">
        <w:t>’</w:t>
      </w:r>
      <w:r w:rsidR="00325C8D" w:rsidRPr="003B5EA4">
        <w:t>une série de centres d</w:t>
      </w:r>
      <w:r w:rsidR="00762E0A">
        <w:t>’</w:t>
      </w:r>
      <w:r w:rsidR="00325C8D" w:rsidRPr="003B5EA4">
        <w:t>appel régionaux, l</w:t>
      </w:r>
      <w:r w:rsidR="00762E0A">
        <w:t>’</w:t>
      </w:r>
      <w:r w:rsidR="00325C8D" w:rsidRPr="003B5EA4">
        <w:t>émission des billets et les paiements se faisant de façon centrale au siège, a produit les avantages suivants : a) la transparence dans les frais d</w:t>
      </w:r>
      <w:r w:rsidR="00762E0A">
        <w:t>’</w:t>
      </w:r>
      <w:r w:rsidR="00325C8D" w:rsidRPr="003B5EA4">
        <w:t>agence de voyages</w:t>
      </w:r>
      <w:r w:rsidR="006C19D6" w:rsidRPr="003B5EA4">
        <w:t> </w:t>
      </w:r>
      <w:r w:rsidR="00325C8D" w:rsidRPr="003B5EA4">
        <w:t>; b) le</w:t>
      </w:r>
      <w:r w:rsidR="00792EDB" w:rsidRPr="003B5EA4">
        <w:t> </w:t>
      </w:r>
      <w:r w:rsidR="00325C8D" w:rsidRPr="003B5EA4">
        <w:t>respect universel des politiques en matière de voyages</w:t>
      </w:r>
      <w:r w:rsidR="006C19D6" w:rsidRPr="003B5EA4">
        <w:t> </w:t>
      </w:r>
      <w:r w:rsidR="00325C8D" w:rsidRPr="003B5EA4">
        <w:t>; c) l</w:t>
      </w:r>
      <w:r w:rsidR="00762E0A">
        <w:t>’</w:t>
      </w:r>
      <w:r w:rsidR="00325C8D" w:rsidRPr="003B5EA4">
        <w:t>accès des bureaux de pays aux tarifs réduits négociés ; d) un processus amélioré d</w:t>
      </w:r>
      <w:r w:rsidR="00762E0A">
        <w:t>’</w:t>
      </w:r>
      <w:r w:rsidR="00325C8D" w:rsidRPr="003B5EA4">
        <w:t>établissement des rapports en vue de la prise de décisions</w:t>
      </w:r>
      <w:r w:rsidR="006C19D6" w:rsidRPr="003B5EA4">
        <w:t> </w:t>
      </w:r>
      <w:r w:rsidR="00325C8D" w:rsidRPr="003B5EA4">
        <w:t>; e) des tarifs négociés à l</w:t>
      </w:r>
      <w:r w:rsidR="00762E0A">
        <w:t>’</w:t>
      </w:r>
      <w:r w:rsidR="00325C8D" w:rsidRPr="003B5EA4">
        <w:t xml:space="preserve">échelle mondiale. </w:t>
      </w:r>
      <w:r w:rsidR="00325C8D" w:rsidRPr="003B5EA4">
        <w:rPr>
          <w:b/>
        </w:rPr>
        <w:t>À la lumière des évolutions que connaît le secteur des voyages et des possibilités d</w:t>
      </w:r>
      <w:r w:rsidR="00762E0A">
        <w:rPr>
          <w:b/>
        </w:rPr>
        <w:t>’</w:t>
      </w:r>
      <w:r w:rsidR="00325C8D" w:rsidRPr="003B5EA4">
        <w:rPr>
          <w:b/>
        </w:rPr>
        <w:t>économies qu</w:t>
      </w:r>
      <w:r w:rsidR="00762E0A">
        <w:rPr>
          <w:b/>
        </w:rPr>
        <w:t>’</w:t>
      </w:r>
      <w:r w:rsidR="00325C8D" w:rsidRPr="003B5EA4">
        <w:rPr>
          <w:b/>
        </w:rPr>
        <w:t>il présente, les organismes des Nations Unies devraient évaluer les avantages et les coûts qui pourraient résulter de l</w:t>
      </w:r>
      <w:r w:rsidR="00762E0A">
        <w:rPr>
          <w:b/>
        </w:rPr>
        <w:t>’</w:t>
      </w:r>
      <w:r w:rsidR="00325C8D" w:rsidRPr="003B5EA4">
        <w:rPr>
          <w:b/>
        </w:rPr>
        <w:t>adoption d</w:t>
      </w:r>
      <w:r w:rsidR="00762E0A">
        <w:rPr>
          <w:b/>
        </w:rPr>
        <w:t>’</w:t>
      </w:r>
      <w:r w:rsidR="00325C8D" w:rsidRPr="003B5EA4">
        <w:rPr>
          <w:b/>
        </w:rPr>
        <w:t>une structure centralisée de gestion de leurs voyages à l</w:t>
      </w:r>
      <w:r w:rsidR="00762E0A">
        <w:rPr>
          <w:b/>
        </w:rPr>
        <w:t>’</w:t>
      </w:r>
      <w:r w:rsidR="00325C8D" w:rsidRPr="003B5EA4">
        <w:rPr>
          <w:b/>
        </w:rPr>
        <w:t>échelle mondiale.</w:t>
      </w:r>
    </w:p>
    <w:p w:rsidR="00792EDB" w:rsidRPr="003B5EA4" w:rsidRDefault="00792EDB" w:rsidP="001D190E">
      <w:pPr>
        <w:pStyle w:val="H23G"/>
      </w:pPr>
      <w:r w:rsidRPr="003B5EA4">
        <w:tab/>
      </w:r>
      <w:r w:rsidRPr="003B5EA4">
        <w:tab/>
      </w:r>
      <w:r w:rsidR="001D190E" w:rsidRPr="003B5EA4">
        <w:t>Suivi des résultats</w:t>
      </w:r>
    </w:p>
    <w:p w:rsidR="00792EDB" w:rsidRPr="003B5EA4" w:rsidRDefault="001D190E" w:rsidP="001D190E">
      <w:pPr>
        <w:pStyle w:val="SingleTxtG"/>
      </w:pPr>
      <w:r w:rsidRPr="003B5EA4">
        <w:t>135.</w:t>
      </w:r>
      <w:r w:rsidRPr="003B5EA4">
        <w:tab/>
        <w:t>Pour établir des relations solides avec des agences de voyage</w:t>
      </w:r>
      <w:r w:rsidR="004841EA">
        <w:t>s</w:t>
      </w:r>
      <w:r w:rsidRPr="003B5EA4">
        <w:t>, il importe de préciser avec soin ses attentes en matière de prestations de services et de résultats, et de suivre la façon dont il y est répondu. Il faut veiller à la mise au point et la mise en œuvre d</w:t>
      </w:r>
      <w:r w:rsidR="00762E0A">
        <w:t>’</w:t>
      </w:r>
      <w:r w:rsidRPr="003B5EA4">
        <w:t>indicateurs et mécanismes de suivi appropriés pour contrôler les prestations des compagnies de gestion de voyages sous l</w:t>
      </w:r>
      <w:r w:rsidR="00762E0A">
        <w:t>’</w:t>
      </w:r>
      <w:r w:rsidRPr="003B5EA4">
        <w:t>angle de l</w:t>
      </w:r>
      <w:r w:rsidR="00762E0A">
        <w:t>’</w:t>
      </w:r>
      <w:r w:rsidRPr="003B5EA4">
        <w:t>efficience, de la rentabilité et de la qualité des services fournis</w:t>
      </w:r>
      <w:r w:rsidRPr="003B5EA4">
        <w:rPr>
          <w:rStyle w:val="Appelnotedebasdep"/>
        </w:rPr>
        <w:footnoteReference w:id="131"/>
      </w:r>
      <w:r w:rsidRPr="003B5EA4">
        <w:t>.</w:t>
      </w:r>
    </w:p>
    <w:p w:rsidR="001D190E" w:rsidRPr="003B5EA4" w:rsidRDefault="001D190E" w:rsidP="001D190E">
      <w:pPr>
        <w:pStyle w:val="SingleTxtG"/>
      </w:pPr>
      <w:r w:rsidRPr="003B5EA4">
        <w:t>136.</w:t>
      </w:r>
      <w:r w:rsidRPr="003B5EA4">
        <w:tab/>
        <w:t>Les organismes peuvent évaluer les résultats obtenus par une agence de gestion de voyages au regard de ses obligations contractuelles en recourant aux accords de prestation</w:t>
      </w:r>
      <w:r w:rsidR="00F8456B">
        <w:t>s</w:t>
      </w:r>
      <w:r w:rsidRPr="003B5EA4">
        <w:t xml:space="preserve"> de services</w:t>
      </w:r>
      <w:r w:rsidRPr="003B5EA4">
        <w:rPr>
          <w:rStyle w:val="Appelnotedebasdep"/>
        </w:rPr>
        <w:footnoteReference w:id="132"/>
      </w:r>
      <w:r w:rsidRPr="003B5EA4">
        <w:t>. Ceux-ci précisent le niveau de service escompté ainsi que les indicateurs clefs de performance s</w:t>
      </w:r>
      <w:r w:rsidR="00762E0A">
        <w:t>’</w:t>
      </w:r>
      <w:r w:rsidRPr="003B5EA4">
        <w:t>y rapportant. Ces éléments doivent être clairement définis, les contrats devant également préciser la périodicité et les modalités d</w:t>
      </w:r>
      <w:r w:rsidR="00762E0A">
        <w:t>’</w:t>
      </w:r>
      <w:r w:rsidRPr="003B5EA4">
        <w:t>évaluation et de communication de l</w:t>
      </w:r>
      <w:r w:rsidR="00762E0A">
        <w:t>’</w:t>
      </w:r>
      <w:r w:rsidRPr="003B5EA4">
        <w:t>information</w:t>
      </w:r>
      <w:r w:rsidRPr="003B5EA4">
        <w:rPr>
          <w:rStyle w:val="Appelnotedebasdep"/>
        </w:rPr>
        <w:footnoteReference w:id="133"/>
      </w:r>
      <w:r w:rsidRPr="003B5EA4">
        <w:t>.</w:t>
      </w:r>
    </w:p>
    <w:p w:rsidR="001D190E" w:rsidRPr="003B5EA4" w:rsidRDefault="001D190E" w:rsidP="001D190E">
      <w:pPr>
        <w:pStyle w:val="SingleTxtG"/>
      </w:pPr>
      <w:r w:rsidRPr="003B5EA4">
        <w:t>137.</w:t>
      </w:r>
      <w:r w:rsidRPr="003B5EA4">
        <w:tab/>
        <w:t>En ce qui concerne l</w:t>
      </w:r>
      <w:r w:rsidR="00762E0A">
        <w:t>’</w:t>
      </w:r>
      <w:r w:rsidRPr="003B5EA4">
        <w:t>ONU, la périodicité et les modalités de contrôle des indicateurs clefs de performance ont été incluses dans le contrat de services de voyage de l</w:t>
      </w:r>
      <w:r w:rsidR="00762E0A">
        <w:t>’</w:t>
      </w:r>
      <w:r w:rsidRPr="003B5EA4">
        <w:t>ONUG, suite à l</w:t>
      </w:r>
      <w:r w:rsidR="00762E0A">
        <w:t>’</w:t>
      </w:r>
      <w:r w:rsidRPr="003B5EA4">
        <w:t>audit mené par le BSCI en 2013</w:t>
      </w:r>
      <w:r w:rsidRPr="003B5EA4">
        <w:rPr>
          <w:rStyle w:val="Appelnotedebasdep"/>
        </w:rPr>
        <w:footnoteReference w:id="134"/>
      </w:r>
      <w:r w:rsidRPr="003B5EA4">
        <w:t>, de même que des indicateurs de résultats ont été inclus dans les contrats régissant les services de voyage fournis au Siège de l</w:t>
      </w:r>
      <w:r w:rsidR="00762E0A">
        <w:t>’</w:t>
      </w:r>
      <w:r w:rsidRPr="003B5EA4">
        <w:t>ONU et de l</w:t>
      </w:r>
      <w:r w:rsidR="00762E0A">
        <w:t>’</w:t>
      </w:r>
      <w:r w:rsidRPr="003B5EA4">
        <w:t>ONUN. Un accord de prestation de services stipulant les résultats escomptés a également été incorporé dans le contrat d</w:t>
      </w:r>
      <w:r w:rsidR="00762E0A">
        <w:t>’</w:t>
      </w:r>
      <w:r w:rsidRPr="003B5EA4">
        <w:t>agence de voyages de l</w:t>
      </w:r>
      <w:r w:rsidR="00762E0A">
        <w:t>’</w:t>
      </w:r>
      <w:r w:rsidRPr="003B5EA4">
        <w:t>ONUV</w:t>
      </w:r>
      <w:r w:rsidRPr="003B5EA4">
        <w:rPr>
          <w:rStyle w:val="Appelnotedebasdep"/>
        </w:rPr>
        <w:footnoteReference w:id="135"/>
      </w:r>
      <w:r w:rsidRPr="003B5EA4">
        <w:t>.</w:t>
      </w:r>
    </w:p>
    <w:p w:rsidR="001D190E" w:rsidRPr="003B5EA4" w:rsidRDefault="001D190E" w:rsidP="001D190E">
      <w:pPr>
        <w:pStyle w:val="SingleTxtG"/>
        <w:rPr>
          <w:bCs/>
        </w:rPr>
      </w:pPr>
      <w:r w:rsidRPr="003B5EA4">
        <w:t>138.</w:t>
      </w:r>
      <w:r w:rsidRPr="003B5EA4">
        <w:tab/>
        <w:t>L</w:t>
      </w:r>
      <w:r w:rsidR="00762E0A">
        <w:t>’</w:t>
      </w:r>
      <w:r w:rsidRPr="003B5EA4">
        <w:t>ONUG a adopté la bonne pratique d</w:t>
      </w:r>
      <w:r w:rsidR="00762E0A">
        <w:t>’</w:t>
      </w:r>
      <w:r w:rsidRPr="003B5EA4">
        <w:t>inclure des « clauses d</w:t>
      </w:r>
      <w:r w:rsidR="00762E0A">
        <w:t>’</w:t>
      </w:r>
      <w:r w:rsidRPr="003B5EA4">
        <w:t>inexécution » dans le contrat qu</w:t>
      </w:r>
      <w:r w:rsidR="00762E0A">
        <w:t>’</w:t>
      </w:r>
      <w:r w:rsidRPr="003B5EA4">
        <w:t>elle a passé avec la société qui gère ses voyages. Ces clauses peuvent donner lieu à des pénalités financières en cas de non-prestation des services relevant des obligations contractuelles de la société. En outre, au siège de l</w:t>
      </w:r>
      <w:r w:rsidR="00762E0A">
        <w:t>’</w:t>
      </w:r>
      <w:r w:rsidRPr="003B5EA4">
        <w:rPr>
          <w:bCs/>
        </w:rPr>
        <w:t>UNESCO, 30 % des frais d</w:t>
      </w:r>
      <w:r w:rsidR="00762E0A">
        <w:rPr>
          <w:bCs/>
        </w:rPr>
        <w:t>’</w:t>
      </w:r>
      <w:r w:rsidRPr="003B5EA4">
        <w:rPr>
          <w:bCs/>
        </w:rPr>
        <w:t>agence de voyages sont liés à la qualité des services prestés et aux économies que l</w:t>
      </w:r>
      <w:r w:rsidR="00762E0A">
        <w:rPr>
          <w:bCs/>
        </w:rPr>
        <w:t>’</w:t>
      </w:r>
      <w:r w:rsidRPr="003B5EA4">
        <w:rPr>
          <w:bCs/>
        </w:rPr>
        <w:t>agence est en mesure de réaliser pour le compte de l</w:t>
      </w:r>
      <w:r w:rsidR="00762E0A">
        <w:rPr>
          <w:bCs/>
        </w:rPr>
        <w:t>’</w:t>
      </w:r>
      <w:r w:rsidRPr="003B5EA4">
        <w:rPr>
          <w:bCs/>
        </w:rPr>
        <w:t>organisation. Quant à l</w:t>
      </w:r>
      <w:r w:rsidR="00762E0A">
        <w:rPr>
          <w:bCs/>
        </w:rPr>
        <w:t>’</w:t>
      </w:r>
      <w:r w:rsidRPr="003B5EA4">
        <w:rPr>
          <w:bCs/>
        </w:rPr>
        <w:t>OMI, elle a pour bonne pratique de comparer aux tarifs commerciaux disponibles un échantillon des devis proposés par la société de gestion de voyages.</w:t>
      </w:r>
    </w:p>
    <w:p w:rsidR="008A5A78" w:rsidRPr="003B5EA4" w:rsidRDefault="008A5A78" w:rsidP="008A5A78">
      <w:pPr>
        <w:pStyle w:val="SingleTxtG"/>
        <w:rPr>
          <w:b/>
        </w:rPr>
      </w:pPr>
      <w:r w:rsidRPr="003B5EA4">
        <w:t>139.</w:t>
      </w:r>
      <w:r w:rsidRPr="003B5EA4">
        <w:tab/>
        <w:t>L</w:t>
      </w:r>
      <w:r w:rsidR="00762E0A">
        <w:t>’</w:t>
      </w:r>
      <w:r w:rsidRPr="003B5EA4">
        <w:t>annexe VII présente certains indicateurs clefs de performance relevés par les entités des Nations Unies en ce qu</w:t>
      </w:r>
      <w:r w:rsidR="00762E0A">
        <w:t>’</w:t>
      </w:r>
      <w:r w:rsidRPr="003B5EA4">
        <w:t>elles leur servent à contrôler et à estimer les dépenses engagées au titre des voyages en avion ainsi qu</w:t>
      </w:r>
      <w:r w:rsidR="00762E0A">
        <w:t>’</w:t>
      </w:r>
      <w:r w:rsidRPr="003B5EA4">
        <w:t>à évaluer la performance des sociétés de gestion de voyages. Ces indicateurs pourraient être examinés et évalués dans le cadre du Réseau interinstitutions Voyages afin d</w:t>
      </w:r>
      <w:r w:rsidR="00762E0A">
        <w:t>’</w:t>
      </w:r>
      <w:r w:rsidRPr="003B5EA4">
        <w:t xml:space="preserve">établir des repères et de déterminer les meilleures </w:t>
      </w:r>
      <w:r w:rsidRPr="003B5EA4">
        <w:lastRenderedPageBreak/>
        <w:t xml:space="preserve">pratiques. </w:t>
      </w:r>
      <w:r w:rsidRPr="003B5EA4">
        <w:rPr>
          <w:b/>
        </w:rPr>
        <w:t>L</w:t>
      </w:r>
      <w:r w:rsidR="00762E0A">
        <w:rPr>
          <w:b/>
        </w:rPr>
        <w:t>’</w:t>
      </w:r>
      <w:r w:rsidRPr="003B5EA4">
        <w:rPr>
          <w:b/>
        </w:rPr>
        <w:t>Inspectrice propose par conséquent qu</w:t>
      </w:r>
      <w:r w:rsidR="00762E0A">
        <w:rPr>
          <w:b/>
        </w:rPr>
        <w:t>’</w:t>
      </w:r>
      <w:r w:rsidRPr="003B5EA4">
        <w:rPr>
          <w:b/>
        </w:rPr>
        <w:t>une liste commune d</w:t>
      </w:r>
      <w:r w:rsidR="00762E0A">
        <w:rPr>
          <w:b/>
        </w:rPr>
        <w:t>’</w:t>
      </w:r>
      <w:r w:rsidRPr="003B5EA4">
        <w:rPr>
          <w:b/>
        </w:rPr>
        <w:t>indicateurs clefs de performance pour les services de voyages soit diffusée parmi tous les groupes des voyages du système des Nations Unies chargés de contrôler des société</w:t>
      </w:r>
      <w:r w:rsidR="004841EA">
        <w:rPr>
          <w:b/>
        </w:rPr>
        <w:t>s</w:t>
      </w:r>
      <w:r w:rsidRPr="003B5EA4">
        <w:rPr>
          <w:b/>
        </w:rPr>
        <w:t xml:space="preserve"> de gestion de voyage</w:t>
      </w:r>
      <w:r w:rsidR="004841EA">
        <w:rPr>
          <w:b/>
        </w:rPr>
        <w:t>s</w:t>
      </w:r>
      <w:r w:rsidRPr="003B5EA4">
        <w:rPr>
          <w:b/>
        </w:rPr>
        <w:t xml:space="preserve"> dans le but d</w:t>
      </w:r>
      <w:r w:rsidR="00762E0A">
        <w:rPr>
          <w:b/>
        </w:rPr>
        <w:t>’</w:t>
      </w:r>
      <w:r w:rsidRPr="003B5EA4">
        <w:rPr>
          <w:b/>
        </w:rPr>
        <w:t>étalonner les résultats et de déterminer les meilleures pratiques à l</w:t>
      </w:r>
      <w:r w:rsidR="00762E0A">
        <w:rPr>
          <w:b/>
        </w:rPr>
        <w:t>’</w:t>
      </w:r>
      <w:r w:rsidRPr="003B5EA4">
        <w:rPr>
          <w:b/>
        </w:rPr>
        <w:t>échelle du système des Nations Unies.</w:t>
      </w:r>
    </w:p>
    <w:p w:rsidR="008A5A78" w:rsidRPr="003B5EA4" w:rsidRDefault="008A5A78" w:rsidP="008A5A78">
      <w:pPr>
        <w:pStyle w:val="H23G"/>
      </w:pPr>
      <w:r w:rsidRPr="003B5EA4">
        <w:tab/>
      </w:r>
      <w:r w:rsidRPr="003B5EA4">
        <w:tab/>
        <w:t>Amélioration de la communication</w:t>
      </w:r>
    </w:p>
    <w:p w:rsidR="008A5A78" w:rsidRPr="003B5EA4" w:rsidRDefault="008A5A78" w:rsidP="008A5A78">
      <w:pPr>
        <w:pStyle w:val="SingleTxtG"/>
        <w:rPr>
          <w:b/>
        </w:rPr>
      </w:pPr>
      <w:r w:rsidRPr="003B5EA4">
        <w:t>140.</w:t>
      </w:r>
      <w:r w:rsidRPr="003B5EA4">
        <w:tab/>
      </w:r>
      <w:r w:rsidRPr="003B5EA4">
        <w:rPr>
          <w:bCs/>
        </w:rPr>
        <w:t>À côté du contrôle rapproché des prestations des sociétés de gestion de voyages, une communication améliorée peut également contribuer à rendre la gestion des voyages plus efficiente. Une bonne pratique consiste à prendre l</w:t>
      </w:r>
      <w:r w:rsidR="00762E0A">
        <w:rPr>
          <w:bCs/>
        </w:rPr>
        <w:t>’</w:t>
      </w:r>
      <w:r w:rsidRPr="003B5EA4">
        <w:rPr>
          <w:bCs/>
        </w:rPr>
        <w:t>initiative, comme le fait le PAM, de former la société de gestion de voyages aux caractéristiques de sa politique, et d</w:t>
      </w:r>
      <w:r w:rsidR="00762E0A">
        <w:rPr>
          <w:bCs/>
        </w:rPr>
        <w:t>’</w:t>
      </w:r>
      <w:r w:rsidRPr="003B5EA4">
        <w:rPr>
          <w:bCs/>
        </w:rPr>
        <w:t>instaurer ainsi une plus grande transparence et une plus grande responsabilisation dans l</w:t>
      </w:r>
      <w:r w:rsidR="00762E0A">
        <w:rPr>
          <w:bCs/>
        </w:rPr>
        <w:t>’</w:t>
      </w:r>
      <w:r w:rsidRPr="003B5EA4">
        <w:rPr>
          <w:bCs/>
        </w:rPr>
        <w:t>administration des activités afférentes aux voyages en avion. En adoptant cette démarche de suivi et d</w:t>
      </w:r>
      <w:r w:rsidR="00762E0A">
        <w:rPr>
          <w:bCs/>
        </w:rPr>
        <w:t>’</w:t>
      </w:r>
      <w:r w:rsidRPr="003B5EA4">
        <w:rPr>
          <w:bCs/>
        </w:rPr>
        <w:t>anticipation, l</w:t>
      </w:r>
      <w:r w:rsidR="00762E0A">
        <w:rPr>
          <w:bCs/>
        </w:rPr>
        <w:t>’</w:t>
      </w:r>
      <w:r w:rsidRPr="003B5EA4">
        <w:rPr>
          <w:bCs/>
        </w:rPr>
        <w:t>organisme veut s</w:t>
      </w:r>
      <w:r w:rsidR="00762E0A">
        <w:rPr>
          <w:bCs/>
        </w:rPr>
        <w:t>’</w:t>
      </w:r>
      <w:r w:rsidRPr="003B5EA4">
        <w:rPr>
          <w:bCs/>
        </w:rPr>
        <w:t>assurer que la société soit pleinement consciente de la façon dont elle doit appliquer la politique de gestion des voyages. Le groupe des voyages du Siège de l</w:t>
      </w:r>
      <w:r w:rsidR="00762E0A">
        <w:rPr>
          <w:bCs/>
        </w:rPr>
        <w:t>’</w:t>
      </w:r>
      <w:r w:rsidRPr="003B5EA4">
        <w:rPr>
          <w:bCs/>
        </w:rPr>
        <w:t>ONU use également d</w:t>
      </w:r>
      <w:r w:rsidR="00762E0A">
        <w:rPr>
          <w:bCs/>
        </w:rPr>
        <w:t>’</w:t>
      </w:r>
      <w:r w:rsidRPr="003B5EA4">
        <w:rPr>
          <w:bCs/>
        </w:rPr>
        <w:t>une bonne pratique lorsqu</w:t>
      </w:r>
      <w:r w:rsidR="00762E0A">
        <w:rPr>
          <w:bCs/>
        </w:rPr>
        <w:t>’</w:t>
      </w:r>
      <w:r w:rsidRPr="003B5EA4">
        <w:rPr>
          <w:bCs/>
        </w:rPr>
        <w:t>il travaille de près avec la société de gestion de voyages pour apporter des modifications aux processus existants (comme le fait de ne pas permettre qu</w:t>
      </w:r>
      <w:r w:rsidR="00762E0A">
        <w:rPr>
          <w:bCs/>
        </w:rPr>
        <w:t>’</w:t>
      </w:r>
      <w:r w:rsidRPr="003B5EA4">
        <w:rPr>
          <w:bCs/>
        </w:rPr>
        <w:t>une réservation soit faite avant que l</w:t>
      </w:r>
      <w:r w:rsidR="00762E0A">
        <w:rPr>
          <w:bCs/>
        </w:rPr>
        <w:t>’</w:t>
      </w:r>
      <w:r w:rsidRPr="003B5EA4">
        <w:rPr>
          <w:bCs/>
        </w:rPr>
        <w:t>autorisation de voyager ne soit accordée par Umoja), ces modifications s</w:t>
      </w:r>
      <w:r w:rsidR="00762E0A">
        <w:rPr>
          <w:bCs/>
        </w:rPr>
        <w:t>’</w:t>
      </w:r>
      <w:r w:rsidRPr="003B5EA4">
        <w:rPr>
          <w:bCs/>
        </w:rPr>
        <w:t xml:space="preserve">étant traduites par des besoins en personnel moindres pour la société de gestion et par une économie de 12 % dans le budget du groupe des voyages. </w:t>
      </w:r>
      <w:r w:rsidRPr="003B5EA4">
        <w:rPr>
          <w:b/>
        </w:rPr>
        <w:t>L</w:t>
      </w:r>
      <w:r w:rsidR="00762E0A">
        <w:rPr>
          <w:b/>
        </w:rPr>
        <w:t>’</w:t>
      </w:r>
      <w:r w:rsidRPr="003B5EA4">
        <w:rPr>
          <w:b/>
        </w:rPr>
        <w:t>Inspectrice est d</w:t>
      </w:r>
      <w:r w:rsidR="00762E0A">
        <w:rPr>
          <w:b/>
        </w:rPr>
        <w:t>’</w:t>
      </w:r>
      <w:r w:rsidRPr="003B5EA4">
        <w:rPr>
          <w:b/>
        </w:rPr>
        <w:t>avis que des mesures similaires, axées sur l</w:t>
      </w:r>
      <w:r w:rsidR="00762E0A">
        <w:rPr>
          <w:b/>
        </w:rPr>
        <w:t>’</w:t>
      </w:r>
      <w:r w:rsidRPr="003B5EA4">
        <w:rPr>
          <w:b/>
        </w:rPr>
        <w:t>initiative et visant à améliorer la communication avec les sociétés de gestion de voyages, devraient être adoptées par les organismes à l</w:t>
      </w:r>
      <w:r w:rsidR="00762E0A">
        <w:rPr>
          <w:b/>
        </w:rPr>
        <w:t>’</w:t>
      </w:r>
      <w:r w:rsidRPr="003B5EA4">
        <w:rPr>
          <w:b/>
        </w:rPr>
        <w:t>échelle du système tout entier pour accroître l</w:t>
      </w:r>
      <w:r w:rsidR="00762E0A">
        <w:rPr>
          <w:b/>
        </w:rPr>
        <w:t>’</w:t>
      </w:r>
      <w:r w:rsidRPr="003B5EA4">
        <w:rPr>
          <w:b/>
        </w:rPr>
        <w:t>efficience et l</w:t>
      </w:r>
      <w:r w:rsidR="00762E0A">
        <w:rPr>
          <w:b/>
        </w:rPr>
        <w:t>’</w:t>
      </w:r>
      <w:r w:rsidRPr="003B5EA4">
        <w:rPr>
          <w:b/>
        </w:rPr>
        <w:t>efficacité de l</w:t>
      </w:r>
      <w:r w:rsidR="00762E0A">
        <w:rPr>
          <w:b/>
        </w:rPr>
        <w:t>’</w:t>
      </w:r>
      <w:r w:rsidRPr="003B5EA4">
        <w:rPr>
          <w:b/>
        </w:rPr>
        <w:t>administration des voyages en avion.</w:t>
      </w:r>
    </w:p>
    <w:p w:rsidR="008A5A78" w:rsidRPr="003B5EA4" w:rsidRDefault="008A5A78" w:rsidP="008A5A78">
      <w:pPr>
        <w:pStyle w:val="H23G"/>
      </w:pPr>
      <w:r w:rsidRPr="003B5EA4">
        <w:tab/>
      </w:r>
      <w:r w:rsidRPr="003B5EA4">
        <w:tab/>
        <w:t>Avantages des négociations conjointes et des contrats mondiaux avec les compagnies aériennes</w:t>
      </w:r>
    </w:p>
    <w:p w:rsidR="008A5A78" w:rsidRPr="003B5EA4" w:rsidRDefault="008A5A78" w:rsidP="008A5A78">
      <w:pPr>
        <w:pStyle w:val="SingleTxtG"/>
      </w:pPr>
      <w:r w:rsidRPr="003B5EA4">
        <w:t>141.</w:t>
      </w:r>
      <w:r w:rsidRPr="003B5EA4">
        <w:tab/>
        <w:t>En faisant valoir la grande quantité de billets d</w:t>
      </w:r>
      <w:r w:rsidR="00762E0A">
        <w:t>’</w:t>
      </w:r>
      <w:r w:rsidRPr="003B5EA4">
        <w:t>avion qu</w:t>
      </w:r>
      <w:r w:rsidR="00762E0A">
        <w:t>’</w:t>
      </w:r>
      <w:r w:rsidRPr="003B5EA4">
        <w:t>ils sont appelés à acheter, les organismes qui se partagent un même lieu d</w:t>
      </w:r>
      <w:r w:rsidR="00762E0A">
        <w:t>’</w:t>
      </w:r>
      <w:r w:rsidRPr="003B5EA4">
        <w:t xml:space="preserve">affectation peuvent se négocier des tarifs préférentiels, soit directement avec les compagnies aériennes, soit avec leurs alliances. Treize organismes installés à </w:t>
      </w:r>
      <w:r w:rsidRPr="003B5EA4">
        <w:rPr>
          <w:bCs/>
        </w:rPr>
        <w:t>Genève, cumulant en 2015 un volume de billets achetés se chiffrant à 90 millions de francs suisses, ont ainsi conclu avec de grandes compagnies aériennes ou alliances 20 accords de tarifs d</w:t>
      </w:r>
      <w:r w:rsidR="00762E0A">
        <w:rPr>
          <w:bCs/>
        </w:rPr>
        <w:t>’</w:t>
      </w:r>
      <w:r w:rsidRPr="003B5EA4">
        <w:rPr>
          <w:bCs/>
        </w:rPr>
        <w:t>entreprise qui leur ont permis d</w:t>
      </w:r>
      <w:r w:rsidR="00762E0A">
        <w:rPr>
          <w:bCs/>
        </w:rPr>
        <w:t>’</w:t>
      </w:r>
      <w:r w:rsidRPr="003B5EA4">
        <w:rPr>
          <w:bCs/>
        </w:rPr>
        <w:t>économiser un montant total estimé à 20 millions de francs suisses.</w:t>
      </w:r>
      <w:r w:rsidRPr="003B5EA4">
        <w:t xml:space="preserve"> L</w:t>
      </w:r>
      <w:r w:rsidR="00762E0A">
        <w:t>’</w:t>
      </w:r>
      <w:r w:rsidRPr="003B5EA4">
        <w:t>Inspectrice juge la pratique bonne, notant du reste qu</w:t>
      </w:r>
      <w:r w:rsidR="00762E0A">
        <w:t>’</w:t>
      </w:r>
      <w:r w:rsidRPr="003B5EA4">
        <w:t>un nombre croissant de ces accords comportent non seulement des réductions sur les prix des vols au départ et à destination de la Suisse, mais aussi des conditions avantageuses pour d</w:t>
      </w:r>
      <w:r w:rsidR="00762E0A">
        <w:t>’</w:t>
      </w:r>
      <w:r w:rsidRPr="003B5EA4">
        <w:t>autres itinéraires.</w:t>
      </w:r>
    </w:p>
    <w:p w:rsidR="001A1334" w:rsidRPr="003B5EA4" w:rsidRDefault="001A1334" w:rsidP="008A5A78">
      <w:pPr>
        <w:pStyle w:val="SingleTxtG"/>
      </w:pPr>
      <w:r w:rsidRPr="003B5EA4">
        <w:t>142.</w:t>
      </w:r>
      <w:r w:rsidRPr="003B5EA4">
        <w:tab/>
        <w:t>D</w:t>
      </w:r>
      <w:r w:rsidR="00762E0A">
        <w:t>’</w:t>
      </w:r>
      <w:r w:rsidRPr="003B5EA4">
        <w:t>importantes économies supplémentaires ont également été réalisées en négociant la flexibilité des billets, notamment la levée des restrictions frappant le remboursement, la modification, etc., des billets ordinaires</w:t>
      </w:r>
      <w:r w:rsidRPr="003B5EA4">
        <w:rPr>
          <w:bCs/>
        </w:rPr>
        <w:t>. Les représentants de l</w:t>
      </w:r>
      <w:r w:rsidR="00762E0A">
        <w:rPr>
          <w:bCs/>
        </w:rPr>
        <w:t>’</w:t>
      </w:r>
      <w:r w:rsidRPr="003B5EA4">
        <w:rPr>
          <w:bCs/>
        </w:rPr>
        <w:t>ONUG interrogés ont fait observer que les économies et gains de flexibilité réalisés ne seraient pas possibles sans la puissance d</w:t>
      </w:r>
      <w:r w:rsidR="00762E0A">
        <w:rPr>
          <w:bCs/>
        </w:rPr>
        <w:t>’</w:t>
      </w:r>
      <w:r w:rsidRPr="003B5EA4">
        <w:rPr>
          <w:bCs/>
        </w:rPr>
        <w:t>achat dont ils s</w:t>
      </w:r>
      <w:r w:rsidR="00762E0A">
        <w:rPr>
          <w:bCs/>
        </w:rPr>
        <w:t>’</w:t>
      </w:r>
      <w:r w:rsidRPr="003B5EA4">
        <w:rPr>
          <w:bCs/>
        </w:rPr>
        <w:t>assuraient en négociant conjointement, indiquant également que ces négociations portaient sur la baisse des prix en plus d</w:t>
      </w:r>
      <w:r w:rsidR="00762E0A">
        <w:rPr>
          <w:bCs/>
        </w:rPr>
        <w:t>’</w:t>
      </w:r>
      <w:r w:rsidRPr="003B5EA4">
        <w:rPr>
          <w:bCs/>
        </w:rPr>
        <w:t>autres avantages</w:t>
      </w:r>
      <w:r w:rsidRPr="003B5EA4">
        <w:t>. L</w:t>
      </w:r>
      <w:r w:rsidR="00762E0A">
        <w:t>’</w:t>
      </w:r>
      <w:r w:rsidRPr="003B5EA4">
        <w:t>Inspectrice souscrit à la recommandation du BSCI selon laquelle les accords passés avec les compagnies aériennes devraient être revus afin de mieux tirer parti des possibilités offertes par le marché, telles que les ristournes, remises et autres avantages proposés par les compagnies aériennes</w:t>
      </w:r>
      <w:r w:rsidRPr="003B5EA4">
        <w:rPr>
          <w:rStyle w:val="Appelnotedebasdep"/>
        </w:rPr>
        <w:footnoteReference w:id="136"/>
      </w:r>
      <w:r w:rsidRPr="003B5EA4">
        <w:t>.</w:t>
      </w:r>
    </w:p>
    <w:p w:rsidR="001A1334" w:rsidRPr="003B5EA4" w:rsidRDefault="001A1334" w:rsidP="008A5A78">
      <w:pPr>
        <w:pStyle w:val="SingleTxtG"/>
      </w:pPr>
      <w:r w:rsidRPr="003B5EA4">
        <w:t>143.</w:t>
      </w:r>
      <w:r w:rsidRPr="003B5EA4">
        <w:tab/>
        <w:t xml:space="preserve">Les institutions qui ont leur siège à Rome (la FAO, le FIDA et le PAM) sont passées à des contrats mondiaux avec la compagnie </w:t>
      </w:r>
      <w:r w:rsidRPr="003B5EA4">
        <w:rPr>
          <w:bCs/>
        </w:rPr>
        <w:t>Emirates et l</w:t>
      </w:r>
      <w:r w:rsidR="00762E0A">
        <w:rPr>
          <w:bCs/>
        </w:rPr>
        <w:t>’</w:t>
      </w:r>
      <w:r w:rsidRPr="003B5EA4">
        <w:rPr>
          <w:bCs/>
        </w:rPr>
        <w:t>alliance Sky Team pour s</w:t>
      </w:r>
      <w:r w:rsidR="00762E0A">
        <w:rPr>
          <w:bCs/>
        </w:rPr>
        <w:t>’</w:t>
      </w:r>
      <w:r w:rsidRPr="003B5EA4">
        <w:rPr>
          <w:bCs/>
        </w:rPr>
        <w:t xml:space="preserve">assurer un maximum de </w:t>
      </w:r>
      <w:r w:rsidRPr="003B5EA4">
        <w:t>flexibilité dans l</w:t>
      </w:r>
      <w:r w:rsidR="00762E0A">
        <w:t>’</w:t>
      </w:r>
      <w:r w:rsidRPr="003B5EA4">
        <w:t>achat des billets, ce qui leur permet de tirer parti des tarifs intersites par le regroupement des volumes mondiaux à la fois pour leurs bureaux régionaux et nationaux, d</w:t>
      </w:r>
      <w:r w:rsidR="00762E0A">
        <w:t>’</w:t>
      </w:r>
      <w:r w:rsidRPr="003B5EA4">
        <w:t>améliorer les services et de réduire le coût de leurs opérations à l</w:t>
      </w:r>
      <w:r w:rsidR="00762E0A">
        <w:t>’</w:t>
      </w:r>
      <w:r w:rsidRPr="003B5EA4">
        <w:t>échelle mondiale. Les avantages suivants ont été cités : a) accord unique pour plusieurs compagnies aériennes et une desserte mondiale ; b) accès à des services exclusif</w:t>
      </w:r>
      <w:r w:rsidR="00FA414F">
        <w:t>s</w:t>
      </w:r>
      <w:r w:rsidRPr="003B5EA4">
        <w:t xml:space="preserve"> comme les </w:t>
      </w:r>
      <w:r w:rsidRPr="003B5EA4">
        <w:lastRenderedPageBreak/>
        <w:t>programmes de reconnaissance de l</w:t>
      </w:r>
      <w:r w:rsidR="00762E0A">
        <w:t>’</w:t>
      </w:r>
      <w:r w:rsidRPr="003B5EA4">
        <w:t>entreprise</w:t>
      </w:r>
      <w:r w:rsidR="007959C4">
        <w:t> ;</w:t>
      </w:r>
      <w:r w:rsidRPr="003B5EA4">
        <w:t xml:space="preserve"> c) situation mensuelle établie sur la base d</w:t>
      </w:r>
      <w:r w:rsidR="00762E0A">
        <w:t>’</w:t>
      </w:r>
      <w:r w:rsidRPr="003B5EA4">
        <w:t>une seule série de données</w:t>
      </w:r>
      <w:r w:rsidR="007959C4">
        <w:t> ;</w:t>
      </w:r>
      <w:r w:rsidRPr="003B5EA4">
        <w:t xml:space="preserve"> d) économies et flexibilité accrues à l</w:t>
      </w:r>
      <w:r w:rsidR="00762E0A">
        <w:t>’</w:t>
      </w:r>
      <w:r w:rsidRPr="003B5EA4">
        <w:t>appui des besoins en voyages à l</w:t>
      </w:r>
      <w:r w:rsidR="00762E0A">
        <w:t>’</w:t>
      </w:r>
      <w:r w:rsidRPr="003B5EA4">
        <w:t>échelle mondiale des institutions de Rome</w:t>
      </w:r>
      <w:r w:rsidRPr="003B5EA4">
        <w:rPr>
          <w:rStyle w:val="Appelnotedebasdep"/>
        </w:rPr>
        <w:footnoteReference w:id="137"/>
      </w:r>
      <w:r w:rsidRPr="003B5EA4">
        <w:t>.</w:t>
      </w:r>
    </w:p>
    <w:p w:rsidR="001A1334" w:rsidRPr="003B5EA4" w:rsidRDefault="001A1334" w:rsidP="008A5A78">
      <w:pPr>
        <w:pStyle w:val="SingleTxtG"/>
      </w:pPr>
      <w:r w:rsidRPr="003B5EA4">
        <w:t>144.</w:t>
      </w:r>
      <w:r w:rsidRPr="003B5EA4">
        <w:tab/>
        <w:t>L</w:t>
      </w:r>
      <w:r w:rsidR="00762E0A">
        <w:t>’</w:t>
      </w:r>
      <w:r w:rsidRPr="003B5EA4">
        <w:t>examen a permis de conclure que le regroupement des volumes de voyages à l</w:t>
      </w:r>
      <w:r w:rsidR="00762E0A">
        <w:t>’</w:t>
      </w:r>
      <w:r w:rsidRPr="003B5EA4">
        <w:t>échelle mondiale était une bonne pratique qu</w:t>
      </w:r>
      <w:r w:rsidR="00762E0A">
        <w:t>’</w:t>
      </w:r>
      <w:r w:rsidRPr="003B5EA4">
        <w:t>avaient adoptée la plupart des organismes du système. L</w:t>
      </w:r>
      <w:r w:rsidR="00762E0A">
        <w:t>’</w:t>
      </w:r>
      <w:r w:rsidRPr="003B5EA4">
        <w:t>AIEA, l</w:t>
      </w:r>
      <w:r w:rsidR="00762E0A">
        <w:t>’</w:t>
      </w:r>
      <w:r w:rsidRPr="003B5EA4">
        <w:t>ONUDC, l</w:t>
      </w:r>
      <w:r w:rsidR="00762E0A">
        <w:t>’</w:t>
      </w:r>
      <w:r w:rsidRPr="003B5EA4">
        <w:t>ONUV et l</w:t>
      </w:r>
      <w:r w:rsidR="00762E0A">
        <w:t>’</w:t>
      </w:r>
      <w:r w:rsidRPr="003B5EA4">
        <w:t>Organisation du Traité d</w:t>
      </w:r>
      <w:r w:rsidR="00762E0A">
        <w:t>’</w:t>
      </w:r>
      <w:r w:rsidRPr="003B5EA4">
        <w:t>interdiction complète des essais nucléaires, par exemple, ont passé un marché conjoint avec une société de gestion de voyages, laquelle utilise le volume combiné des voyages des quatre entités pour mener des négociations en leur nom auprès des compagnies aériennes. À New York, le Siège de l</w:t>
      </w:r>
      <w:r w:rsidR="00762E0A">
        <w:t>’</w:t>
      </w:r>
      <w:r w:rsidRPr="003B5EA4">
        <w:t>ONU, le PNUD et l</w:t>
      </w:r>
      <w:r w:rsidR="00762E0A">
        <w:t>’</w:t>
      </w:r>
      <w:r w:rsidRPr="003B5EA4">
        <w:t>UNICEF collaborent à la négociation d</w:t>
      </w:r>
      <w:r w:rsidR="00762E0A">
        <w:t>’</w:t>
      </w:r>
      <w:r w:rsidRPr="003B5EA4">
        <w:t>accords avec les compagnies aériennes au nom du FENU, du FNUAP et d</w:t>
      </w:r>
      <w:r w:rsidR="00762E0A">
        <w:t>’</w:t>
      </w:r>
      <w:r w:rsidRPr="003B5EA4">
        <w:t>ONU-Femmes. Ils ont négocié des accords mondiaux sur les tarifs aériens dont les prix réduits valent également pour les bureaux sur le terrain. Ce portefeuille est maintenu et devrait atteindre près de 45 accords avec des compagnies aériennes.</w:t>
      </w:r>
    </w:p>
    <w:p w:rsidR="00033655" w:rsidRPr="003B5EA4" w:rsidRDefault="001A1334" w:rsidP="008A5A78">
      <w:pPr>
        <w:pStyle w:val="SingleTxtG"/>
      </w:pPr>
      <w:r w:rsidRPr="003B5EA4">
        <w:t>145.</w:t>
      </w:r>
      <w:r w:rsidRPr="003B5EA4">
        <w:tab/>
        <w:t>L</w:t>
      </w:r>
      <w:r w:rsidR="00762E0A">
        <w:t>’</w:t>
      </w:r>
      <w:r w:rsidR="00FA414F">
        <w:t>I</w:t>
      </w:r>
      <w:r w:rsidRPr="003B5EA4">
        <w:t>nspectr</w:t>
      </w:r>
      <w:r w:rsidR="00FA414F">
        <w:t>ice</w:t>
      </w:r>
      <w:r w:rsidRPr="003B5EA4">
        <w:t xml:space="preserve"> salue la bonne pratique que constitue la collaboration entre lieux d</w:t>
      </w:r>
      <w:r w:rsidR="00762E0A">
        <w:t>’</w:t>
      </w:r>
      <w:r w:rsidRPr="003B5EA4">
        <w:t>affectation aux fins de la conclusion d</w:t>
      </w:r>
      <w:r w:rsidR="00762E0A">
        <w:t>’</w:t>
      </w:r>
      <w:r w:rsidRPr="003B5EA4">
        <w:t>accords institutionnels mutuellement avantageux. Le Siège de l</w:t>
      </w:r>
      <w:r w:rsidR="00762E0A">
        <w:t>’</w:t>
      </w:r>
      <w:r w:rsidRPr="003B5EA4">
        <w:t>ONU et l</w:t>
      </w:r>
      <w:r w:rsidR="00762E0A">
        <w:t>’</w:t>
      </w:r>
      <w:r w:rsidRPr="003B5EA4">
        <w:t>ONUG ont ainsi obtenu d</w:t>
      </w:r>
      <w:r w:rsidR="00762E0A">
        <w:t>’</w:t>
      </w:r>
      <w:r w:rsidRPr="003B5EA4">
        <w:t>une alliance aérienne mondiale la possibilité de profiter mutuellement des tarifs réduits que chacun a obtenus localement, mettant ainsi les ristournes et remises de 13 compagnies aériennes à la portée des deux lieux d</w:t>
      </w:r>
      <w:r w:rsidR="00762E0A">
        <w:t>’</w:t>
      </w:r>
      <w:r w:rsidRPr="003B5EA4">
        <w:t>affection du système des Nations Unies qui affichent les plus gros volumes de voyages. Le Secrétariat de l</w:t>
      </w:r>
      <w:r w:rsidR="00762E0A">
        <w:t>’</w:t>
      </w:r>
      <w:r w:rsidRPr="003B5EA4">
        <w:t>ONU a indiqué que la généralisation de cette démarche dépendra en partie du déploiement complet du module voyages d</w:t>
      </w:r>
      <w:r w:rsidR="00762E0A">
        <w:t>’</w:t>
      </w:r>
      <w:r w:rsidRPr="003B5EA4">
        <w:t>Umoja. De fait, celui-ci fournira les données d</w:t>
      </w:r>
      <w:r w:rsidR="00762E0A">
        <w:t>’</w:t>
      </w:r>
      <w:r w:rsidRPr="003B5EA4">
        <w:t>utilisation des compagnies aériennes à l</w:t>
      </w:r>
      <w:r w:rsidR="00762E0A">
        <w:t>’</w:t>
      </w:r>
      <w:r w:rsidRPr="003B5EA4">
        <w:t>échelle mondiale dont il faudra disposer pour organiser les voyages et négocier avec les compagnies aériennes à cette même échelle, plutôt que localement ou régionalement. S</w:t>
      </w:r>
      <w:r w:rsidR="00762E0A">
        <w:t>’</w:t>
      </w:r>
      <w:r w:rsidRPr="003B5EA4">
        <w:t>il est vrai qu</w:t>
      </w:r>
      <w:r w:rsidR="00762E0A">
        <w:t>’</w:t>
      </w:r>
      <w:r w:rsidRPr="003B5EA4">
        <w:t>il s</w:t>
      </w:r>
      <w:r w:rsidR="00762E0A">
        <w:t>’</w:t>
      </w:r>
      <w:r w:rsidRPr="003B5EA4">
        <w:t>agit d</w:t>
      </w:r>
      <w:r w:rsidR="00762E0A">
        <w:t>’</w:t>
      </w:r>
      <w:r w:rsidRPr="003B5EA4">
        <w:t>un</w:t>
      </w:r>
      <w:r w:rsidR="00635FED">
        <w:t>e</w:t>
      </w:r>
      <w:r w:rsidRPr="003B5EA4">
        <w:t xml:space="preserve"> perspective d</w:t>
      </w:r>
      <w:r w:rsidR="00762E0A">
        <w:t>’</w:t>
      </w:r>
      <w:r w:rsidRPr="003B5EA4">
        <w:t>avenir, il convient toutefois de noter qu</w:t>
      </w:r>
      <w:r w:rsidR="00762E0A">
        <w:t>’</w:t>
      </w:r>
      <w:r w:rsidRPr="003B5EA4">
        <w:t>actuellement, c</w:t>
      </w:r>
      <w:r w:rsidR="00762E0A">
        <w:t>’</w:t>
      </w:r>
      <w:r w:rsidRPr="003B5EA4">
        <w:t>est surtout aux niveaux local et régional que s</w:t>
      </w:r>
      <w:r w:rsidR="00762E0A">
        <w:t>’</w:t>
      </w:r>
      <w:r w:rsidRPr="003B5EA4">
        <w:t>obtiennent les remises les plus nombreuses et les billets les plus économiques</w:t>
      </w:r>
      <w:r w:rsidRPr="003B5EA4">
        <w:rPr>
          <w:rStyle w:val="Appelnotedebasdep"/>
        </w:rPr>
        <w:footnoteReference w:id="138"/>
      </w:r>
      <w:r w:rsidRPr="003B5EA4">
        <w:t>.</w:t>
      </w:r>
    </w:p>
    <w:p w:rsidR="001A1334" w:rsidRPr="003B5EA4" w:rsidRDefault="00033655" w:rsidP="00033655">
      <w:pPr>
        <w:pStyle w:val="HChG"/>
      </w:pPr>
      <w:r w:rsidRPr="003B5EA4">
        <w:br w:type="page"/>
      </w:r>
      <w:r w:rsidRPr="003B5EA4">
        <w:lastRenderedPageBreak/>
        <w:tab/>
        <w:t>VIII.</w:t>
      </w:r>
      <w:r w:rsidRPr="003B5EA4">
        <w:tab/>
        <w:t>Renforcer la planification, la surveillance et le contrôle budgétaire dans l</w:t>
      </w:r>
      <w:r w:rsidR="00762E0A">
        <w:t>’</w:t>
      </w:r>
      <w:r w:rsidRPr="003B5EA4">
        <w:t>administration des voyages en avion</w:t>
      </w:r>
    </w:p>
    <w:p w:rsidR="001A1334" w:rsidRPr="003B5EA4" w:rsidRDefault="001A1334" w:rsidP="008A5A78">
      <w:pPr>
        <w:pStyle w:val="SingleTxtG"/>
      </w:pPr>
      <w:r w:rsidRPr="003B5EA4">
        <w:t>146.</w:t>
      </w:r>
      <w:r w:rsidRPr="003B5EA4">
        <w:tab/>
      </w:r>
      <w:r w:rsidR="00033655" w:rsidRPr="003B5EA4">
        <w:rPr>
          <w:bCs/>
        </w:rPr>
        <w:t>Dans le présent chapitre, l</w:t>
      </w:r>
      <w:r w:rsidR="00762E0A">
        <w:rPr>
          <w:bCs/>
        </w:rPr>
        <w:t>’</w:t>
      </w:r>
      <w:r w:rsidR="00033655" w:rsidRPr="003B5EA4">
        <w:rPr>
          <w:bCs/>
        </w:rPr>
        <w:t>Inspectrice passe en revue certaines mesures qui peuvent être prises pour assurer la rationalisation des fonds destinés aux voyages au sein des organismes des Nations Unie, notamment leur intégration nécessaire dans les budgets</w:t>
      </w:r>
      <w:r w:rsidR="00635FED">
        <w:rPr>
          <w:bCs/>
        </w:rPr>
        <w:noBreakHyphen/>
      </w:r>
      <w:r w:rsidR="00033655" w:rsidRPr="003B5EA4">
        <w:rPr>
          <w:bCs/>
        </w:rPr>
        <w:t>programmes, l</w:t>
      </w:r>
      <w:r w:rsidR="00762E0A">
        <w:rPr>
          <w:bCs/>
        </w:rPr>
        <w:t>’</w:t>
      </w:r>
      <w:r w:rsidR="00033655" w:rsidRPr="003B5EA4">
        <w:rPr>
          <w:bCs/>
        </w:rPr>
        <w:t>imposition de plafonds obligatoires aux budgets des voyages et la récupération des remboursements dus pour des billets non utilisés. L</w:t>
      </w:r>
      <w:r w:rsidR="00762E0A">
        <w:rPr>
          <w:bCs/>
        </w:rPr>
        <w:t>’</w:t>
      </w:r>
      <w:r w:rsidR="00033655" w:rsidRPr="003B5EA4">
        <w:rPr>
          <w:bCs/>
        </w:rPr>
        <w:t>examen souligne également l</w:t>
      </w:r>
      <w:r w:rsidR="00762E0A">
        <w:rPr>
          <w:bCs/>
        </w:rPr>
        <w:t>’</w:t>
      </w:r>
      <w:r w:rsidR="00033655" w:rsidRPr="003B5EA4">
        <w:rPr>
          <w:bCs/>
        </w:rPr>
        <w:t>importance de la réalisation d</w:t>
      </w:r>
      <w:r w:rsidR="00762E0A">
        <w:rPr>
          <w:bCs/>
        </w:rPr>
        <w:t>’</w:t>
      </w:r>
      <w:r w:rsidR="00033655" w:rsidRPr="003B5EA4">
        <w:rPr>
          <w:bCs/>
        </w:rPr>
        <w:t>audits internes ou externes des activités d</w:t>
      </w:r>
      <w:r w:rsidR="00762E0A">
        <w:rPr>
          <w:bCs/>
        </w:rPr>
        <w:t>’</w:t>
      </w:r>
      <w:r w:rsidR="00033655" w:rsidRPr="003B5EA4">
        <w:rPr>
          <w:bCs/>
        </w:rPr>
        <w:t>administration des voyages en avion, en tant que condition essentielle pour déterminer si l</w:t>
      </w:r>
      <w:r w:rsidR="00762E0A">
        <w:rPr>
          <w:bCs/>
        </w:rPr>
        <w:t>’</w:t>
      </w:r>
      <w:r w:rsidR="00033655" w:rsidRPr="003B5EA4">
        <w:rPr>
          <w:bCs/>
        </w:rPr>
        <w:t>organisme a la capacité de juger si les résultats sont obtenus en conformité avec ses règlements, règles et politiques</w:t>
      </w:r>
      <w:r w:rsidR="00033655" w:rsidRPr="003B5EA4">
        <w:t>.</w:t>
      </w:r>
    </w:p>
    <w:p w:rsidR="00033655" w:rsidRDefault="00033655" w:rsidP="00033655">
      <w:pPr>
        <w:pStyle w:val="H1G"/>
      </w:pPr>
      <w:r w:rsidRPr="003B5EA4">
        <w:tab/>
        <w:t>A.</w:t>
      </w:r>
      <w:r w:rsidRPr="003B5EA4">
        <w:tab/>
        <w:t>Planification, réservation et achat anticipés</w:t>
      </w:r>
    </w:p>
    <w:p w:rsidR="00635FED" w:rsidRPr="00635FED" w:rsidRDefault="00635FED" w:rsidP="00635FED">
      <w:pPr>
        <w:pStyle w:val="H23G"/>
      </w:pPr>
      <w:r>
        <w:tab/>
      </w:r>
      <w:r>
        <w:tab/>
        <w:t>Importance de la planification des voyages en avion</w:t>
      </w:r>
    </w:p>
    <w:p w:rsidR="00033655" w:rsidRPr="003B5EA4" w:rsidRDefault="00033655" w:rsidP="00033655">
      <w:pPr>
        <w:pStyle w:val="SingleTxtG"/>
        <w:rPr>
          <w:bCs/>
        </w:rPr>
      </w:pPr>
      <w:r w:rsidRPr="003B5EA4">
        <w:t>147.</w:t>
      </w:r>
      <w:r w:rsidRPr="003B5EA4">
        <w:tab/>
      </w:r>
      <w:r w:rsidRPr="003B5EA4">
        <w:rPr>
          <w:bCs/>
        </w:rPr>
        <w:t>La bonne planification des voyages en avion depuis la phase d</w:t>
      </w:r>
      <w:r w:rsidR="00762E0A">
        <w:rPr>
          <w:bCs/>
        </w:rPr>
        <w:t>’</w:t>
      </w:r>
      <w:r w:rsidRPr="003B5EA4">
        <w:rPr>
          <w:bCs/>
        </w:rPr>
        <w:t>établissement du budget jusqu</w:t>
      </w:r>
      <w:r w:rsidR="00762E0A">
        <w:rPr>
          <w:bCs/>
        </w:rPr>
        <w:t>’</w:t>
      </w:r>
      <w:r w:rsidRPr="003B5EA4">
        <w:rPr>
          <w:bCs/>
        </w:rPr>
        <w:t>à la phase d</w:t>
      </w:r>
      <w:r w:rsidR="00762E0A">
        <w:rPr>
          <w:bCs/>
        </w:rPr>
        <w:t>’</w:t>
      </w:r>
      <w:r w:rsidRPr="003B5EA4">
        <w:rPr>
          <w:bCs/>
        </w:rPr>
        <w:t>exécution ouvre des possibilités de gains d</w:t>
      </w:r>
      <w:r w:rsidR="00762E0A">
        <w:rPr>
          <w:bCs/>
        </w:rPr>
        <w:t>’</w:t>
      </w:r>
      <w:r w:rsidRPr="003B5EA4">
        <w:rPr>
          <w:bCs/>
        </w:rPr>
        <w:t>efficience et d</w:t>
      </w:r>
      <w:r w:rsidR="00762E0A">
        <w:rPr>
          <w:bCs/>
        </w:rPr>
        <w:t>’</w:t>
      </w:r>
      <w:r w:rsidRPr="003B5EA4">
        <w:rPr>
          <w:bCs/>
        </w:rPr>
        <w:t>économies. Dans le cas des voyages officiels, elle permet de regrouper les missions (en incluant plusieurs réunions ou destinations dans le même voyage) et, partant, d</w:t>
      </w:r>
      <w:r w:rsidR="00762E0A">
        <w:rPr>
          <w:bCs/>
        </w:rPr>
        <w:t>’</w:t>
      </w:r>
      <w:r w:rsidRPr="003B5EA4">
        <w:rPr>
          <w:bCs/>
        </w:rPr>
        <w:t>envisager une réduction des frais de voyage. Elle permet aussi de dresser un tableau des programmes de voyage à l</w:t>
      </w:r>
      <w:r w:rsidR="00762E0A">
        <w:rPr>
          <w:bCs/>
        </w:rPr>
        <w:t>’</w:t>
      </w:r>
      <w:r w:rsidRPr="003B5EA4">
        <w:rPr>
          <w:bCs/>
        </w:rPr>
        <w:t>échelle de l</w:t>
      </w:r>
      <w:r w:rsidR="00762E0A">
        <w:rPr>
          <w:bCs/>
        </w:rPr>
        <w:t>’</w:t>
      </w:r>
      <w:r w:rsidRPr="003B5EA4">
        <w:rPr>
          <w:bCs/>
        </w:rPr>
        <w:t>organisme et de déterminer parmi toutes les réunions qui nécessitent des déplacements lesquelles sont prioritaires et lesquelles doivent être limitées tant que faire se peut.</w:t>
      </w:r>
    </w:p>
    <w:p w:rsidR="008A5A78" w:rsidRPr="003B5EA4" w:rsidRDefault="00033655" w:rsidP="00033655">
      <w:pPr>
        <w:pStyle w:val="SingleTxtG"/>
        <w:rPr>
          <w:bCs/>
        </w:rPr>
      </w:pPr>
      <w:r w:rsidRPr="003B5EA4">
        <w:rPr>
          <w:bCs/>
        </w:rPr>
        <w:t>148.</w:t>
      </w:r>
      <w:r w:rsidRPr="003B5EA4">
        <w:rPr>
          <w:bCs/>
        </w:rPr>
        <w:tab/>
        <w:t>Certes, dans certaines circonstances, la planification anticipée n</w:t>
      </w:r>
      <w:r w:rsidR="00762E0A">
        <w:rPr>
          <w:bCs/>
        </w:rPr>
        <w:t>’</w:t>
      </w:r>
      <w:r w:rsidRPr="003B5EA4">
        <w:rPr>
          <w:bCs/>
        </w:rPr>
        <w:t>est pas possible, mais lorsqu</w:t>
      </w:r>
      <w:r w:rsidR="00762E0A">
        <w:rPr>
          <w:bCs/>
        </w:rPr>
        <w:t>’</w:t>
      </w:r>
      <w:r w:rsidRPr="003B5EA4">
        <w:rPr>
          <w:bCs/>
        </w:rPr>
        <w:t>il s</w:t>
      </w:r>
      <w:r w:rsidR="00762E0A">
        <w:rPr>
          <w:bCs/>
        </w:rPr>
        <w:t>’</w:t>
      </w:r>
      <w:r w:rsidRPr="003B5EA4">
        <w:rPr>
          <w:bCs/>
        </w:rPr>
        <w:t>agit de se rendre à des manifestations préprogrammées, dont les dates et les participants sont connus, l</w:t>
      </w:r>
      <w:r w:rsidR="00762E0A">
        <w:rPr>
          <w:bCs/>
        </w:rPr>
        <w:t>’</w:t>
      </w:r>
      <w:r w:rsidRPr="003B5EA4">
        <w:rPr>
          <w:bCs/>
        </w:rPr>
        <w:t>organisation des voyages doit être achevée à l</w:t>
      </w:r>
      <w:r w:rsidR="00762E0A">
        <w:rPr>
          <w:bCs/>
        </w:rPr>
        <w:t>’</w:t>
      </w:r>
      <w:r w:rsidRPr="003B5EA4">
        <w:rPr>
          <w:bCs/>
        </w:rPr>
        <w:t>avance dans l</w:t>
      </w:r>
      <w:r w:rsidR="00762E0A">
        <w:rPr>
          <w:bCs/>
        </w:rPr>
        <w:t>’</w:t>
      </w:r>
      <w:r w:rsidRPr="003B5EA4">
        <w:rPr>
          <w:bCs/>
        </w:rPr>
        <w:t>intérêt de l</w:t>
      </w:r>
      <w:r w:rsidR="00762E0A">
        <w:rPr>
          <w:bCs/>
        </w:rPr>
        <w:t>’</w:t>
      </w:r>
      <w:r w:rsidRPr="003B5EA4">
        <w:rPr>
          <w:bCs/>
        </w:rPr>
        <w:t>efficience et de l</w:t>
      </w:r>
      <w:r w:rsidR="00762E0A">
        <w:rPr>
          <w:bCs/>
        </w:rPr>
        <w:t>’</w:t>
      </w:r>
      <w:r w:rsidRPr="003B5EA4">
        <w:rPr>
          <w:bCs/>
        </w:rPr>
        <w:t>efficacité de l</w:t>
      </w:r>
      <w:r w:rsidR="00762E0A">
        <w:rPr>
          <w:bCs/>
        </w:rPr>
        <w:t>’</w:t>
      </w:r>
      <w:r w:rsidRPr="003B5EA4">
        <w:rPr>
          <w:bCs/>
        </w:rPr>
        <w:t>administration des voyages. Le calendrier des conférences et des réunions internationales adopté annuellement par l</w:t>
      </w:r>
      <w:r w:rsidR="00762E0A">
        <w:rPr>
          <w:bCs/>
        </w:rPr>
        <w:t>’</w:t>
      </w:r>
      <w:r w:rsidRPr="003B5EA4">
        <w:rPr>
          <w:bCs/>
        </w:rPr>
        <w:t>Assemblée générale est un bon outil à cet égard, en ce qu</w:t>
      </w:r>
      <w:r w:rsidR="00762E0A">
        <w:rPr>
          <w:bCs/>
        </w:rPr>
        <w:t>’</w:t>
      </w:r>
      <w:r w:rsidRPr="003B5EA4">
        <w:rPr>
          <w:bCs/>
        </w:rPr>
        <w:t>il fournit le lieu et le sujet de chaque réunion</w:t>
      </w:r>
      <w:r w:rsidR="007959C4">
        <w:rPr>
          <w:bCs/>
        </w:rPr>
        <w:t> ;</w:t>
      </w:r>
      <w:r w:rsidRPr="003B5EA4">
        <w:rPr>
          <w:bCs/>
        </w:rPr>
        <w:t xml:space="preserve"> il peut aider tous les organismes des Nations Unies à établir leurs plans de voyages bien à l</w:t>
      </w:r>
      <w:r w:rsidR="00762E0A">
        <w:rPr>
          <w:bCs/>
        </w:rPr>
        <w:t>’</w:t>
      </w:r>
      <w:r w:rsidRPr="003B5EA4">
        <w:rPr>
          <w:bCs/>
        </w:rPr>
        <w:t>avance.</w:t>
      </w:r>
    </w:p>
    <w:p w:rsidR="00033655" w:rsidRPr="003B5EA4" w:rsidRDefault="00033655" w:rsidP="00033655">
      <w:pPr>
        <w:pStyle w:val="SingleTxtG"/>
        <w:rPr>
          <w:bCs/>
        </w:rPr>
      </w:pPr>
      <w:r w:rsidRPr="003B5EA4">
        <w:rPr>
          <w:bCs/>
        </w:rPr>
        <w:t>149.</w:t>
      </w:r>
      <w:r w:rsidRPr="003B5EA4">
        <w:rPr>
          <w:bCs/>
        </w:rPr>
        <w:tab/>
        <w:t>Conscients des économies qui peuvent découler de la planification anticipée, 21 organismes des Nations Unies l</w:t>
      </w:r>
      <w:r w:rsidR="00762E0A">
        <w:rPr>
          <w:bCs/>
        </w:rPr>
        <w:t>’</w:t>
      </w:r>
      <w:r w:rsidRPr="003B5EA4">
        <w:rPr>
          <w:bCs/>
        </w:rPr>
        <w:t>ont incorporée dans leurs politiques en matière de voyages, les délais imposés ou proposés allant de 7 à 30 jours précédant la date du départ. La FAO, l</w:t>
      </w:r>
      <w:r w:rsidR="00762E0A">
        <w:rPr>
          <w:bCs/>
        </w:rPr>
        <w:t>’</w:t>
      </w:r>
      <w:r w:rsidRPr="003B5EA4">
        <w:rPr>
          <w:bCs/>
        </w:rPr>
        <w:t>OMI</w:t>
      </w:r>
      <w:r w:rsidRPr="003B5EA4">
        <w:rPr>
          <w:b/>
          <w:bCs/>
        </w:rPr>
        <w:t xml:space="preserve"> </w:t>
      </w:r>
      <w:r w:rsidRPr="003B5EA4">
        <w:rPr>
          <w:bCs/>
        </w:rPr>
        <w:t>et le PAM ont une politique officieuse qui encourage les futurs voyageurs à réserver à l</w:t>
      </w:r>
      <w:r w:rsidR="00762E0A">
        <w:rPr>
          <w:bCs/>
        </w:rPr>
        <w:t>’</w:t>
      </w:r>
      <w:r w:rsidRPr="003B5EA4">
        <w:rPr>
          <w:bCs/>
        </w:rPr>
        <w:t>avance. L</w:t>
      </w:r>
      <w:r w:rsidR="00762E0A">
        <w:rPr>
          <w:bCs/>
        </w:rPr>
        <w:t>’</w:t>
      </w:r>
      <w:r w:rsidRPr="003B5EA4">
        <w:rPr>
          <w:bCs/>
        </w:rPr>
        <w:t>annexe VIII fournit des informations illustrant les différentes pratiques de ces organismes.</w:t>
      </w:r>
    </w:p>
    <w:p w:rsidR="00033655" w:rsidRPr="003B5EA4" w:rsidRDefault="00033655" w:rsidP="00033655">
      <w:pPr>
        <w:pStyle w:val="SingleTxtG"/>
        <w:rPr>
          <w:bCs/>
        </w:rPr>
      </w:pPr>
      <w:r w:rsidRPr="003B5EA4">
        <w:rPr>
          <w:bCs/>
        </w:rPr>
        <w:t>150.</w:t>
      </w:r>
      <w:r w:rsidRPr="003B5EA4">
        <w:rPr>
          <w:bCs/>
        </w:rPr>
        <w:tab/>
        <w:t>Il ne faut pas seulement faire en sorte que des règles de planification anticipée soient incorporées dans les politiques en matière de voyages, mais aussi s</w:t>
      </w:r>
      <w:r w:rsidR="00762E0A">
        <w:rPr>
          <w:bCs/>
        </w:rPr>
        <w:t>’</w:t>
      </w:r>
      <w:r w:rsidRPr="003B5EA4">
        <w:rPr>
          <w:bCs/>
        </w:rPr>
        <w:t>assurer que ces règles soient appliquées, et ce, au moyen d</w:t>
      </w:r>
      <w:r w:rsidR="00762E0A">
        <w:rPr>
          <w:bCs/>
        </w:rPr>
        <w:t>’</w:t>
      </w:r>
      <w:r w:rsidRPr="003B5EA4">
        <w:rPr>
          <w:bCs/>
        </w:rPr>
        <w:t>indicateurs clefs de performance régulièrement mesurés et de mécanismes de responsabilisation. En ce qui concerne les voyages statutaires, le personnel qui ne fait pas appel à la somme forfaitaire devrait faire connaître ses intentions de voyage bien à l</w:t>
      </w:r>
      <w:r w:rsidR="00762E0A">
        <w:rPr>
          <w:bCs/>
        </w:rPr>
        <w:t>’</w:t>
      </w:r>
      <w:r w:rsidRPr="003B5EA4">
        <w:rPr>
          <w:bCs/>
        </w:rPr>
        <w:t>avance, de sorte que les billets puissent être achetés en temps voulu, sans que ne soient perdues des occasions de réaliser des économies. De telles dispositions établissent un cadre rigoureux de planification anticipée étant donné qu</w:t>
      </w:r>
      <w:r w:rsidR="00762E0A">
        <w:rPr>
          <w:bCs/>
        </w:rPr>
        <w:t>’</w:t>
      </w:r>
      <w:r w:rsidRPr="003B5EA4">
        <w:rPr>
          <w:bCs/>
        </w:rPr>
        <w:t>elles s</w:t>
      </w:r>
      <w:r w:rsidR="00762E0A">
        <w:rPr>
          <w:bCs/>
        </w:rPr>
        <w:t>’</w:t>
      </w:r>
      <w:r w:rsidRPr="003B5EA4">
        <w:rPr>
          <w:bCs/>
        </w:rPr>
        <w:t>appliquent de façon stricte.</w:t>
      </w:r>
    </w:p>
    <w:p w:rsidR="00033655" w:rsidRPr="003B5EA4" w:rsidRDefault="00033655" w:rsidP="00033655">
      <w:pPr>
        <w:pStyle w:val="SingleTxtG"/>
        <w:rPr>
          <w:bCs/>
        </w:rPr>
      </w:pPr>
      <w:r w:rsidRPr="003B5EA4">
        <w:rPr>
          <w:bCs/>
        </w:rPr>
        <w:t>151.</w:t>
      </w:r>
      <w:r w:rsidRPr="003B5EA4">
        <w:rPr>
          <w:bCs/>
        </w:rPr>
        <w:tab/>
        <w:t>En conclusion, les chefs de secrétariat des organismes des Nations Unies devraient tout mettre en œuvre pour réduire la part des voyages annoncés à brève échéance et veiller à ce que les fonctionnaires chargés de l</w:t>
      </w:r>
      <w:r w:rsidR="00762E0A">
        <w:rPr>
          <w:bCs/>
        </w:rPr>
        <w:t>’</w:t>
      </w:r>
      <w:r w:rsidRPr="003B5EA4">
        <w:rPr>
          <w:bCs/>
        </w:rPr>
        <w:t>administration des voyages aient tenu compte du calendrier des conférences et réunions officielles dans leur planification anticipée, par souci d</w:t>
      </w:r>
      <w:r w:rsidR="00762E0A">
        <w:rPr>
          <w:bCs/>
        </w:rPr>
        <w:t>’</w:t>
      </w:r>
      <w:r w:rsidRPr="003B5EA4">
        <w:rPr>
          <w:bCs/>
        </w:rPr>
        <w:t>efficience et d</w:t>
      </w:r>
      <w:r w:rsidR="00762E0A">
        <w:rPr>
          <w:bCs/>
        </w:rPr>
        <w:t>’</w:t>
      </w:r>
      <w:r w:rsidRPr="003B5EA4">
        <w:rPr>
          <w:bCs/>
        </w:rPr>
        <w:t>efficacité.</w:t>
      </w:r>
    </w:p>
    <w:p w:rsidR="00033655" w:rsidRPr="003B5EA4" w:rsidRDefault="00033655" w:rsidP="00033655">
      <w:pPr>
        <w:pStyle w:val="H23G"/>
      </w:pPr>
      <w:r w:rsidRPr="003B5EA4">
        <w:lastRenderedPageBreak/>
        <w:tab/>
      </w:r>
      <w:r w:rsidRPr="003B5EA4">
        <w:tab/>
        <w:t>Réservation et achat anticipés</w:t>
      </w:r>
    </w:p>
    <w:p w:rsidR="00033655" w:rsidRPr="003B5EA4" w:rsidRDefault="00033655" w:rsidP="00033655">
      <w:pPr>
        <w:pStyle w:val="SingleTxtG"/>
      </w:pPr>
      <w:r w:rsidRPr="003B5EA4">
        <w:t>152.</w:t>
      </w:r>
      <w:r w:rsidRPr="003B5EA4">
        <w:tab/>
        <w:t>La réservation s</w:t>
      </w:r>
      <w:r w:rsidR="00762E0A">
        <w:t>’</w:t>
      </w:r>
      <w:r w:rsidRPr="003B5EA4">
        <w:t>entend uniquement du fait de réserver une place sur un vol, et non de l</w:t>
      </w:r>
      <w:r w:rsidR="00762E0A">
        <w:t>’</w:t>
      </w:r>
      <w:r w:rsidRPr="003B5EA4">
        <w:t>achat du billet. Les agences de voyages interrogées ont indiqué que la réservation anticipée des billets, sans achat, ne garantissait pas la réalisation d</w:t>
      </w:r>
      <w:r w:rsidR="00762E0A">
        <w:t>’</w:t>
      </w:r>
      <w:r w:rsidRPr="003B5EA4">
        <w:t>économies puisque le prix du billet était fonction de la date à laquelle il était acheté et que ce prix avait tendance à augmenter à l</w:t>
      </w:r>
      <w:r w:rsidR="00762E0A">
        <w:t>’</w:t>
      </w:r>
      <w:r w:rsidRPr="003B5EA4">
        <w:t>approche de la date du voyage</w:t>
      </w:r>
      <w:r w:rsidRPr="003B5EA4">
        <w:rPr>
          <w:rStyle w:val="Appelnotedebasdep"/>
        </w:rPr>
        <w:footnoteReference w:id="139"/>
      </w:r>
      <w:r w:rsidRPr="003B5EA4">
        <w:t>. Les politiques de planification anticipée des organismes des Nations Unies varient considérablement à cet égard. Elles portent sur des points comme le délai préalable au voyage auquel sont soumis le début du processus d</w:t>
      </w:r>
      <w:r w:rsidR="00762E0A">
        <w:t>’</w:t>
      </w:r>
      <w:r w:rsidRPr="003B5EA4">
        <w:t>organisation ou de demande du voyage</w:t>
      </w:r>
      <w:r w:rsidRPr="003B5EA4">
        <w:rPr>
          <w:rStyle w:val="Appelnotedebasdep"/>
        </w:rPr>
        <w:footnoteReference w:id="140"/>
      </w:r>
      <w:r w:rsidRPr="003B5EA4">
        <w:t>, la réception de l</w:t>
      </w:r>
      <w:r w:rsidR="00762E0A">
        <w:t>’</w:t>
      </w:r>
      <w:r w:rsidRPr="003B5EA4">
        <w:t>autorisation de voyage</w:t>
      </w:r>
      <w:r w:rsidRPr="003B5EA4">
        <w:rPr>
          <w:rStyle w:val="Appelnotedebasdep"/>
        </w:rPr>
        <w:footnoteReference w:id="141"/>
      </w:r>
      <w:r w:rsidRPr="003B5EA4">
        <w:t>, ou encore la réservation et l</w:t>
      </w:r>
      <w:r w:rsidR="00762E0A">
        <w:t>’</w:t>
      </w:r>
      <w:r w:rsidRPr="003B5EA4">
        <w:t>achat des billets</w:t>
      </w:r>
      <w:r w:rsidRPr="003B5EA4">
        <w:rPr>
          <w:rStyle w:val="Appelnotedebasdep"/>
        </w:rPr>
        <w:footnoteReference w:id="142"/>
      </w:r>
      <w:r w:rsidRPr="003B5EA4">
        <w:t>. Quinze organismes associent des délais à l</w:t>
      </w:r>
      <w:r w:rsidR="00762E0A">
        <w:t>’</w:t>
      </w:r>
      <w:r w:rsidRPr="003B5EA4">
        <w:t>achat des billets</w:t>
      </w:r>
      <w:r w:rsidRPr="003B5EA4">
        <w:rPr>
          <w:rStyle w:val="Appelnotedebasdep"/>
        </w:rPr>
        <w:footnoteReference w:id="143"/>
      </w:r>
      <w:r w:rsidRPr="003B5EA4">
        <w:t xml:space="preserve">, mais pour </w:t>
      </w:r>
      <w:r w:rsidR="00630C6E">
        <w:t>4</w:t>
      </w:r>
      <w:r w:rsidRPr="003B5EA4">
        <w:t xml:space="preserve"> d</w:t>
      </w:r>
      <w:r w:rsidR="00762E0A">
        <w:t>’</w:t>
      </w:r>
      <w:r w:rsidRPr="003B5EA4">
        <w:t>entre eux, il s</w:t>
      </w:r>
      <w:r w:rsidR="00762E0A">
        <w:t>’</w:t>
      </w:r>
      <w:r w:rsidRPr="003B5EA4">
        <w:t>agit simplement d</w:t>
      </w:r>
      <w:r w:rsidR="00762E0A">
        <w:t>’</w:t>
      </w:r>
      <w:r w:rsidRPr="003B5EA4">
        <w:t>encourager leur personnel à les respecter (FNUAP, PNUD et UNRWA) ou de lui recommander de le faire (OMI).</w:t>
      </w:r>
    </w:p>
    <w:p w:rsidR="00A41844" w:rsidRPr="003B5EA4" w:rsidRDefault="00A41844" w:rsidP="00033655">
      <w:pPr>
        <w:pStyle w:val="SingleTxtG"/>
        <w:rPr>
          <w:b/>
        </w:rPr>
      </w:pPr>
      <w:r w:rsidRPr="003B5EA4">
        <w:t>153.</w:t>
      </w:r>
      <w:r w:rsidRPr="003B5EA4">
        <w:tab/>
      </w:r>
      <w:r w:rsidRPr="003B5EA4">
        <w:rPr>
          <w:b/>
        </w:rPr>
        <w:t>L</w:t>
      </w:r>
      <w:r w:rsidR="00762E0A">
        <w:rPr>
          <w:b/>
        </w:rPr>
        <w:t>’</w:t>
      </w:r>
      <w:r w:rsidRPr="003B5EA4">
        <w:rPr>
          <w:b/>
        </w:rPr>
        <w:t>Inspectrice est d</w:t>
      </w:r>
      <w:r w:rsidR="00762E0A">
        <w:rPr>
          <w:b/>
        </w:rPr>
        <w:t>’</w:t>
      </w:r>
      <w:r w:rsidRPr="003B5EA4">
        <w:rPr>
          <w:b/>
        </w:rPr>
        <w:t>avis que l</w:t>
      </w:r>
      <w:r w:rsidR="00762E0A">
        <w:rPr>
          <w:b/>
        </w:rPr>
        <w:t>’</w:t>
      </w:r>
      <w:r w:rsidRPr="003B5EA4">
        <w:rPr>
          <w:b/>
        </w:rPr>
        <w:t>imposition de délais formels à la réservation et à l</w:t>
      </w:r>
      <w:r w:rsidR="00762E0A">
        <w:rPr>
          <w:b/>
        </w:rPr>
        <w:t>’</w:t>
      </w:r>
      <w:r w:rsidRPr="003B5EA4">
        <w:rPr>
          <w:b/>
        </w:rPr>
        <w:t>achat des billets d</w:t>
      </w:r>
      <w:r w:rsidR="00762E0A">
        <w:rPr>
          <w:b/>
        </w:rPr>
        <w:t>’</w:t>
      </w:r>
      <w:r w:rsidRPr="003B5EA4">
        <w:rPr>
          <w:b/>
        </w:rPr>
        <w:t>avion doit être considérée comme une bonne pratique à reproduire par tous les organismes dans la mise à jour de leurs politiques en matière de voyages en avion.</w:t>
      </w:r>
    </w:p>
    <w:p w:rsidR="00A41844" w:rsidRPr="003B5EA4" w:rsidRDefault="00A41844" w:rsidP="00A41844">
      <w:pPr>
        <w:pStyle w:val="SingleTxtG"/>
      </w:pPr>
      <w:r w:rsidRPr="003B5EA4">
        <w:t>154.</w:t>
      </w:r>
      <w:r w:rsidRPr="003B5EA4">
        <w:tab/>
      </w:r>
      <w:r w:rsidRPr="003B5EA4">
        <w:rPr>
          <w:bCs/>
        </w:rPr>
        <w:t>Certaines bonnes pratiques en la matière ont été fournies par les entreprises du secteur privé interrogées, lesquelles demandent à ce que les voyages soient autorisés avant d</w:t>
      </w:r>
      <w:r w:rsidR="00762E0A">
        <w:rPr>
          <w:bCs/>
        </w:rPr>
        <w:t>’</w:t>
      </w:r>
      <w:r w:rsidRPr="003B5EA4">
        <w:rPr>
          <w:bCs/>
        </w:rPr>
        <w:t>être réservés, avec une intervention limitée du personnel d</w:t>
      </w:r>
      <w:r w:rsidR="00762E0A">
        <w:rPr>
          <w:bCs/>
        </w:rPr>
        <w:t>’</w:t>
      </w:r>
      <w:r w:rsidRPr="003B5EA4">
        <w:rPr>
          <w:bCs/>
        </w:rPr>
        <w:t>encadrement. Les billets sont émis le jour de la demande ou dans un délai maximum de 24 heures après la demande dès lors que la société de gestion de voyages ne va pas être en mesure de conserver la place et le prix au-delà de cette échéance</w:t>
      </w:r>
      <w:r w:rsidRPr="003B5EA4">
        <w:t>. Le CCI a constaté que le secteur privé ne prenait que rarement plus de deux jours pour autoriser un voyage et qu</w:t>
      </w:r>
      <w:r w:rsidR="00762E0A">
        <w:t>’</w:t>
      </w:r>
      <w:r w:rsidRPr="003B5EA4">
        <w:t>il s</w:t>
      </w:r>
      <w:r w:rsidR="00762E0A">
        <w:t>’</w:t>
      </w:r>
      <w:r w:rsidRPr="003B5EA4">
        <w:t>agissait en réalité d</w:t>
      </w:r>
      <w:r w:rsidR="00762E0A">
        <w:t>’</w:t>
      </w:r>
      <w:r w:rsidRPr="003B5EA4">
        <w:t>un processus normalement automatisé, fondé sur le constat que l</w:t>
      </w:r>
      <w:r w:rsidR="00762E0A">
        <w:t>’</w:t>
      </w:r>
      <w:r w:rsidRPr="003B5EA4">
        <w:t>efficacité en matière de prix tenait à la capacité de se décider rapidement.</w:t>
      </w:r>
    </w:p>
    <w:p w:rsidR="00A41844" w:rsidRPr="003B5EA4" w:rsidRDefault="00A41844" w:rsidP="0054128A">
      <w:pPr>
        <w:pStyle w:val="Titre1"/>
        <w:spacing w:after="120"/>
        <w:ind w:right="1134"/>
        <w:rPr>
          <w:color w:val="000000"/>
          <w:sz w:val="16"/>
          <w:szCs w:val="16"/>
        </w:rPr>
      </w:pPr>
      <w:r w:rsidRPr="003B5EA4">
        <w:t xml:space="preserve">Tableau 6 </w:t>
      </w:r>
      <w:r w:rsidRPr="003B5EA4">
        <w:br/>
      </w:r>
      <w:r w:rsidRPr="003B5EA4">
        <w:rPr>
          <w:b/>
          <w:color w:val="000000"/>
        </w:rPr>
        <w:t>Économies moyennes combinées résultant de l</w:t>
      </w:r>
      <w:r w:rsidR="00762E0A">
        <w:rPr>
          <w:b/>
          <w:color w:val="000000"/>
        </w:rPr>
        <w:t>’</w:t>
      </w:r>
      <w:r w:rsidRPr="003B5EA4">
        <w:rPr>
          <w:b/>
          <w:color w:val="000000"/>
        </w:rPr>
        <w:t xml:space="preserve">achat anticipé de billets </w:t>
      </w:r>
      <w:r w:rsidRPr="003B5EA4">
        <w:rPr>
          <w:b/>
          <w:color w:val="000000"/>
        </w:rPr>
        <w:br/>
        <w:t xml:space="preserve">pour neuf itinéraires </w:t>
      </w:r>
      <w:r w:rsidRPr="003B5EA4">
        <w:rPr>
          <w:b/>
          <w:color w:val="000000"/>
        </w:rPr>
        <w:br/>
      </w:r>
      <w:r w:rsidRPr="003B5EA4">
        <w:rPr>
          <w:color w:val="000000"/>
          <w:sz w:val="16"/>
          <w:szCs w:val="16"/>
        </w:rPr>
        <w:t>(En dollars des États-Unis et en pourcentage)</w:t>
      </w:r>
    </w:p>
    <w:tbl>
      <w:tblPr>
        <w:tblW w:w="7371" w:type="dxa"/>
        <w:tblInd w:w="1134" w:type="dxa"/>
        <w:tblLayout w:type="fixed"/>
        <w:tblCellMar>
          <w:left w:w="0" w:type="dxa"/>
          <w:right w:w="0" w:type="dxa"/>
        </w:tblCellMar>
        <w:tblLook w:val="04A0" w:firstRow="1" w:lastRow="0" w:firstColumn="1" w:lastColumn="0" w:noHBand="0" w:noVBand="1"/>
      </w:tblPr>
      <w:tblGrid>
        <w:gridCol w:w="3402"/>
        <w:gridCol w:w="1287"/>
        <w:gridCol w:w="1274"/>
        <w:gridCol w:w="1408"/>
      </w:tblGrid>
      <w:tr w:rsidR="001C096D" w:rsidRPr="003B5EA4" w:rsidTr="009A54D6">
        <w:trPr>
          <w:tblHeader/>
        </w:trPr>
        <w:tc>
          <w:tcPr>
            <w:tcW w:w="3402" w:type="dxa"/>
            <w:tcBorders>
              <w:top w:val="single" w:sz="4" w:space="0" w:color="auto"/>
              <w:bottom w:val="single" w:sz="12" w:space="0" w:color="auto"/>
            </w:tcBorders>
            <w:shd w:val="clear" w:color="auto" w:fill="auto"/>
            <w:noWrap/>
            <w:vAlign w:val="bottom"/>
            <w:hideMark/>
          </w:tcPr>
          <w:p w:rsidR="00DB4B7C" w:rsidRPr="003B5EA4" w:rsidRDefault="00DB4B7C" w:rsidP="001C096D">
            <w:pPr>
              <w:suppressAutoHyphens w:val="0"/>
              <w:spacing w:before="80" w:after="80" w:line="200" w:lineRule="exact"/>
              <w:rPr>
                <w:i/>
                <w:sz w:val="16"/>
              </w:rPr>
            </w:pPr>
          </w:p>
        </w:tc>
        <w:tc>
          <w:tcPr>
            <w:tcW w:w="1287" w:type="dxa"/>
            <w:tcBorders>
              <w:top w:val="single" w:sz="4" w:space="0" w:color="auto"/>
              <w:bottom w:val="single" w:sz="12" w:space="0" w:color="auto"/>
            </w:tcBorders>
            <w:shd w:val="clear" w:color="auto" w:fill="auto"/>
            <w:noWrap/>
            <w:vAlign w:val="bottom"/>
            <w:hideMark/>
          </w:tcPr>
          <w:p w:rsidR="00DB4B7C" w:rsidRPr="003B5EA4" w:rsidRDefault="00DB4B7C" w:rsidP="001C096D">
            <w:pPr>
              <w:suppressAutoHyphens w:val="0"/>
              <w:spacing w:before="80" w:after="80" w:line="200" w:lineRule="exact"/>
              <w:jc w:val="right"/>
              <w:rPr>
                <w:i/>
                <w:sz w:val="16"/>
              </w:rPr>
            </w:pPr>
            <w:r w:rsidRPr="003B5EA4">
              <w:rPr>
                <w:i/>
                <w:sz w:val="16"/>
              </w:rPr>
              <w:t>Première</w:t>
            </w:r>
            <w:r w:rsidR="00630C6E">
              <w:rPr>
                <w:i/>
                <w:sz w:val="16"/>
              </w:rPr>
              <w:t xml:space="preserve"> classe</w:t>
            </w:r>
          </w:p>
        </w:tc>
        <w:tc>
          <w:tcPr>
            <w:tcW w:w="1274" w:type="dxa"/>
            <w:tcBorders>
              <w:top w:val="single" w:sz="4" w:space="0" w:color="auto"/>
              <w:bottom w:val="single" w:sz="12" w:space="0" w:color="auto"/>
            </w:tcBorders>
            <w:shd w:val="clear" w:color="auto" w:fill="auto"/>
            <w:noWrap/>
            <w:vAlign w:val="bottom"/>
            <w:hideMark/>
          </w:tcPr>
          <w:p w:rsidR="00DB4B7C" w:rsidRPr="003B5EA4" w:rsidRDefault="00630C6E" w:rsidP="001C096D">
            <w:pPr>
              <w:suppressAutoHyphens w:val="0"/>
              <w:spacing w:before="80" w:after="80" w:line="200" w:lineRule="exact"/>
              <w:jc w:val="right"/>
              <w:rPr>
                <w:i/>
                <w:sz w:val="16"/>
              </w:rPr>
            </w:pPr>
            <w:r>
              <w:rPr>
                <w:i/>
                <w:sz w:val="16"/>
              </w:rPr>
              <w:t>Classe a</w:t>
            </w:r>
            <w:r w:rsidR="00DB4B7C" w:rsidRPr="003B5EA4">
              <w:rPr>
                <w:i/>
                <w:sz w:val="16"/>
              </w:rPr>
              <w:t>ffaires</w:t>
            </w:r>
          </w:p>
        </w:tc>
        <w:tc>
          <w:tcPr>
            <w:tcW w:w="1408" w:type="dxa"/>
            <w:tcBorders>
              <w:top w:val="single" w:sz="4" w:space="0" w:color="auto"/>
              <w:bottom w:val="single" w:sz="12" w:space="0" w:color="auto"/>
            </w:tcBorders>
            <w:shd w:val="clear" w:color="auto" w:fill="auto"/>
            <w:noWrap/>
            <w:vAlign w:val="bottom"/>
            <w:hideMark/>
          </w:tcPr>
          <w:p w:rsidR="00DB4B7C" w:rsidRPr="003B5EA4" w:rsidRDefault="00630C6E" w:rsidP="00630C6E">
            <w:pPr>
              <w:suppressAutoHyphens w:val="0"/>
              <w:spacing w:before="80" w:after="80" w:line="200" w:lineRule="exact"/>
              <w:jc w:val="right"/>
              <w:rPr>
                <w:i/>
                <w:sz w:val="16"/>
              </w:rPr>
            </w:pPr>
            <w:r>
              <w:rPr>
                <w:i/>
                <w:sz w:val="16"/>
              </w:rPr>
              <w:t>Classe é</w:t>
            </w:r>
            <w:r w:rsidR="00DB4B7C" w:rsidRPr="003B5EA4">
              <w:rPr>
                <w:i/>
                <w:sz w:val="16"/>
              </w:rPr>
              <w:t>conomique</w:t>
            </w:r>
          </w:p>
        </w:tc>
      </w:tr>
      <w:tr w:rsidR="001C096D" w:rsidRPr="003B5EA4" w:rsidTr="009A54D6">
        <w:tc>
          <w:tcPr>
            <w:tcW w:w="3402" w:type="dxa"/>
            <w:tcBorders>
              <w:top w:val="single" w:sz="12" w:space="0" w:color="auto"/>
            </w:tcBorders>
            <w:shd w:val="clear" w:color="auto" w:fill="auto"/>
            <w:noWrap/>
            <w:hideMark/>
          </w:tcPr>
          <w:p w:rsidR="00DB4B7C" w:rsidRPr="003B5EA4" w:rsidRDefault="00DB4B7C" w:rsidP="001C096D">
            <w:pPr>
              <w:suppressAutoHyphens w:val="0"/>
              <w:spacing w:before="40" w:after="40" w:line="220" w:lineRule="exact"/>
              <w:rPr>
                <w:sz w:val="18"/>
                <w:szCs w:val="18"/>
              </w:rPr>
            </w:pPr>
            <w:r w:rsidRPr="003B5EA4">
              <w:rPr>
                <w:sz w:val="18"/>
                <w:szCs w:val="18"/>
              </w:rPr>
              <w:t xml:space="preserve">Économies réalisées en réservant 31 jours </w:t>
            </w:r>
            <w:r w:rsidR="00630C6E">
              <w:rPr>
                <w:sz w:val="18"/>
                <w:szCs w:val="18"/>
              </w:rPr>
              <w:br/>
            </w:r>
            <w:r w:rsidRPr="003B5EA4">
              <w:rPr>
                <w:sz w:val="18"/>
                <w:szCs w:val="18"/>
              </w:rPr>
              <w:t>à l</w:t>
            </w:r>
            <w:r w:rsidR="00762E0A">
              <w:rPr>
                <w:sz w:val="18"/>
                <w:szCs w:val="18"/>
              </w:rPr>
              <w:t>’</w:t>
            </w:r>
            <w:r w:rsidRPr="003B5EA4">
              <w:rPr>
                <w:sz w:val="18"/>
                <w:szCs w:val="18"/>
              </w:rPr>
              <w:t>avance par rapport à 5 jours à l</w:t>
            </w:r>
            <w:r w:rsidR="00762E0A">
              <w:rPr>
                <w:sz w:val="18"/>
                <w:szCs w:val="18"/>
              </w:rPr>
              <w:t>’</w:t>
            </w:r>
            <w:r w:rsidRPr="003B5EA4">
              <w:rPr>
                <w:sz w:val="18"/>
                <w:szCs w:val="18"/>
              </w:rPr>
              <w:t>avance</w:t>
            </w:r>
          </w:p>
        </w:tc>
        <w:tc>
          <w:tcPr>
            <w:tcW w:w="1287" w:type="dxa"/>
            <w:tcBorders>
              <w:top w:val="single" w:sz="12" w:space="0" w:color="auto"/>
            </w:tcBorders>
            <w:shd w:val="clear" w:color="auto" w:fill="auto"/>
            <w:noWrap/>
            <w:vAlign w:val="bottom"/>
            <w:hideMark/>
          </w:tcPr>
          <w:p w:rsidR="00DB4B7C" w:rsidRPr="003B5EA4" w:rsidRDefault="00DB4B7C" w:rsidP="001C096D">
            <w:pPr>
              <w:suppressAutoHyphens w:val="0"/>
              <w:spacing w:before="40" w:after="40" w:line="220" w:lineRule="exact"/>
              <w:jc w:val="right"/>
              <w:rPr>
                <w:sz w:val="18"/>
                <w:szCs w:val="18"/>
              </w:rPr>
            </w:pPr>
            <w:r w:rsidRPr="003B5EA4">
              <w:rPr>
                <w:sz w:val="18"/>
                <w:szCs w:val="18"/>
              </w:rPr>
              <w:t>1 937 (17 %)</w:t>
            </w:r>
          </w:p>
        </w:tc>
        <w:tc>
          <w:tcPr>
            <w:tcW w:w="1274" w:type="dxa"/>
            <w:tcBorders>
              <w:top w:val="single" w:sz="12" w:space="0" w:color="auto"/>
            </w:tcBorders>
            <w:shd w:val="clear" w:color="auto" w:fill="auto"/>
            <w:noWrap/>
            <w:vAlign w:val="bottom"/>
            <w:hideMark/>
          </w:tcPr>
          <w:p w:rsidR="00DB4B7C" w:rsidRPr="003B5EA4" w:rsidRDefault="00DB4B7C" w:rsidP="001C096D">
            <w:pPr>
              <w:suppressAutoHyphens w:val="0"/>
              <w:spacing w:before="40" w:after="40" w:line="220" w:lineRule="exact"/>
              <w:jc w:val="right"/>
              <w:rPr>
                <w:sz w:val="18"/>
                <w:szCs w:val="18"/>
              </w:rPr>
            </w:pPr>
            <w:r w:rsidRPr="003B5EA4">
              <w:rPr>
                <w:sz w:val="18"/>
                <w:szCs w:val="18"/>
              </w:rPr>
              <w:t>966 (18 %)</w:t>
            </w:r>
          </w:p>
        </w:tc>
        <w:tc>
          <w:tcPr>
            <w:tcW w:w="1408" w:type="dxa"/>
            <w:tcBorders>
              <w:top w:val="single" w:sz="12" w:space="0" w:color="auto"/>
            </w:tcBorders>
            <w:shd w:val="clear" w:color="auto" w:fill="auto"/>
            <w:noWrap/>
            <w:vAlign w:val="bottom"/>
            <w:hideMark/>
          </w:tcPr>
          <w:p w:rsidR="00DB4B7C" w:rsidRPr="003B5EA4" w:rsidRDefault="00DB4B7C" w:rsidP="001C096D">
            <w:pPr>
              <w:suppressAutoHyphens w:val="0"/>
              <w:spacing w:before="40" w:after="40" w:line="220" w:lineRule="exact"/>
              <w:jc w:val="right"/>
              <w:rPr>
                <w:sz w:val="18"/>
                <w:szCs w:val="18"/>
              </w:rPr>
            </w:pPr>
            <w:r w:rsidRPr="003B5EA4">
              <w:rPr>
                <w:sz w:val="18"/>
                <w:szCs w:val="18"/>
              </w:rPr>
              <w:t>769 (42 %)</w:t>
            </w:r>
          </w:p>
        </w:tc>
      </w:tr>
      <w:tr w:rsidR="001C096D" w:rsidRPr="003B5EA4" w:rsidTr="009A54D6">
        <w:tc>
          <w:tcPr>
            <w:tcW w:w="3402" w:type="dxa"/>
            <w:tcBorders>
              <w:bottom w:val="single" w:sz="12" w:space="0" w:color="auto"/>
            </w:tcBorders>
            <w:shd w:val="clear" w:color="auto" w:fill="auto"/>
            <w:noWrap/>
            <w:hideMark/>
          </w:tcPr>
          <w:p w:rsidR="00DB4B7C" w:rsidRPr="003B5EA4" w:rsidRDefault="00DB4B7C" w:rsidP="001C096D">
            <w:pPr>
              <w:suppressAutoHyphens w:val="0"/>
              <w:spacing w:before="40" w:after="40" w:line="220" w:lineRule="exact"/>
              <w:rPr>
                <w:sz w:val="18"/>
                <w:szCs w:val="18"/>
              </w:rPr>
            </w:pPr>
            <w:r w:rsidRPr="003B5EA4">
              <w:rPr>
                <w:sz w:val="18"/>
                <w:szCs w:val="18"/>
              </w:rPr>
              <w:t xml:space="preserve">Économies réalisées en réservant 60 jours </w:t>
            </w:r>
            <w:r w:rsidR="00630C6E">
              <w:rPr>
                <w:sz w:val="18"/>
                <w:szCs w:val="18"/>
              </w:rPr>
              <w:br/>
            </w:r>
            <w:r w:rsidRPr="003B5EA4">
              <w:rPr>
                <w:sz w:val="18"/>
                <w:szCs w:val="18"/>
              </w:rPr>
              <w:t>à l</w:t>
            </w:r>
            <w:r w:rsidR="00762E0A">
              <w:rPr>
                <w:sz w:val="18"/>
                <w:szCs w:val="18"/>
              </w:rPr>
              <w:t>’</w:t>
            </w:r>
            <w:r w:rsidRPr="003B5EA4">
              <w:rPr>
                <w:sz w:val="18"/>
                <w:szCs w:val="18"/>
              </w:rPr>
              <w:t>avance par rapport à 5 jours à l</w:t>
            </w:r>
            <w:r w:rsidR="00762E0A">
              <w:rPr>
                <w:sz w:val="18"/>
                <w:szCs w:val="18"/>
              </w:rPr>
              <w:t>’</w:t>
            </w:r>
            <w:r w:rsidRPr="003B5EA4">
              <w:rPr>
                <w:sz w:val="18"/>
                <w:szCs w:val="18"/>
              </w:rPr>
              <w:t>avance</w:t>
            </w:r>
          </w:p>
        </w:tc>
        <w:tc>
          <w:tcPr>
            <w:tcW w:w="1287" w:type="dxa"/>
            <w:tcBorders>
              <w:bottom w:val="single" w:sz="12" w:space="0" w:color="auto"/>
            </w:tcBorders>
            <w:shd w:val="clear" w:color="auto" w:fill="auto"/>
            <w:noWrap/>
            <w:vAlign w:val="bottom"/>
            <w:hideMark/>
          </w:tcPr>
          <w:p w:rsidR="00DB4B7C" w:rsidRPr="003B5EA4" w:rsidRDefault="00DB4B7C" w:rsidP="001C096D">
            <w:pPr>
              <w:suppressAutoHyphens w:val="0"/>
              <w:spacing w:before="40" w:after="40" w:line="220" w:lineRule="exact"/>
              <w:jc w:val="right"/>
              <w:rPr>
                <w:sz w:val="18"/>
                <w:szCs w:val="18"/>
              </w:rPr>
            </w:pPr>
            <w:r w:rsidRPr="003B5EA4">
              <w:rPr>
                <w:sz w:val="18"/>
                <w:szCs w:val="18"/>
              </w:rPr>
              <w:t>2 591 (23 %)</w:t>
            </w:r>
          </w:p>
        </w:tc>
        <w:tc>
          <w:tcPr>
            <w:tcW w:w="1274" w:type="dxa"/>
            <w:tcBorders>
              <w:bottom w:val="single" w:sz="12" w:space="0" w:color="auto"/>
            </w:tcBorders>
            <w:shd w:val="clear" w:color="auto" w:fill="auto"/>
            <w:noWrap/>
            <w:vAlign w:val="bottom"/>
            <w:hideMark/>
          </w:tcPr>
          <w:p w:rsidR="00DB4B7C" w:rsidRPr="003B5EA4" w:rsidRDefault="00DB4B7C" w:rsidP="001C096D">
            <w:pPr>
              <w:suppressAutoHyphens w:val="0"/>
              <w:spacing w:before="40" w:after="40" w:line="220" w:lineRule="exact"/>
              <w:jc w:val="right"/>
              <w:rPr>
                <w:sz w:val="18"/>
                <w:szCs w:val="18"/>
              </w:rPr>
            </w:pPr>
            <w:r w:rsidRPr="003B5EA4">
              <w:rPr>
                <w:sz w:val="18"/>
                <w:szCs w:val="18"/>
              </w:rPr>
              <w:t>1 095 (25 %)</w:t>
            </w:r>
          </w:p>
        </w:tc>
        <w:tc>
          <w:tcPr>
            <w:tcW w:w="1408" w:type="dxa"/>
            <w:tcBorders>
              <w:bottom w:val="single" w:sz="12" w:space="0" w:color="auto"/>
            </w:tcBorders>
            <w:shd w:val="clear" w:color="auto" w:fill="auto"/>
            <w:noWrap/>
            <w:vAlign w:val="bottom"/>
            <w:hideMark/>
          </w:tcPr>
          <w:p w:rsidR="00DB4B7C" w:rsidRPr="003B5EA4" w:rsidRDefault="00DB4B7C" w:rsidP="001C096D">
            <w:pPr>
              <w:suppressAutoHyphens w:val="0"/>
              <w:spacing w:before="40" w:after="40" w:line="220" w:lineRule="exact"/>
              <w:jc w:val="right"/>
              <w:rPr>
                <w:sz w:val="18"/>
                <w:szCs w:val="18"/>
              </w:rPr>
            </w:pPr>
            <w:r w:rsidRPr="003B5EA4">
              <w:rPr>
                <w:sz w:val="18"/>
                <w:szCs w:val="18"/>
              </w:rPr>
              <w:t>795 (75 %)</w:t>
            </w:r>
          </w:p>
        </w:tc>
      </w:tr>
    </w:tbl>
    <w:p w:rsidR="00DB4B7C" w:rsidRPr="003B5EA4" w:rsidRDefault="002342CF" w:rsidP="002342CF">
      <w:pPr>
        <w:pStyle w:val="SingleTxtG"/>
        <w:spacing w:before="120" w:after="240"/>
        <w:ind w:firstLine="170"/>
        <w:rPr>
          <w:rFonts w:asciiTheme="majorBidi" w:eastAsiaTheme="minorEastAsia" w:hAnsiTheme="majorBidi" w:cstheme="majorBidi"/>
          <w:sz w:val="18"/>
          <w:szCs w:val="18"/>
        </w:rPr>
      </w:pPr>
      <w:r w:rsidRPr="003B5EA4">
        <w:rPr>
          <w:i/>
          <w:sz w:val="18"/>
          <w:szCs w:val="18"/>
        </w:rPr>
        <w:t>Source</w:t>
      </w:r>
      <w:r w:rsidRPr="003B5EA4">
        <w:rPr>
          <w:sz w:val="18"/>
          <w:szCs w:val="18"/>
        </w:rPr>
        <w:t xml:space="preserve"> : </w:t>
      </w:r>
      <w:r w:rsidRPr="003B5EA4">
        <w:rPr>
          <w:rFonts w:asciiTheme="majorBidi" w:eastAsiaTheme="minorEastAsia" w:hAnsiTheme="majorBidi" w:cstheme="majorBidi"/>
          <w:sz w:val="18"/>
          <w:szCs w:val="18"/>
        </w:rPr>
        <w:t>Étude du CCI.</w:t>
      </w:r>
    </w:p>
    <w:p w:rsidR="002342CF" w:rsidRPr="003B5EA4" w:rsidRDefault="002342CF" w:rsidP="00DB4B7C">
      <w:pPr>
        <w:pStyle w:val="SingleTxtG"/>
      </w:pPr>
      <w:r w:rsidRPr="003B5EA4">
        <w:t>155.</w:t>
      </w:r>
      <w:r w:rsidRPr="003B5EA4">
        <w:tab/>
        <w:t>Les résultats de l</w:t>
      </w:r>
      <w:r w:rsidR="00762E0A">
        <w:t>’</w:t>
      </w:r>
      <w:r w:rsidRPr="003B5EA4">
        <w:t>étude menée par le CCI ont confirmé les avantages susmentionnés résultant de l</w:t>
      </w:r>
      <w:r w:rsidR="00762E0A">
        <w:t>’</w:t>
      </w:r>
      <w:r w:rsidRPr="003B5EA4">
        <w:t>achat anticipé des billets d</w:t>
      </w:r>
      <w:r w:rsidR="00762E0A">
        <w:t>’</w:t>
      </w:r>
      <w:r w:rsidRPr="003B5EA4">
        <w:t>avion. Le tableau 6 présente les économies moyennes combinées réalisées sur des voyages aller retour en trois classes (première, affaires et économique) pour neuf itinéraires fréquemment utilisés (présentés au chap</w:t>
      </w:r>
      <w:r w:rsidR="00BF0325" w:rsidRPr="003B5EA4">
        <w:t>itre</w:t>
      </w:r>
      <w:r w:rsidRPr="003B5EA4">
        <w:t> IV ci-dessus) à raison de billets achetés 5</w:t>
      </w:r>
      <w:r w:rsidR="00A24509">
        <w:t> jours</w:t>
      </w:r>
      <w:r w:rsidRPr="003B5EA4">
        <w:t>, 31</w:t>
      </w:r>
      <w:r w:rsidR="00A24509">
        <w:t> jours</w:t>
      </w:r>
      <w:r w:rsidRPr="003B5EA4">
        <w:t xml:space="preserve"> et 60 jours avant le départ. Les résultats indiquent que les billets de première classe et de classe affaires achetés un mois à l</w:t>
      </w:r>
      <w:r w:rsidR="00762E0A">
        <w:t>’</w:t>
      </w:r>
      <w:r w:rsidRPr="003B5EA4">
        <w:t xml:space="preserve">avance donnaient lieu à une </w:t>
      </w:r>
      <w:r w:rsidR="00153D41" w:rsidRPr="003B5EA4">
        <w:t xml:space="preserve">économie moyenne combinée de 17 % à </w:t>
      </w:r>
      <w:r w:rsidRPr="003B5EA4">
        <w:t>18 % par rapport à ceux achetés 5 jours à l</w:t>
      </w:r>
      <w:r w:rsidR="00762E0A">
        <w:t>’</w:t>
      </w:r>
      <w:r w:rsidRPr="003B5EA4">
        <w:t>avance, et qu</w:t>
      </w:r>
      <w:r w:rsidR="00762E0A">
        <w:t>’</w:t>
      </w:r>
      <w:r w:rsidRPr="003B5EA4">
        <w:t xml:space="preserve">en classe économique, cette économie atteignait les </w:t>
      </w:r>
      <w:r w:rsidRPr="003B5EA4">
        <w:lastRenderedPageBreak/>
        <w:t>42 %. De</w:t>
      </w:r>
      <w:r w:rsidR="00BF0325" w:rsidRPr="003B5EA4">
        <w:t> </w:t>
      </w:r>
      <w:r w:rsidRPr="003B5EA4">
        <w:t>même, les billets achetés deux mois à l</w:t>
      </w:r>
      <w:r w:rsidR="00762E0A">
        <w:t>’</w:t>
      </w:r>
      <w:r w:rsidRPr="003B5EA4">
        <w:t xml:space="preserve">avance </w:t>
      </w:r>
      <w:r w:rsidR="00A24509">
        <w:t xml:space="preserve">(60 jours) </w:t>
      </w:r>
      <w:r w:rsidRPr="003B5EA4">
        <w:t xml:space="preserve">représentaient, par rapport à ceux achetés </w:t>
      </w:r>
      <w:r w:rsidR="00C7345A">
        <w:t>cinq</w:t>
      </w:r>
      <w:r w:rsidRPr="003B5EA4">
        <w:t> jours à l</w:t>
      </w:r>
      <w:r w:rsidR="00762E0A">
        <w:t>’</w:t>
      </w:r>
      <w:r w:rsidRPr="003B5EA4">
        <w:t>avance, une économie moyenne combinée de 23</w:t>
      </w:r>
      <w:r w:rsidR="00153D41" w:rsidRPr="003B5EA4">
        <w:t xml:space="preserve"> % à </w:t>
      </w:r>
      <w:r w:rsidRPr="003B5EA4">
        <w:t>25 % en première classe et en classe affaires, et de non moins de 75 % en classe économique.</w:t>
      </w:r>
    </w:p>
    <w:p w:rsidR="002342CF" w:rsidRPr="003B5EA4" w:rsidRDefault="002342CF" w:rsidP="00C767C8">
      <w:pPr>
        <w:pStyle w:val="SingleTxtG"/>
      </w:pPr>
      <w:r w:rsidRPr="003B5EA4">
        <w:t>156.</w:t>
      </w:r>
      <w:r w:rsidRPr="003B5EA4">
        <w:tab/>
      </w:r>
      <w:r w:rsidR="006C5890" w:rsidRPr="003B5EA4">
        <w:t>Considérés sous l</w:t>
      </w:r>
      <w:r w:rsidR="00762E0A">
        <w:t>’</w:t>
      </w:r>
      <w:r w:rsidR="006C5890" w:rsidRPr="003B5EA4">
        <w:t>angle des itinéraires, les pourcentages d</w:t>
      </w:r>
      <w:r w:rsidR="00762E0A">
        <w:t>’</w:t>
      </w:r>
      <w:r w:rsidR="006C5890" w:rsidRPr="003B5EA4">
        <w:t>économies obtenu</w:t>
      </w:r>
      <w:r w:rsidR="000C47EE">
        <w:t>e</w:t>
      </w:r>
      <w:r w:rsidR="006C5890" w:rsidRPr="003B5EA4">
        <w:t>s en achetant les billets un et deux mois à l</w:t>
      </w:r>
      <w:r w:rsidR="00762E0A">
        <w:t>’</w:t>
      </w:r>
      <w:r w:rsidR="006C5890" w:rsidRPr="003B5EA4">
        <w:t>avance au lieu de cinq jours à l</w:t>
      </w:r>
      <w:r w:rsidR="00762E0A">
        <w:t>’</w:t>
      </w:r>
      <w:r w:rsidR="006C5890" w:rsidRPr="003B5EA4">
        <w:t>avance se présentent comme suit : en classe économique, des économies de 8 % à 62 % sont enregistrées pour tous les itinéraires sauf un</w:t>
      </w:r>
      <w:r w:rsidR="006C5890" w:rsidRPr="003B5EA4">
        <w:rPr>
          <w:rStyle w:val="Appelnotedebasdep"/>
        </w:rPr>
        <w:footnoteReference w:id="144"/>
      </w:r>
      <w:r w:rsidR="007959C4">
        <w:t> ;</w:t>
      </w:r>
      <w:r w:rsidR="006C5890" w:rsidRPr="003B5EA4">
        <w:t xml:space="preserve"> en classe économique « premium », le scénario est très contrasté avec des économies allant de 8 % à 100 % pour quatre des itinéraires au sujet desquels des données sont disponibles</w:t>
      </w:r>
      <w:r w:rsidR="006C5890" w:rsidRPr="003B5EA4">
        <w:rPr>
          <w:rStyle w:val="Appelnotedebasdep"/>
        </w:rPr>
        <w:footnoteReference w:id="145"/>
      </w:r>
      <w:r w:rsidR="00C767C8" w:rsidRPr="003B5EA4">
        <w:t> </w:t>
      </w:r>
      <w:r w:rsidR="006C5890" w:rsidRPr="003B5EA4">
        <w:t>; en classe économique, des économies de 3</w:t>
      </w:r>
      <w:r w:rsidR="007C4D71" w:rsidRPr="003B5EA4">
        <w:t> %</w:t>
      </w:r>
      <w:r w:rsidR="006C5890" w:rsidRPr="003B5EA4">
        <w:t xml:space="preserve"> à 47 % sont enregistrées pour les deux tiers des itinéraires ; en première clas</w:t>
      </w:r>
      <w:r w:rsidR="00C767C8" w:rsidRPr="003B5EA4">
        <w:t>s</w:t>
      </w:r>
      <w:r w:rsidR="006C5890" w:rsidRPr="003B5EA4">
        <w:t>e enfin, des économies de 10 % à 36 % sont enregistrées pour six itinéraires. L</w:t>
      </w:r>
      <w:r w:rsidR="00762E0A">
        <w:t>’</w:t>
      </w:r>
      <w:r w:rsidR="006C5890" w:rsidRPr="003B5EA4">
        <w:t>annexe IX fournit le détail des économies associées au neuf itinéraires importants concernés, selon la classe du billet.</w:t>
      </w:r>
    </w:p>
    <w:p w:rsidR="00C767C8" w:rsidRPr="003B5EA4" w:rsidRDefault="00C767C8" w:rsidP="00C767C8">
      <w:pPr>
        <w:pStyle w:val="SingleTxtG"/>
        <w:rPr>
          <w:bCs/>
        </w:rPr>
      </w:pPr>
      <w:r w:rsidRPr="003B5EA4">
        <w:t>157.</w:t>
      </w:r>
      <w:r w:rsidRPr="003B5EA4">
        <w:tab/>
      </w:r>
      <w:r w:rsidRPr="003B5EA4">
        <w:rPr>
          <w:bCs/>
        </w:rPr>
        <w:t>Étant donné que la grande majorité des voyages effectués par l</w:t>
      </w:r>
      <w:r w:rsidR="00762E0A">
        <w:rPr>
          <w:bCs/>
        </w:rPr>
        <w:t>’</w:t>
      </w:r>
      <w:r w:rsidRPr="003B5EA4">
        <w:rPr>
          <w:bCs/>
        </w:rPr>
        <w:t>ensemble des organismes des Nations Unies se font soit en classe affaires soit en classe économique, les possibilités de réaliser des économies lorsque les billets sont achetés au moins un mois à l</w:t>
      </w:r>
      <w:r w:rsidR="00762E0A">
        <w:rPr>
          <w:bCs/>
        </w:rPr>
        <w:t>’</w:t>
      </w:r>
      <w:r w:rsidRPr="003B5EA4">
        <w:rPr>
          <w:bCs/>
        </w:rPr>
        <w:t>avance sont significatives (et encore plus importantes lorsque l</w:t>
      </w:r>
      <w:r w:rsidR="00762E0A">
        <w:rPr>
          <w:bCs/>
        </w:rPr>
        <w:t>’</w:t>
      </w:r>
      <w:r w:rsidRPr="003B5EA4">
        <w:rPr>
          <w:bCs/>
        </w:rPr>
        <w:t>achat se fait deux mois à l</w:t>
      </w:r>
      <w:r w:rsidR="00762E0A">
        <w:rPr>
          <w:bCs/>
        </w:rPr>
        <w:t>’</w:t>
      </w:r>
      <w:r w:rsidRPr="003B5EA4">
        <w:rPr>
          <w:bCs/>
        </w:rPr>
        <w:t>avance). C</w:t>
      </w:r>
      <w:r w:rsidR="00762E0A">
        <w:rPr>
          <w:bCs/>
        </w:rPr>
        <w:t>’</w:t>
      </w:r>
      <w:r w:rsidRPr="003B5EA4">
        <w:rPr>
          <w:bCs/>
        </w:rPr>
        <w:t>est un facteur qui devrait être pris en compte par les organismes à l</w:t>
      </w:r>
      <w:r w:rsidR="00762E0A">
        <w:rPr>
          <w:bCs/>
        </w:rPr>
        <w:t>’</w:t>
      </w:r>
      <w:r w:rsidRPr="003B5EA4">
        <w:rPr>
          <w:bCs/>
        </w:rPr>
        <w:t>occasion des révisions futures de leurs politiques de planification des voyages.</w:t>
      </w:r>
    </w:p>
    <w:p w:rsidR="00C767C8" w:rsidRPr="003B5EA4" w:rsidRDefault="007C4D71" w:rsidP="00C767C8">
      <w:pPr>
        <w:pStyle w:val="SingleTxtG"/>
        <w:rPr>
          <w:bCs/>
        </w:rPr>
      </w:pPr>
      <w:r w:rsidRPr="003B5EA4">
        <w:t>158.</w:t>
      </w:r>
      <w:r w:rsidRPr="003B5EA4">
        <w:tab/>
      </w:r>
      <w:r w:rsidRPr="003B5EA4">
        <w:rPr>
          <w:bCs/>
        </w:rPr>
        <w:t>La mise en œuvre de la recommandation suivante devrait renforcer le contrôle des activités relatives aux voyages et en favoriser la bonne exécution.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C4D71" w:rsidRPr="003B5EA4" w:rsidTr="006556B5">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7C4D71" w:rsidRPr="003B5EA4" w:rsidRDefault="007C4D71" w:rsidP="006556B5"/>
        </w:tc>
      </w:tr>
      <w:tr w:rsidR="007C4D71" w:rsidRPr="003B5EA4" w:rsidTr="006556B5">
        <w:trPr>
          <w:jc w:val="center"/>
        </w:trPr>
        <w:tc>
          <w:tcPr>
            <w:tcW w:w="7653" w:type="dxa"/>
            <w:tcBorders>
              <w:left w:val="single" w:sz="4" w:space="0" w:color="auto"/>
              <w:bottom w:val="nil"/>
              <w:right w:val="single" w:sz="4" w:space="0" w:color="auto"/>
            </w:tcBorders>
            <w:shd w:val="clear" w:color="auto" w:fill="auto"/>
          </w:tcPr>
          <w:p w:rsidR="007C4D71" w:rsidRPr="003B5EA4" w:rsidRDefault="007C4D71" w:rsidP="006556B5">
            <w:pPr>
              <w:spacing w:after="120"/>
              <w:jc w:val="both"/>
            </w:pPr>
            <w:r w:rsidRPr="003B5EA4">
              <w:rPr>
                <w:b/>
              </w:rPr>
              <w:t>Recommandation 4</w:t>
            </w:r>
          </w:p>
        </w:tc>
      </w:tr>
      <w:tr w:rsidR="007C4D71" w:rsidRPr="003B5EA4" w:rsidTr="006556B5">
        <w:trPr>
          <w:jc w:val="center"/>
        </w:trPr>
        <w:tc>
          <w:tcPr>
            <w:tcW w:w="7653" w:type="dxa"/>
            <w:tcBorders>
              <w:left w:val="single" w:sz="4" w:space="0" w:color="auto"/>
              <w:bottom w:val="nil"/>
              <w:right w:val="single" w:sz="4" w:space="0" w:color="auto"/>
            </w:tcBorders>
            <w:shd w:val="clear" w:color="auto" w:fill="auto"/>
          </w:tcPr>
          <w:p w:rsidR="007C4D71" w:rsidRPr="003B5EA4" w:rsidRDefault="007C4D71" w:rsidP="007C4D71">
            <w:pPr>
              <w:spacing w:after="120"/>
              <w:ind w:firstLine="567"/>
              <w:jc w:val="both"/>
              <w:rPr>
                <w:b/>
              </w:rPr>
            </w:pPr>
            <w:r w:rsidRPr="003B5EA4">
              <w:rPr>
                <w:b/>
              </w:rPr>
              <w:t>Les chefs de secrétariat des organismes des Nations Unies qui ne l</w:t>
            </w:r>
            <w:r w:rsidR="00762E0A">
              <w:rPr>
                <w:b/>
              </w:rPr>
              <w:t>’</w:t>
            </w:r>
            <w:r w:rsidRPr="003B5EA4">
              <w:rPr>
                <w:b/>
              </w:rPr>
              <w:t>ont pas encore fait devraient veiller à ce que d</w:t>
            </w:r>
            <w:r w:rsidR="00762E0A">
              <w:rPr>
                <w:b/>
              </w:rPr>
              <w:t>’</w:t>
            </w:r>
            <w:r w:rsidRPr="003B5EA4">
              <w:rPr>
                <w:b/>
              </w:rPr>
              <w:t>ici à 2019 des mesures efficaces soient prises pour assurer et surveiller la bonne mise en œuvre de politiques d</w:t>
            </w:r>
            <w:r w:rsidR="00762E0A">
              <w:rPr>
                <w:b/>
              </w:rPr>
              <w:t>’</w:t>
            </w:r>
            <w:r w:rsidRPr="003B5EA4">
              <w:rPr>
                <w:b/>
              </w:rPr>
              <w:t xml:space="preserve">achat anticipé, </w:t>
            </w:r>
            <w:r w:rsidR="0055478D">
              <w:rPr>
                <w:b/>
              </w:rPr>
              <w:t>y compris</w:t>
            </w:r>
            <w:r w:rsidRPr="003B5EA4">
              <w:rPr>
                <w:b/>
              </w:rPr>
              <w:t xml:space="preserve"> par l</w:t>
            </w:r>
            <w:r w:rsidR="00762E0A">
              <w:rPr>
                <w:b/>
              </w:rPr>
              <w:t>’</w:t>
            </w:r>
            <w:r w:rsidRPr="003B5EA4">
              <w:rPr>
                <w:b/>
              </w:rPr>
              <w:t>incorporation de règles de planification anticipée et d</w:t>
            </w:r>
            <w:r w:rsidR="00762E0A">
              <w:rPr>
                <w:b/>
              </w:rPr>
              <w:t>’</w:t>
            </w:r>
            <w:r w:rsidRPr="003B5EA4">
              <w:rPr>
                <w:b/>
              </w:rPr>
              <w:t>indicateurs clefs de performance régulièrement mesurés dans les politiques en matière de voyages.</w:t>
            </w:r>
          </w:p>
        </w:tc>
      </w:tr>
      <w:tr w:rsidR="007C4D71" w:rsidRPr="003B5EA4" w:rsidTr="006556B5">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7C4D71" w:rsidRPr="003B5EA4" w:rsidRDefault="007C4D71" w:rsidP="006556B5"/>
        </w:tc>
      </w:tr>
    </w:tbl>
    <w:p w:rsidR="007C4D71" w:rsidRPr="003B5EA4" w:rsidRDefault="007C4D71" w:rsidP="007C4D71">
      <w:pPr>
        <w:pStyle w:val="H23G"/>
      </w:pPr>
      <w:r w:rsidRPr="003B5EA4">
        <w:tab/>
      </w:r>
      <w:r w:rsidRPr="003B5EA4">
        <w:tab/>
        <w:t>Défis de la planification et de l</w:t>
      </w:r>
      <w:r w:rsidR="00762E0A">
        <w:t>’</w:t>
      </w:r>
      <w:r w:rsidRPr="003B5EA4">
        <w:t>achat anticipés</w:t>
      </w:r>
    </w:p>
    <w:p w:rsidR="007C4D71" w:rsidRPr="003B5EA4" w:rsidRDefault="007C4D71" w:rsidP="00183AD8">
      <w:pPr>
        <w:pStyle w:val="SingleTxtG"/>
      </w:pPr>
      <w:r w:rsidRPr="003B5EA4">
        <w:t>159.</w:t>
      </w:r>
      <w:r w:rsidRPr="003B5EA4">
        <w:tab/>
        <w:t>Il est important de souligner que pour les organismes qui mènent des interventions humanitaires et des opérations d</w:t>
      </w:r>
      <w:r w:rsidR="00762E0A">
        <w:t>’</w:t>
      </w:r>
      <w:r w:rsidRPr="003B5EA4">
        <w:t>urgence, comme le HCR, l</w:t>
      </w:r>
      <w:r w:rsidR="00762E0A">
        <w:t>’</w:t>
      </w:r>
      <w:r w:rsidRPr="003B5EA4">
        <w:t>OMS et l</w:t>
      </w:r>
      <w:r w:rsidR="00762E0A">
        <w:t>’</w:t>
      </w:r>
      <w:r w:rsidRPr="003B5EA4">
        <w:t>UNICEF, la planification anticipée représente un défi, et qu</w:t>
      </w:r>
      <w:r w:rsidR="00762E0A">
        <w:t>’</w:t>
      </w:r>
      <w:r w:rsidRPr="003B5EA4">
        <w:t>il n</w:t>
      </w:r>
      <w:r w:rsidR="00762E0A">
        <w:t>’</w:t>
      </w:r>
      <w:r w:rsidRPr="003B5EA4">
        <w:t>est pas toujours possible d</w:t>
      </w:r>
      <w:r w:rsidR="00762E0A">
        <w:t>’</w:t>
      </w:r>
      <w:r w:rsidRPr="003B5EA4">
        <w:t>acheter des billets bien à l</w:t>
      </w:r>
      <w:r w:rsidR="00762E0A">
        <w:t>’</w:t>
      </w:r>
      <w:r w:rsidRPr="003B5EA4">
        <w:t>avance</w:t>
      </w:r>
      <w:r w:rsidRPr="003B5EA4">
        <w:rPr>
          <w:rStyle w:val="Appelnotedebasdep"/>
        </w:rPr>
        <w:footnoteReference w:id="146"/>
      </w:r>
      <w:r w:rsidRPr="003B5EA4">
        <w:t>. Il en est de même dans le cas des voyages effectués pour mener des enquêtes, ou pour assister à des réunions urgentes qui peuvent avoir été convoquées à la dernière minute. En ce qui concerne le Secrétariat de l</w:t>
      </w:r>
      <w:r w:rsidR="00762E0A">
        <w:t>’</w:t>
      </w:r>
      <w:r w:rsidRPr="003B5EA4">
        <w:t>ONU, le Secrétaire général a indiqué dans son rapport A/71/741 que l</w:t>
      </w:r>
      <w:r w:rsidR="00762E0A">
        <w:t>’</w:t>
      </w:r>
      <w:r w:rsidRPr="003B5EA4">
        <w:t>application de la politique d</w:t>
      </w:r>
      <w:r w:rsidR="00762E0A">
        <w:t>’</w:t>
      </w:r>
      <w:r w:rsidRPr="003B5EA4">
        <w:t>achat anticipé avait souffert de la transition vers le module voyages d</w:t>
      </w:r>
      <w:r w:rsidR="00762E0A">
        <w:t>’</w:t>
      </w:r>
      <w:r w:rsidRPr="003B5EA4">
        <w:t>Umoja, reconnaissant qu</w:t>
      </w:r>
      <w:r w:rsidR="00762E0A">
        <w:t>’</w:t>
      </w:r>
      <w:r w:rsidRPr="003B5EA4">
        <w:t>une meilleure planification serait nécessaire à l</w:t>
      </w:r>
      <w:r w:rsidR="00762E0A">
        <w:t>’</w:t>
      </w:r>
      <w:r w:rsidRPr="003B5EA4">
        <w:t>avenir pour réaliser des amélioration</w:t>
      </w:r>
      <w:r w:rsidR="004841EA">
        <w:t>s</w:t>
      </w:r>
      <w:r w:rsidRPr="003B5EA4">
        <w:t xml:space="preserve"> significatives au niveau départemental.</w:t>
      </w:r>
    </w:p>
    <w:p w:rsidR="00183AD8" w:rsidRPr="003B5EA4" w:rsidRDefault="00183AD8" w:rsidP="00183AD8">
      <w:pPr>
        <w:pStyle w:val="SingleTxtG"/>
        <w:rPr>
          <w:b/>
        </w:rPr>
      </w:pPr>
      <w:r w:rsidRPr="003B5EA4">
        <w:t>160.</w:t>
      </w:r>
      <w:r w:rsidRPr="003B5EA4">
        <w:tab/>
        <w:t>Pour ce qui est des réunions et conférences dont la tenue est connue bien à l</w:t>
      </w:r>
      <w:r w:rsidR="00762E0A">
        <w:t>’</w:t>
      </w:r>
      <w:r w:rsidRPr="003B5EA4">
        <w:t>avance, la confirmation tardive des non-fonctionnaires participant aux manifestations de l</w:t>
      </w:r>
      <w:r w:rsidR="00762E0A">
        <w:t>’</w:t>
      </w:r>
      <w:r w:rsidRPr="003B5EA4">
        <w:t>ONU</w:t>
      </w:r>
      <w:r w:rsidR="000C47EE">
        <w:t xml:space="preserve"> − </w:t>
      </w:r>
      <w:r w:rsidRPr="003B5EA4">
        <w:t xml:space="preserve">en particulier des représentants nommés </w:t>
      </w:r>
      <w:r w:rsidRPr="003B5EA4">
        <w:rPr>
          <w:i/>
        </w:rPr>
        <w:t>in extremis</w:t>
      </w:r>
      <w:r w:rsidRPr="003B5EA4">
        <w:t xml:space="preserve"> par leurs gouvernements</w:t>
      </w:r>
      <w:r w:rsidR="000C47EE">
        <w:t xml:space="preserve"> − </w:t>
      </w:r>
      <w:r w:rsidRPr="003B5EA4">
        <w:t xml:space="preserve">représente </w:t>
      </w:r>
      <w:r w:rsidRPr="003B5EA4">
        <w:lastRenderedPageBreak/>
        <w:t>un défi rapporté par plusieurs organismes chargés de financer les déplacements de cette catégorie de voyageurs. C</w:t>
      </w:r>
      <w:r w:rsidR="00762E0A">
        <w:t>’</w:t>
      </w:r>
      <w:r w:rsidRPr="003B5EA4">
        <w:t>est une situation qui entraîne une majoration des frais de voyage et une charge administrative supplémentaire pour l</w:t>
      </w:r>
      <w:r w:rsidR="00762E0A">
        <w:t>’</w:t>
      </w:r>
      <w:r w:rsidRPr="003B5EA4">
        <w:t>organisme responsable. L</w:t>
      </w:r>
      <w:r w:rsidR="00762E0A">
        <w:t>’</w:t>
      </w:r>
      <w:r w:rsidRPr="003B5EA4">
        <w:t>OMPI a rapporté qu</w:t>
      </w:r>
      <w:r w:rsidR="00762E0A">
        <w:t>’</w:t>
      </w:r>
      <w:r w:rsidRPr="003B5EA4">
        <w:t>après la fixation d</w:t>
      </w:r>
      <w:r w:rsidR="00762E0A">
        <w:t>’</w:t>
      </w:r>
      <w:r w:rsidRPr="003B5EA4">
        <w:t xml:space="preserve">une date limite de huit à neuf semaines avant la manifestation concernée pour recevoir des États Membres les renseignements relatifs à leurs participants, les changements postérieurs à cette limite avaient été rares. </w:t>
      </w:r>
      <w:r w:rsidRPr="003B5EA4">
        <w:rPr>
          <w:b/>
        </w:rPr>
        <w:t>L</w:t>
      </w:r>
      <w:r w:rsidR="00762E0A">
        <w:rPr>
          <w:b/>
        </w:rPr>
        <w:t>’</w:t>
      </w:r>
      <w:r w:rsidRPr="003B5EA4">
        <w:rPr>
          <w:b/>
        </w:rPr>
        <w:t>Inspectrice est d</w:t>
      </w:r>
      <w:r w:rsidR="00762E0A">
        <w:rPr>
          <w:b/>
        </w:rPr>
        <w:t>’</w:t>
      </w:r>
      <w:r w:rsidRPr="003B5EA4">
        <w:rPr>
          <w:b/>
        </w:rPr>
        <w:t>avis que les États Membres peuvent apporter une aide précieuse aux organismes dans l</w:t>
      </w:r>
      <w:r w:rsidR="00762E0A">
        <w:rPr>
          <w:b/>
        </w:rPr>
        <w:t>’</w:t>
      </w:r>
      <w:r w:rsidRPr="003B5EA4">
        <w:rPr>
          <w:b/>
        </w:rPr>
        <w:t>exécution de leurs obligations s</w:t>
      </w:r>
      <w:r w:rsidR="00762E0A">
        <w:rPr>
          <w:b/>
        </w:rPr>
        <w:t>’</w:t>
      </w:r>
      <w:r w:rsidRPr="003B5EA4">
        <w:rPr>
          <w:b/>
        </w:rPr>
        <w:t>ils respectent les dates limites fixées pour la communication des renseignements concernant les participants aux réunions et aux conférences.</w:t>
      </w:r>
    </w:p>
    <w:p w:rsidR="00183AD8" w:rsidRPr="003B5EA4" w:rsidRDefault="00183AD8" w:rsidP="00DE18AD">
      <w:pPr>
        <w:pStyle w:val="H1G"/>
        <w:spacing w:before="320" w:after="200"/>
      </w:pPr>
      <w:r w:rsidRPr="003B5EA4">
        <w:tab/>
        <w:t>B.</w:t>
      </w:r>
      <w:r w:rsidRPr="003B5EA4">
        <w:tab/>
        <w:t>Contrôle du budget consacré aux voyages en avion</w:t>
      </w:r>
    </w:p>
    <w:p w:rsidR="00183AD8" w:rsidRPr="003B5EA4" w:rsidRDefault="00183AD8" w:rsidP="00183AD8">
      <w:pPr>
        <w:pStyle w:val="SingleTxtG"/>
        <w:rPr>
          <w:bCs/>
        </w:rPr>
      </w:pPr>
      <w:r w:rsidRPr="003B5EA4">
        <w:t>161.</w:t>
      </w:r>
      <w:r w:rsidRPr="003B5EA4">
        <w:tab/>
      </w:r>
      <w:r w:rsidRPr="003B5EA4">
        <w:rPr>
          <w:bCs/>
        </w:rPr>
        <w:t>La bonne gestion et le contrôle effectif de tous les frais afférents aux voyages dépendent de deux conditions préalables : l</w:t>
      </w:r>
      <w:r w:rsidR="00762E0A">
        <w:rPr>
          <w:bCs/>
        </w:rPr>
        <w:t>’</w:t>
      </w:r>
      <w:r w:rsidRPr="003B5EA4">
        <w:rPr>
          <w:bCs/>
        </w:rPr>
        <w:t>entité doit disposer de données consolidées complètes sur les crédits consacrés aux voyages, compte tenu de toutes les sources de financement, et elle doit intégrer les voyages dans l</w:t>
      </w:r>
      <w:r w:rsidR="00762E0A">
        <w:rPr>
          <w:bCs/>
        </w:rPr>
        <w:t>’</w:t>
      </w:r>
      <w:r w:rsidRPr="003B5EA4">
        <w:rPr>
          <w:bCs/>
        </w:rPr>
        <w:t>élaboration de son budget-programme. L</w:t>
      </w:r>
      <w:r w:rsidR="00762E0A">
        <w:rPr>
          <w:bCs/>
        </w:rPr>
        <w:t>’</w:t>
      </w:r>
      <w:r w:rsidRPr="003B5EA4">
        <w:rPr>
          <w:bCs/>
        </w:rPr>
        <w:t>Assemblée générale a d</w:t>
      </w:r>
      <w:r w:rsidR="00762E0A">
        <w:rPr>
          <w:bCs/>
        </w:rPr>
        <w:t>’</w:t>
      </w:r>
      <w:r w:rsidRPr="003B5EA4">
        <w:rPr>
          <w:bCs/>
        </w:rPr>
        <w:t>ailleurs maintes fois prié le Secrétaire général de faire figurer dans le projet de budget-programme des informations détaillées sur les voyages en avion ainsi que sur les dépenses liées à ces voyages et les crédits demandés pour chaque département et bureau au titre de tous les chapitres du budget</w:t>
      </w:r>
      <w:r w:rsidRPr="003B5EA4">
        <w:rPr>
          <w:rStyle w:val="Appelnotedebasdep"/>
        </w:rPr>
        <w:footnoteReference w:id="147"/>
      </w:r>
      <w:r w:rsidRPr="003B5EA4">
        <w:rPr>
          <w:bCs/>
        </w:rPr>
        <w:t>.</w:t>
      </w:r>
    </w:p>
    <w:p w:rsidR="00183AD8" w:rsidRPr="003B5EA4" w:rsidRDefault="00183AD8" w:rsidP="00183AD8">
      <w:pPr>
        <w:pStyle w:val="SingleTxtG"/>
        <w:rPr>
          <w:bCs/>
        </w:rPr>
      </w:pPr>
      <w:r w:rsidRPr="003B5EA4">
        <w:rPr>
          <w:bCs/>
        </w:rPr>
        <w:t>162.</w:t>
      </w:r>
      <w:r w:rsidRPr="003B5EA4">
        <w:rPr>
          <w:bCs/>
        </w:rPr>
        <w:tab/>
        <w:t>Le plafonnement des crédits consacrés aux voyages est devenu une mesure courante de réduction des dépenses engagées à ce titre dans les organisations internationales et les administrations nationales. À titre d</w:t>
      </w:r>
      <w:r w:rsidR="00762E0A">
        <w:rPr>
          <w:bCs/>
        </w:rPr>
        <w:t>’</w:t>
      </w:r>
      <w:r w:rsidRPr="003B5EA4">
        <w:rPr>
          <w:bCs/>
        </w:rPr>
        <w:t>exemple, un État Membre</w:t>
      </w:r>
      <w:r w:rsidR="00DE18AD" w:rsidRPr="003B5EA4">
        <w:rPr>
          <w:rStyle w:val="Appelnotedebasdep"/>
        </w:rPr>
        <w:footnoteReference w:id="148"/>
      </w:r>
      <w:r w:rsidRPr="003B5EA4">
        <w:rPr>
          <w:bCs/>
        </w:rPr>
        <w:t xml:space="preserve"> interrogé par le CCI a indiqué que son budget consacré aux voyages avait été revu à la baisse aux cours des dernières années, toutes ses administrations s</w:t>
      </w:r>
      <w:r w:rsidR="00762E0A">
        <w:rPr>
          <w:bCs/>
        </w:rPr>
        <w:t>’</w:t>
      </w:r>
      <w:r w:rsidRPr="003B5EA4">
        <w:rPr>
          <w:bCs/>
        </w:rPr>
        <w:t>étant vu imposer une réduction de 30 % des crédits consacrés aux voyages afin d</w:t>
      </w:r>
      <w:r w:rsidR="00762E0A">
        <w:rPr>
          <w:bCs/>
        </w:rPr>
        <w:t>’</w:t>
      </w:r>
      <w:r w:rsidRPr="003B5EA4">
        <w:rPr>
          <w:bCs/>
        </w:rPr>
        <w:t>en encourager une utilisation plus judicieuse et de réaliser des économies. En l</w:t>
      </w:r>
      <w:r w:rsidR="00762E0A">
        <w:rPr>
          <w:bCs/>
        </w:rPr>
        <w:t>’</w:t>
      </w:r>
      <w:r w:rsidRPr="003B5EA4">
        <w:rPr>
          <w:bCs/>
        </w:rPr>
        <w:t>occurrence, une bonne pratique a consisté à utiliser une partie de ces économies pour mettre au point une infrastructure fondée sur les TIC en remplacement des voyages en avion</w:t>
      </w:r>
      <w:r w:rsidRPr="003B5EA4">
        <w:rPr>
          <w:rStyle w:val="Appelnotedebasdep"/>
        </w:rPr>
        <w:footnoteReference w:id="149"/>
      </w:r>
      <w:r w:rsidRPr="003B5EA4">
        <w:rPr>
          <w:bCs/>
        </w:rPr>
        <w:t>.</w:t>
      </w:r>
    </w:p>
    <w:p w:rsidR="00183AD8" w:rsidRPr="003B5EA4" w:rsidRDefault="00183AD8" w:rsidP="00183AD8">
      <w:pPr>
        <w:pStyle w:val="SingleTxtG"/>
      </w:pPr>
      <w:r w:rsidRPr="003B5EA4">
        <w:t>163.</w:t>
      </w:r>
      <w:r w:rsidRPr="003B5EA4">
        <w:tab/>
        <w:t>Bien que simple en apparence, la mesure consistant à réduire le poste des voyages va dans le sens d</w:t>
      </w:r>
      <w:r w:rsidR="00762E0A">
        <w:t>’</w:t>
      </w:r>
      <w:r w:rsidRPr="003B5EA4">
        <w:t>une utilisation efficace et efficiente des ressources allouées aux voyages en avion</w:t>
      </w:r>
      <w:r w:rsidRPr="003B5EA4">
        <w:rPr>
          <w:rStyle w:val="Appelnotedebasdep"/>
        </w:rPr>
        <w:footnoteReference w:id="150"/>
      </w:r>
      <w:r w:rsidRPr="003B5EA4">
        <w:t>. Dans cette perspective, des efforts de planification, de consultation et de collaboration seront nécessaires pour déterminer les domaines relatifs aux voyages dans lesquels les dépenses pourront être réduites sans compromettre les fonctions essentielles des organismes ou le bon accomplissement de leurs mandats. Les organismes devront également s</w:t>
      </w:r>
      <w:r w:rsidR="00762E0A">
        <w:t>’</w:t>
      </w:r>
      <w:r w:rsidRPr="003B5EA4">
        <w:t>intéresser aux moyens de réduire les voyages de façon viable et se pencher sur les changements spécifiques qu</w:t>
      </w:r>
      <w:r w:rsidR="00762E0A">
        <w:t>’</w:t>
      </w:r>
      <w:r w:rsidRPr="003B5EA4">
        <w:t>il</w:t>
      </w:r>
      <w:r w:rsidR="00A22573">
        <w:t>s</w:t>
      </w:r>
      <w:r w:rsidRPr="003B5EA4">
        <w:t xml:space="preserve"> devront apporter à leurs processus et les investissements qu</w:t>
      </w:r>
      <w:r w:rsidR="00762E0A">
        <w:t>’</w:t>
      </w:r>
      <w:r w:rsidRPr="003B5EA4">
        <w:t>ils devront consentir pour réduire leur dépendance vis-à-vis des voyages.</w:t>
      </w:r>
    </w:p>
    <w:p w:rsidR="00A41844" w:rsidRPr="003B5EA4" w:rsidRDefault="00183AD8" w:rsidP="00183AD8">
      <w:pPr>
        <w:pStyle w:val="SingleTxtG"/>
        <w:rPr>
          <w:bCs/>
        </w:rPr>
      </w:pPr>
      <w:r w:rsidRPr="003B5EA4">
        <w:t>164.</w:t>
      </w:r>
      <w:r w:rsidRPr="003B5EA4">
        <w:tab/>
        <w:t>Lorsqu</w:t>
      </w:r>
      <w:r w:rsidR="00762E0A">
        <w:t>’</w:t>
      </w:r>
      <w:r w:rsidRPr="003B5EA4">
        <w:t>elle a adopté son budget pour l</w:t>
      </w:r>
      <w:r w:rsidR="00762E0A">
        <w:t>’</w:t>
      </w:r>
      <w:r w:rsidRPr="003B5EA4">
        <w:t>exercice biennal 2016-2017, l</w:t>
      </w:r>
      <w:r w:rsidR="00762E0A">
        <w:t>’</w:t>
      </w:r>
      <w:r w:rsidRPr="003B5EA4">
        <w:t>Assemblée générale a décidé de réduire de 5 % les ressources allouées aux voyages de ses fonctionnaires, en sus de la réduction de 10 % déjà appliquée à l</w:t>
      </w:r>
      <w:r w:rsidR="00762E0A">
        <w:t>’</w:t>
      </w:r>
      <w:r w:rsidRPr="003B5EA4">
        <w:t>ensemble du budget</w:t>
      </w:r>
      <w:r w:rsidRPr="003B5EA4">
        <w:rPr>
          <w:rStyle w:val="Appelnotedebasdep"/>
        </w:rPr>
        <w:footnoteReference w:id="151"/>
      </w:r>
      <w:r w:rsidRPr="003B5EA4">
        <w:t>.</w:t>
      </w:r>
      <w:r w:rsidRPr="003B5EA4">
        <w:rPr>
          <w:bCs/>
        </w:rPr>
        <w:t xml:space="preserve"> Il ressort des réponses reçues par le CCI que d</w:t>
      </w:r>
      <w:r w:rsidR="00762E0A">
        <w:rPr>
          <w:bCs/>
        </w:rPr>
        <w:t>’</w:t>
      </w:r>
      <w:r w:rsidRPr="003B5EA4">
        <w:rPr>
          <w:bCs/>
        </w:rPr>
        <w:t xml:space="preserve">autres entités des Nations Unies ont réduit leurs crédits au titre des voyages en ayant davantage recours aux TIC </w:t>
      </w:r>
      <w:r w:rsidRPr="003B5EA4">
        <w:t>(CCI*, FAO, FNUAP, OMS, ONUSIDA et UNRWA) ou en réduisant d</w:t>
      </w:r>
      <w:r w:rsidR="00762E0A">
        <w:t>’</w:t>
      </w:r>
      <w:r w:rsidRPr="003B5EA4">
        <w:t>une année sur l</w:t>
      </w:r>
      <w:r w:rsidR="00762E0A">
        <w:t>’</w:t>
      </w:r>
      <w:r w:rsidRPr="003B5EA4">
        <w:t>autre, selon des objectifs établis, les voyages effectués (PNUE).</w:t>
      </w:r>
      <w:r w:rsidRPr="003B5EA4">
        <w:rPr>
          <w:bCs/>
        </w:rPr>
        <w:t xml:space="preserve"> Deux cas sont présent</w:t>
      </w:r>
      <w:r w:rsidR="00CA75E0" w:rsidRPr="003B5EA4">
        <w:rPr>
          <w:bCs/>
        </w:rPr>
        <w:t>és ci-dessous à titre d</w:t>
      </w:r>
      <w:r w:rsidR="00762E0A">
        <w:rPr>
          <w:bCs/>
        </w:rPr>
        <w:t>’</w:t>
      </w:r>
      <w:r w:rsidR="00CA75E0" w:rsidRPr="003B5EA4">
        <w:rPr>
          <w:bCs/>
        </w:rPr>
        <w:t>exemple :</w:t>
      </w:r>
    </w:p>
    <w:p w:rsidR="00CA75E0" w:rsidRPr="003B5EA4" w:rsidRDefault="00CA75E0" w:rsidP="00CA75E0">
      <w:pPr>
        <w:pStyle w:val="Bullet1G"/>
      </w:pPr>
      <w:r w:rsidRPr="003B5EA4">
        <w:rPr>
          <w:bCs/>
        </w:rPr>
        <w:t>Pour l</w:t>
      </w:r>
      <w:r w:rsidR="00762E0A">
        <w:rPr>
          <w:bCs/>
        </w:rPr>
        <w:t>’</w:t>
      </w:r>
      <w:r w:rsidRPr="003B5EA4">
        <w:rPr>
          <w:bCs/>
        </w:rPr>
        <w:t>exercice biennal 2016-2017, l</w:t>
      </w:r>
      <w:r w:rsidR="00762E0A">
        <w:rPr>
          <w:bCs/>
        </w:rPr>
        <w:t>’</w:t>
      </w:r>
      <w:r w:rsidRPr="003B5EA4">
        <w:t>OMS s</w:t>
      </w:r>
      <w:r w:rsidR="00762E0A">
        <w:t>’</w:t>
      </w:r>
      <w:r w:rsidRPr="003B5EA4">
        <w:t>est imposée un plafond de dépenses de 10 % inférieur à celui de l</w:t>
      </w:r>
      <w:r w:rsidR="00762E0A">
        <w:t>’</w:t>
      </w:r>
      <w:r w:rsidRPr="003B5EA4">
        <w:t>exercice précédent pour ce qui est des voyages non urgents de son personnel au siège</w:t>
      </w:r>
      <w:r w:rsidRPr="003B5EA4">
        <w:rPr>
          <w:bCs/>
        </w:rPr>
        <w:t>. L</w:t>
      </w:r>
      <w:r w:rsidR="00762E0A">
        <w:rPr>
          <w:bCs/>
        </w:rPr>
        <w:t>’</w:t>
      </w:r>
      <w:r w:rsidRPr="003B5EA4">
        <w:rPr>
          <w:bCs/>
        </w:rPr>
        <w:t xml:space="preserve">imposition de ce plafond </w:t>
      </w:r>
      <w:r w:rsidR="00A22573" w:rsidRPr="003B5EA4">
        <w:rPr>
          <w:bCs/>
        </w:rPr>
        <w:t>a</w:t>
      </w:r>
      <w:r w:rsidRPr="003B5EA4">
        <w:rPr>
          <w:bCs/>
        </w:rPr>
        <w:t xml:space="preserve"> conduit à un </w:t>
      </w:r>
      <w:r w:rsidRPr="003B5EA4">
        <w:rPr>
          <w:bCs/>
        </w:rPr>
        <w:lastRenderedPageBreak/>
        <w:t>changement de culture au sein de l</w:t>
      </w:r>
      <w:r w:rsidR="00762E0A">
        <w:rPr>
          <w:bCs/>
        </w:rPr>
        <w:t>’</w:t>
      </w:r>
      <w:r w:rsidRPr="003B5EA4">
        <w:rPr>
          <w:bCs/>
        </w:rPr>
        <w:t>organisation, le personnel se montrant plus judicieux et averti face à des réunions qui ne sont pas nécessairement des priorités ;</w:t>
      </w:r>
    </w:p>
    <w:p w:rsidR="00CA75E0" w:rsidRPr="003B5EA4" w:rsidRDefault="00CA75E0" w:rsidP="00CA75E0">
      <w:pPr>
        <w:pStyle w:val="Bullet1G"/>
      </w:pPr>
      <w:r w:rsidRPr="003B5EA4">
        <w:t>L</w:t>
      </w:r>
      <w:r w:rsidR="00762E0A">
        <w:t>’</w:t>
      </w:r>
      <w:r w:rsidRPr="003B5EA4">
        <w:t>ONUSIDA soumet ses voyages à des plafonds départementaux stricts depuis 2008, date à laquelle son Directeur exécutif s</w:t>
      </w:r>
      <w:r w:rsidR="00762E0A">
        <w:t>’</w:t>
      </w:r>
      <w:r w:rsidRPr="003B5EA4">
        <w:t>était engagé à réduire les frais de voyage de 25 %</w:t>
      </w:r>
      <w:r w:rsidRPr="003B5EA4">
        <w:rPr>
          <w:bCs/>
        </w:rPr>
        <w:t>. Les plafonds ont été budgétisés et ajustés ensuite pour chaque exercice biennal sur la base des dépenses. Des plans de voyages trimestriels ont également été dressés, affichant le montant alloué et le solde disponible.</w:t>
      </w:r>
    </w:p>
    <w:p w:rsidR="00CA75E0" w:rsidRPr="003B5EA4" w:rsidRDefault="003E7472" w:rsidP="00CA75E0">
      <w:pPr>
        <w:pStyle w:val="SingleTxtG"/>
        <w:rPr>
          <w:b/>
          <w:bCs/>
        </w:rPr>
      </w:pPr>
      <w:r w:rsidRPr="003B5EA4">
        <w:t>165.</w:t>
      </w:r>
      <w:r w:rsidRPr="003B5EA4">
        <w:tab/>
      </w:r>
      <w:r w:rsidRPr="003B5EA4">
        <w:rPr>
          <w:b/>
          <w:bCs/>
        </w:rPr>
        <w:t>Il est recommandé que les chefs de secrétariat étudient la faisabilité d</w:t>
      </w:r>
      <w:r w:rsidR="00762E0A">
        <w:rPr>
          <w:b/>
          <w:bCs/>
        </w:rPr>
        <w:t>’</w:t>
      </w:r>
      <w:r w:rsidRPr="003B5EA4">
        <w:rPr>
          <w:b/>
          <w:bCs/>
        </w:rPr>
        <w:t>un plafonnement des dépenses consacrées aux voyages, qui permettrait d</w:t>
      </w:r>
      <w:r w:rsidR="00762E0A">
        <w:rPr>
          <w:b/>
          <w:bCs/>
        </w:rPr>
        <w:t>’</w:t>
      </w:r>
      <w:r w:rsidRPr="003B5EA4">
        <w:rPr>
          <w:b/>
          <w:bCs/>
        </w:rPr>
        <w:t>exercer un contrôle effectif et de réaliser des économies, et il est recommandé que le plafond ainsi imposé soit régulièrement soumis à surveillance.</w:t>
      </w:r>
    </w:p>
    <w:p w:rsidR="003E7472" w:rsidRPr="003B5EA4" w:rsidRDefault="003E7472" w:rsidP="003E7472">
      <w:pPr>
        <w:pStyle w:val="H1G"/>
      </w:pPr>
      <w:r w:rsidRPr="003B5EA4">
        <w:tab/>
        <w:t>C.</w:t>
      </w:r>
      <w:r w:rsidRPr="003B5EA4">
        <w:tab/>
        <w:t>Recouvrement des sommes dues au titre des billets non utilisés</w:t>
      </w:r>
    </w:p>
    <w:p w:rsidR="003E7472" w:rsidRPr="003B5EA4" w:rsidRDefault="003E7472" w:rsidP="003E7472">
      <w:pPr>
        <w:pStyle w:val="SingleTxtG"/>
        <w:rPr>
          <w:bCs/>
        </w:rPr>
      </w:pPr>
      <w:r w:rsidRPr="003B5EA4">
        <w:t>166.</w:t>
      </w:r>
      <w:r w:rsidRPr="003B5EA4">
        <w:tab/>
      </w:r>
      <w:r w:rsidRPr="003B5EA4">
        <w:rPr>
          <w:bCs/>
        </w:rPr>
        <w:t>L</w:t>
      </w:r>
      <w:r w:rsidR="00762E0A">
        <w:rPr>
          <w:bCs/>
        </w:rPr>
        <w:t>’</w:t>
      </w:r>
      <w:r w:rsidRPr="003B5EA4">
        <w:rPr>
          <w:bCs/>
        </w:rPr>
        <w:t>exploitation rationnelle du budget-programme peut se trouver renforcée si les sommes dues au titre des billets d</w:t>
      </w:r>
      <w:r w:rsidR="00762E0A">
        <w:rPr>
          <w:bCs/>
        </w:rPr>
        <w:t>’</w:t>
      </w:r>
      <w:r w:rsidRPr="003B5EA4">
        <w:rPr>
          <w:bCs/>
        </w:rPr>
        <w:t>avion non utilisés sont recouvrées rapidement, selon des procédures et des étapes clairement définies dans les politiques d</w:t>
      </w:r>
      <w:r w:rsidR="00762E0A">
        <w:rPr>
          <w:bCs/>
        </w:rPr>
        <w:t>’</w:t>
      </w:r>
      <w:r w:rsidRPr="003B5EA4">
        <w:rPr>
          <w:bCs/>
        </w:rPr>
        <w:t>administration des voyages et les contrats passés avec les compagnies de gestion de voyages. Dans les entités des Nations Unies, le remboursement des billets non utilisés est habituellement suivi et traité par la société de gestion de voyages sous contrat, en coordination avec le groupe des voyages de l</w:t>
      </w:r>
      <w:r w:rsidR="00762E0A">
        <w:rPr>
          <w:bCs/>
        </w:rPr>
        <w:t>’</w:t>
      </w:r>
      <w:r w:rsidRPr="003B5EA4">
        <w:rPr>
          <w:bCs/>
        </w:rPr>
        <w:t>organisme, et donne lieu à des rapports périodiques. Des exemples de bonnes pratiques adoptées en la matière par certaines entités des Nations Unies sont présentés ci</w:t>
      </w:r>
      <w:r w:rsidR="00A656DD" w:rsidRPr="003B5EA4">
        <w:rPr>
          <w:bCs/>
        </w:rPr>
        <w:noBreakHyphen/>
      </w:r>
      <w:r w:rsidRPr="003B5EA4">
        <w:rPr>
          <w:bCs/>
        </w:rPr>
        <w:t>dessous :</w:t>
      </w:r>
    </w:p>
    <w:p w:rsidR="003E7472" w:rsidRPr="003B5EA4" w:rsidRDefault="00EC6BBB" w:rsidP="00EC6BBB">
      <w:pPr>
        <w:pStyle w:val="Bullet1G"/>
      </w:pPr>
      <w:r w:rsidRPr="003B5EA4">
        <w:rPr>
          <w:bCs/>
        </w:rPr>
        <w:t>Au CCI*, tous les remboursements sont traités par l</w:t>
      </w:r>
      <w:r w:rsidR="00762E0A">
        <w:rPr>
          <w:bCs/>
        </w:rPr>
        <w:t>’</w:t>
      </w:r>
      <w:r w:rsidRPr="003B5EA4">
        <w:rPr>
          <w:bCs/>
        </w:rPr>
        <w:t>équipe des voyages, laquelle reçoit des états mensuels de la compagnie de gestion de voyages. Conformément aux bonnes pratiques, le processus de remboursement est totalement automatisé et incorporé dans le progiciel de gestion intégré, l</w:t>
      </w:r>
      <w:r w:rsidR="00762E0A">
        <w:rPr>
          <w:bCs/>
        </w:rPr>
        <w:t>’</w:t>
      </w:r>
      <w:r w:rsidRPr="003B5EA4">
        <w:rPr>
          <w:bCs/>
        </w:rPr>
        <w:t>équipe des voyages faisant rapport annuellement de la somme remboursée à la direction du CCI*. Ce modèle de recouvrement a permis au CCI* de recouvrer la somme totale de 2,56 millions de dollars des États-Unis au titre de ses billets non utilisés pour la période 2010-2015, ce montant constituant 9,6 % de la facture totale des voyages en avion, voyages en train et formalités de visas pour la période de six ans concernée ;</w:t>
      </w:r>
    </w:p>
    <w:p w:rsidR="00CA75E0" w:rsidRPr="003B5EA4" w:rsidRDefault="00EC6BBB" w:rsidP="00EC6BBB">
      <w:pPr>
        <w:pStyle w:val="Bullet1G"/>
      </w:pPr>
      <w:r w:rsidRPr="003B5EA4">
        <w:rPr>
          <w:bCs/>
        </w:rPr>
        <w:t>Au siège de l</w:t>
      </w:r>
      <w:r w:rsidR="00762E0A">
        <w:rPr>
          <w:bCs/>
        </w:rPr>
        <w:t>’</w:t>
      </w:r>
      <w:r w:rsidRPr="003B5EA4">
        <w:rPr>
          <w:bCs/>
        </w:rPr>
        <w:t>UNESCO, l</w:t>
      </w:r>
      <w:r w:rsidR="00762E0A">
        <w:rPr>
          <w:bCs/>
        </w:rPr>
        <w:t>’</w:t>
      </w:r>
      <w:r w:rsidRPr="003B5EA4">
        <w:rPr>
          <w:bCs/>
        </w:rPr>
        <w:t>agence de voyages traite et crédite les remboursements des compagnies aériennes dans les cinq jours</w:t>
      </w:r>
      <w:r w:rsidR="007959C4">
        <w:rPr>
          <w:bCs/>
        </w:rPr>
        <w:t> ;</w:t>
      </w:r>
      <w:r w:rsidRPr="003B5EA4">
        <w:rPr>
          <w:bCs/>
        </w:rPr>
        <w:t xml:space="preserve"> elle absorbe également tous les frais d</w:t>
      </w:r>
      <w:r w:rsidR="00762E0A">
        <w:rPr>
          <w:bCs/>
        </w:rPr>
        <w:t>’</w:t>
      </w:r>
      <w:r w:rsidRPr="003B5EA4">
        <w:rPr>
          <w:bCs/>
        </w:rPr>
        <w:t>annulation ou de changement qui n</w:t>
      </w:r>
      <w:r w:rsidR="00762E0A">
        <w:rPr>
          <w:bCs/>
        </w:rPr>
        <w:t>’</w:t>
      </w:r>
      <w:r w:rsidRPr="003B5EA4">
        <w:rPr>
          <w:bCs/>
        </w:rPr>
        <w:t>ont pas été occasionnés par l</w:t>
      </w:r>
      <w:r w:rsidR="00762E0A">
        <w:rPr>
          <w:bCs/>
        </w:rPr>
        <w:t>’</w:t>
      </w:r>
      <w:r w:rsidRPr="003B5EA4">
        <w:rPr>
          <w:bCs/>
        </w:rPr>
        <w:t>UNESCO ou le voyageur ;</w:t>
      </w:r>
    </w:p>
    <w:p w:rsidR="00EC6BBB" w:rsidRPr="003B5EA4" w:rsidRDefault="00877E39" w:rsidP="00EC6BBB">
      <w:pPr>
        <w:pStyle w:val="Bullet1G"/>
      </w:pPr>
      <w:r w:rsidRPr="003B5EA4">
        <w:rPr>
          <w:bCs/>
        </w:rPr>
        <w:t>Le PNUD a équipé son siège, en conjonction avec sa société de gestion de voyages, d</w:t>
      </w:r>
      <w:r w:rsidR="00762E0A">
        <w:rPr>
          <w:bCs/>
        </w:rPr>
        <w:t>’</w:t>
      </w:r>
      <w:r w:rsidRPr="003B5EA4">
        <w:rPr>
          <w:bCs/>
        </w:rPr>
        <w:t>un système qui calcule la valeur résiduelle des billets non utilisés, soumet les demandes de remboursement à la compagnie aérienne et crédite les montants remboursés au compte des voyages du programme ;</w:t>
      </w:r>
    </w:p>
    <w:p w:rsidR="00877E39" w:rsidRPr="003B5EA4" w:rsidRDefault="00877E39" w:rsidP="00EC6BBB">
      <w:pPr>
        <w:pStyle w:val="Bullet1G"/>
      </w:pPr>
      <w:r w:rsidRPr="003B5EA4">
        <w:rPr>
          <w:bCs/>
        </w:rPr>
        <w:t>Au Secrétariat de l</w:t>
      </w:r>
      <w:r w:rsidR="00762E0A">
        <w:rPr>
          <w:bCs/>
        </w:rPr>
        <w:t>’</w:t>
      </w:r>
      <w:r w:rsidRPr="003B5EA4">
        <w:rPr>
          <w:bCs/>
        </w:rPr>
        <w:t>ONU, Umoja permet de suivre les remboursements dus par suite de l</w:t>
      </w:r>
      <w:r w:rsidR="00762E0A">
        <w:rPr>
          <w:bCs/>
        </w:rPr>
        <w:t>’</w:t>
      </w:r>
      <w:r w:rsidRPr="003B5EA4">
        <w:rPr>
          <w:bCs/>
        </w:rPr>
        <w:t>annulation ou de la non-utilisation des billets. Lorsqu</w:t>
      </w:r>
      <w:r w:rsidR="00762E0A">
        <w:rPr>
          <w:bCs/>
        </w:rPr>
        <w:t>’</w:t>
      </w:r>
      <w:r w:rsidRPr="003B5EA4">
        <w:rPr>
          <w:bCs/>
        </w:rPr>
        <w:t>un billet doit être modifié ou annulé au cours du processus d</w:t>
      </w:r>
      <w:r w:rsidR="00762E0A">
        <w:rPr>
          <w:bCs/>
        </w:rPr>
        <w:t>’</w:t>
      </w:r>
      <w:r w:rsidRPr="003B5EA4">
        <w:rPr>
          <w:bCs/>
        </w:rPr>
        <w:t>autorisation du voyage, c</w:t>
      </w:r>
      <w:r w:rsidR="00762E0A">
        <w:rPr>
          <w:bCs/>
        </w:rPr>
        <w:t>’</w:t>
      </w:r>
      <w:r w:rsidRPr="003B5EA4">
        <w:rPr>
          <w:bCs/>
        </w:rPr>
        <w:t>est le groupe des voyages qui a la charge d</w:t>
      </w:r>
      <w:r w:rsidR="00762E0A">
        <w:rPr>
          <w:bCs/>
        </w:rPr>
        <w:t>’</w:t>
      </w:r>
      <w:r w:rsidRPr="003B5EA4">
        <w:rPr>
          <w:bCs/>
        </w:rPr>
        <w:t>enregistrer tout remboursement dû au Secrétariat ;</w:t>
      </w:r>
    </w:p>
    <w:p w:rsidR="00877E39" w:rsidRPr="003B5EA4" w:rsidRDefault="00877E39" w:rsidP="00EC6BBB">
      <w:pPr>
        <w:pStyle w:val="Bullet1G"/>
      </w:pPr>
      <w:r w:rsidRPr="003B5EA4">
        <w:rPr>
          <w:bCs/>
        </w:rPr>
        <w:t>En 2012, suivant en cela les recommandations du BSCI, l</w:t>
      </w:r>
      <w:r w:rsidR="00762E0A">
        <w:rPr>
          <w:bCs/>
        </w:rPr>
        <w:t>’</w:t>
      </w:r>
      <w:r w:rsidRPr="003B5EA4">
        <w:rPr>
          <w:bCs/>
        </w:rPr>
        <w:t>ONUV a recouvré 221 000 dollars des États-Unis de son fournisseur et s</w:t>
      </w:r>
      <w:r w:rsidR="00762E0A">
        <w:rPr>
          <w:bCs/>
        </w:rPr>
        <w:t>’</w:t>
      </w:r>
      <w:r w:rsidRPr="003B5EA4">
        <w:rPr>
          <w:bCs/>
        </w:rPr>
        <w:t>est retiré de la nouvelle procédure d</w:t>
      </w:r>
      <w:r w:rsidR="00762E0A">
        <w:rPr>
          <w:bCs/>
        </w:rPr>
        <w:t>’</w:t>
      </w:r>
      <w:r w:rsidRPr="003B5EA4">
        <w:rPr>
          <w:bCs/>
        </w:rPr>
        <w:t>appel d</w:t>
      </w:r>
      <w:r w:rsidR="00762E0A">
        <w:rPr>
          <w:bCs/>
        </w:rPr>
        <w:t>’</w:t>
      </w:r>
      <w:r w:rsidRPr="003B5EA4">
        <w:rPr>
          <w:bCs/>
        </w:rPr>
        <w:t>offre menée avec l</w:t>
      </w:r>
      <w:r w:rsidR="00762E0A">
        <w:rPr>
          <w:bCs/>
        </w:rPr>
        <w:t>’</w:t>
      </w:r>
      <w:r w:rsidRPr="003B5EA4">
        <w:rPr>
          <w:bCs/>
        </w:rPr>
        <w:t>ONUDI pour tirer parti d</w:t>
      </w:r>
      <w:r w:rsidR="00762E0A">
        <w:rPr>
          <w:bCs/>
        </w:rPr>
        <w:t>’</w:t>
      </w:r>
      <w:r w:rsidRPr="003B5EA4">
        <w:rPr>
          <w:bCs/>
        </w:rPr>
        <w:t>une meilleure formule</w:t>
      </w:r>
      <w:r w:rsidRPr="003B5EA4">
        <w:rPr>
          <w:rStyle w:val="Appelnotedebasdep"/>
        </w:rPr>
        <w:footnoteReference w:id="152"/>
      </w:r>
      <w:r w:rsidRPr="003B5EA4">
        <w:rPr>
          <w:bCs/>
        </w:rPr>
        <w:t>.</w:t>
      </w:r>
    </w:p>
    <w:p w:rsidR="00877E39" w:rsidRPr="003B5EA4" w:rsidRDefault="00877E39" w:rsidP="00877E39">
      <w:pPr>
        <w:pStyle w:val="SingleTxtG"/>
        <w:rPr>
          <w:b/>
          <w:bCs/>
        </w:rPr>
      </w:pPr>
      <w:r w:rsidRPr="003B5EA4">
        <w:t>167.</w:t>
      </w:r>
      <w:r w:rsidRPr="003B5EA4">
        <w:tab/>
      </w:r>
      <w:r w:rsidRPr="003B5EA4">
        <w:rPr>
          <w:b/>
          <w:bCs/>
        </w:rPr>
        <w:t>L</w:t>
      </w:r>
      <w:r w:rsidR="00762E0A">
        <w:rPr>
          <w:b/>
          <w:bCs/>
        </w:rPr>
        <w:t>’</w:t>
      </w:r>
      <w:r w:rsidRPr="003B5EA4">
        <w:rPr>
          <w:b/>
          <w:bCs/>
        </w:rPr>
        <w:t>Inspectrice est d</w:t>
      </w:r>
      <w:r w:rsidR="00762E0A">
        <w:rPr>
          <w:b/>
          <w:bCs/>
        </w:rPr>
        <w:t>’</w:t>
      </w:r>
      <w:r w:rsidRPr="003B5EA4">
        <w:rPr>
          <w:b/>
          <w:bCs/>
        </w:rPr>
        <w:t>avis qu</w:t>
      </w:r>
      <w:r w:rsidR="00762E0A">
        <w:rPr>
          <w:b/>
          <w:bCs/>
        </w:rPr>
        <w:t>’</w:t>
      </w:r>
      <w:r w:rsidRPr="003B5EA4">
        <w:rPr>
          <w:b/>
          <w:bCs/>
        </w:rPr>
        <w:t>il serait de bonne pratique que toutes les entités des Nations Unies incluent des dispositions relatives au remboursement, au suivi et au traitement des billets d</w:t>
      </w:r>
      <w:r w:rsidR="00762E0A">
        <w:rPr>
          <w:b/>
          <w:bCs/>
        </w:rPr>
        <w:t>’</w:t>
      </w:r>
      <w:r w:rsidRPr="003B5EA4">
        <w:rPr>
          <w:b/>
          <w:bCs/>
        </w:rPr>
        <w:t>avion non utilisés dans les contrats qu</w:t>
      </w:r>
      <w:r w:rsidR="00762E0A">
        <w:rPr>
          <w:b/>
          <w:bCs/>
        </w:rPr>
        <w:t>’</w:t>
      </w:r>
      <w:r w:rsidRPr="003B5EA4">
        <w:rPr>
          <w:b/>
          <w:bCs/>
        </w:rPr>
        <w:t>ils passent avec des sociétés de gestion de voyage</w:t>
      </w:r>
      <w:r w:rsidR="00EB3F53">
        <w:rPr>
          <w:b/>
          <w:bCs/>
        </w:rPr>
        <w:t>s</w:t>
      </w:r>
      <w:r w:rsidRPr="003B5EA4">
        <w:rPr>
          <w:b/>
          <w:bCs/>
        </w:rPr>
        <w:t>.</w:t>
      </w:r>
    </w:p>
    <w:p w:rsidR="00877E39" w:rsidRPr="003B5EA4" w:rsidRDefault="00877E39" w:rsidP="00877E39">
      <w:pPr>
        <w:pStyle w:val="H1G"/>
      </w:pPr>
      <w:r w:rsidRPr="003B5EA4">
        <w:lastRenderedPageBreak/>
        <w:tab/>
        <w:t>D.</w:t>
      </w:r>
      <w:r w:rsidRPr="003B5EA4">
        <w:tab/>
        <w:t>Renforcement des mécanismes de contrôle</w:t>
      </w:r>
    </w:p>
    <w:p w:rsidR="00877E39" w:rsidRPr="003B5EA4" w:rsidRDefault="00877E39" w:rsidP="00877E39">
      <w:pPr>
        <w:pStyle w:val="SingleTxtG"/>
        <w:rPr>
          <w:bCs/>
        </w:rPr>
      </w:pPr>
      <w:r w:rsidRPr="003B5EA4">
        <w:t>168.</w:t>
      </w:r>
      <w:r w:rsidRPr="003B5EA4">
        <w:tab/>
      </w:r>
      <w:r w:rsidRPr="003B5EA4">
        <w:rPr>
          <w:bCs/>
        </w:rPr>
        <w:t>Les audits sont un moyen de surveillance important pour assurer les contrôles internes nécessaires à toute organisation. En l</w:t>
      </w:r>
      <w:r w:rsidR="00762E0A">
        <w:rPr>
          <w:bCs/>
        </w:rPr>
        <w:t>’</w:t>
      </w:r>
      <w:r w:rsidRPr="003B5EA4">
        <w:rPr>
          <w:bCs/>
        </w:rPr>
        <w:t>occurrence, les organismes doivent se montrer soucieux d</w:t>
      </w:r>
      <w:r w:rsidR="00762E0A">
        <w:rPr>
          <w:bCs/>
        </w:rPr>
        <w:t>’</w:t>
      </w:r>
      <w:r w:rsidRPr="003B5EA4">
        <w:rPr>
          <w:bCs/>
        </w:rPr>
        <w:t>évaluer régulièrement l</w:t>
      </w:r>
      <w:r w:rsidR="00762E0A">
        <w:rPr>
          <w:bCs/>
        </w:rPr>
        <w:t>’</w:t>
      </w:r>
      <w:r w:rsidRPr="003B5EA4">
        <w:rPr>
          <w:bCs/>
        </w:rPr>
        <w:t>exécution et les résultats des activités relatives aux voyages en avion. Ces évaluations doivent pouvoir s</w:t>
      </w:r>
      <w:r w:rsidR="00762E0A">
        <w:rPr>
          <w:bCs/>
        </w:rPr>
        <w:t>’</w:t>
      </w:r>
      <w:r w:rsidRPr="003B5EA4">
        <w:rPr>
          <w:bCs/>
        </w:rPr>
        <w:t>appuyer sur des mécanismes de suivi afin de s</w:t>
      </w:r>
      <w:r w:rsidR="00762E0A">
        <w:rPr>
          <w:bCs/>
        </w:rPr>
        <w:t>’</w:t>
      </w:r>
      <w:r w:rsidRPr="003B5EA4">
        <w:rPr>
          <w:bCs/>
        </w:rPr>
        <w:t>assurer que soient prises les mesures appelées par l</w:t>
      </w:r>
      <w:r w:rsidR="00762E0A">
        <w:rPr>
          <w:bCs/>
        </w:rPr>
        <w:t>’</w:t>
      </w:r>
      <w:r w:rsidRPr="003B5EA4">
        <w:rPr>
          <w:bCs/>
        </w:rPr>
        <w:t>évaluation et notamment que soient suivies d</w:t>
      </w:r>
      <w:r w:rsidR="00762E0A">
        <w:rPr>
          <w:bCs/>
        </w:rPr>
        <w:t>’</w:t>
      </w:r>
      <w:r w:rsidRPr="003B5EA4">
        <w:rPr>
          <w:bCs/>
        </w:rPr>
        <w:t>effet en temps voulu et en tous leurs aspects les recommandations contenues dans les rapports d</w:t>
      </w:r>
      <w:r w:rsidR="00762E0A">
        <w:rPr>
          <w:bCs/>
        </w:rPr>
        <w:t>’</w:t>
      </w:r>
      <w:r w:rsidRPr="003B5EA4">
        <w:rPr>
          <w:bCs/>
        </w:rPr>
        <w:t>audit.</w:t>
      </w:r>
    </w:p>
    <w:p w:rsidR="00877E39" w:rsidRPr="003B5EA4" w:rsidRDefault="00877E39" w:rsidP="00877E39">
      <w:pPr>
        <w:pStyle w:val="SingleTxtG"/>
        <w:rPr>
          <w:bCs/>
        </w:rPr>
      </w:pPr>
      <w:r w:rsidRPr="003B5EA4">
        <w:t>169.</w:t>
      </w:r>
      <w:r w:rsidRPr="003B5EA4">
        <w:tab/>
      </w:r>
      <w:r w:rsidRPr="003B5EA4">
        <w:rPr>
          <w:bCs/>
        </w:rPr>
        <w:t>L</w:t>
      </w:r>
      <w:r w:rsidR="00762E0A">
        <w:rPr>
          <w:bCs/>
        </w:rPr>
        <w:t>’</w:t>
      </w:r>
      <w:r w:rsidRPr="003B5EA4">
        <w:rPr>
          <w:bCs/>
        </w:rPr>
        <w:t>Inspectrice a pu constater que 15 des organismes des Nations Unies faisant l</w:t>
      </w:r>
      <w:r w:rsidR="00762E0A">
        <w:rPr>
          <w:bCs/>
        </w:rPr>
        <w:t>’</w:t>
      </w:r>
      <w:r w:rsidRPr="003B5EA4">
        <w:rPr>
          <w:bCs/>
        </w:rPr>
        <w:t>objet du présent examen</w:t>
      </w:r>
      <w:r w:rsidRPr="003B5EA4">
        <w:rPr>
          <w:rStyle w:val="Appelnotedebasdep"/>
        </w:rPr>
        <w:footnoteReference w:id="153"/>
      </w:r>
      <w:r w:rsidRPr="003B5EA4">
        <w:rPr>
          <w:bCs/>
        </w:rPr>
        <w:t xml:space="preserve"> avaient soumis leurs activités relatives aux voyages en avion à des audits internes ou externes depuis 2008. Elle regrette que cinq organismes</w:t>
      </w:r>
      <w:r w:rsidRPr="003B5EA4">
        <w:rPr>
          <w:rStyle w:val="Appelnotedebasdep"/>
        </w:rPr>
        <w:footnoteReference w:id="154"/>
      </w:r>
      <w:r w:rsidRPr="003B5EA4">
        <w:rPr>
          <w:bCs/>
        </w:rPr>
        <w:t xml:space="preserve"> n</w:t>
      </w:r>
      <w:r w:rsidR="00762E0A">
        <w:rPr>
          <w:bCs/>
        </w:rPr>
        <w:t>’</w:t>
      </w:r>
      <w:r w:rsidRPr="003B5EA4">
        <w:rPr>
          <w:bCs/>
        </w:rPr>
        <w:t>aient pas fait de même au cours de la décennie écoulée en ce qui concerne ces mêmes activités, en dépit de l</w:t>
      </w:r>
      <w:r w:rsidR="00762E0A">
        <w:rPr>
          <w:bCs/>
        </w:rPr>
        <w:t>’</w:t>
      </w:r>
      <w:r w:rsidRPr="003B5EA4">
        <w:rPr>
          <w:bCs/>
        </w:rPr>
        <w:t>importance d</w:t>
      </w:r>
      <w:r w:rsidR="00762E0A">
        <w:rPr>
          <w:bCs/>
        </w:rPr>
        <w:t>’</w:t>
      </w:r>
      <w:r w:rsidRPr="003B5EA4">
        <w:rPr>
          <w:bCs/>
        </w:rPr>
        <w:t>un tel état des lieux des forces et des faiblesses d</w:t>
      </w:r>
      <w:r w:rsidR="00762E0A">
        <w:rPr>
          <w:bCs/>
        </w:rPr>
        <w:t>’</w:t>
      </w:r>
      <w:r w:rsidRPr="003B5EA4">
        <w:rPr>
          <w:bCs/>
        </w:rPr>
        <w:t>un dispositif.</w:t>
      </w:r>
      <w:r w:rsidRPr="003B5EA4">
        <w:rPr>
          <w:b/>
        </w:rPr>
        <w:t xml:space="preserve"> </w:t>
      </w:r>
      <w:r w:rsidRPr="003B5EA4">
        <w:rPr>
          <w:bCs/>
        </w:rPr>
        <w:t>Le CCI* établit d</w:t>
      </w:r>
      <w:r w:rsidR="00762E0A">
        <w:rPr>
          <w:bCs/>
        </w:rPr>
        <w:t>’</w:t>
      </w:r>
      <w:r w:rsidRPr="003B5EA4">
        <w:rPr>
          <w:bCs/>
        </w:rPr>
        <w:t>exhaustifs rapports de contrôles a priori et a posteriori pour soumission à sa direction. L</w:t>
      </w:r>
      <w:r w:rsidR="00762E0A">
        <w:rPr>
          <w:bCs/>
        </w:rPr>
        <w:t>’</w:t>
      </w:r>
      <w:r w:rsidRPr="003B5EA4">
        <w:t>AIEA examine régulièrement les indicateurs clefs de performance et les accords de prestation de services relatifs aux voyages et effectue quotidiennement des vérifications ponctuelles des réservations de billets pour s</w:t>
      </w:r>
      <w:r w:rsidR="00762E0A">
        <w:t>’</w:t>
      </w:r>
      <w:r w:rsidRPr="003B5EA4">
        <w:t>assurer que la société chargée de gérer ses voyages applique sa politique.</w:t>
      </w:r>
      <w:r w:rsidRPr="003B5EA4">
        <w:rPr>
          <w:bCs/>
        </w:rPr>
        <w:t xml:space="preserve"> Le FNUAP et le PAM effectuent aussi des audits sur le terrain afin d</w:t>
      </w:r>
      <w:r w:rsidR="00762E0A">
        <w:rPr>
          <w:bCs/>
        </w:rPr>
        <w:t>’</w:t>
      </w:r>
      <w:r w:rsidRPr="003B5EA4">
        <w:rPr>
          <w:bCs/>
        </w:rPr>
        <w:t>y vérifier la bonne application de leurs politiques relatives au voyages et de s</w:t>
      </w:r>
      <w:r w:rsidR="00762E0A">
        <w:rPr>
          <w:bCs/>
        </w:rPr>
        <w:t>’</w:t>
      </w:r>
      <w:r w:rsidRPr="003B5EA4">
        <w:rPr>
          <w:bCs/>
        </w:rPr>
        <w:t>assurer de l</w:t>
      </w:r>
      <w:r w:rsidR="00762E0A">
        <w:rPr>
          <w:bCs/>
        </w:rPr>
        <w:t>’</w:t>
      </w:r>
      <w:r w:rsidRPr="003B5EA4">
        <w:rPr>
          <w:bCs/>
        </w:rPr>
        <w:t>efficacité et de l</w:t>
      </w:r>
      <w:r w:rsidR="00762E0A">
        <w:rPr>
          <w:bCs/>
        </w:rPr>
        <w:t>’</w:t>
      </w:r>
      <w:r w:rsidRPr="003B5EA4">
        <w:rPr>
          <w:bCs/>
        </w:rPr>
        <w:t>efficience des activités concernées.</w:t>
      </w:r>
    </w:p>
    <w:p w:rsidR="00235D34" w:rsidRPr="003B5EA4" w:rsidRDefault="00235D34" w:rsidP="00877E39">
      <w:pPr>
        <w:pStyle w:val="SingleTxtG"/>
        <w:rPr>
          <w:b/>
          <w:bCs/>
        </w:rPr>
      </w:pPr>
      <w:r w:rsidRPr="003B5EA4">
        <w:rPr>
          <w:bCs/>
        </w:rPr>
        <w:t>170.</w:t>
      </w:r>
      <w:r w:rsidRPr="003B5EA4">
        <w:rPr>
          <w:bCs/>
        </w:rPr>
        <w:tab/>
        <w:t>À titre de comparaison, d</w:t>
      </w:r>
      <w:r w:rsidR="00762E0A">
        <w:rPr>
          <w:bCs/>
        </w:rPr>
        <w:t>’</w:t>
      </w:r>
      <w:r w:rsidRPr="003B5EA4">
        <w:rPr>
          <w:bCs/>
        </w:rPr>
        <w:t>autres institutions internationales interrogées, telles que la BID et le Groupe de la Banque mondiale, font appel à des services d</w:t>
      </w:r>
      <w:r w:rsidR="00762E0A">
        <w:rPr>
          <w:bCs/>
        </w:rPr>
        <w:t>’</w:t>
      </w:r>
      <w:r w:rsidRPr="003B5EA4">
        <w:rPr>
          <w:bCs/>
        </w:rPr>
        <w:t>expertise externes pour surveiller la bonne exécution de leurs activités relatives au</w:t>
      </w:r>
      <w:r w:rsidR="00EB3F53">
        <w:rPr>
          <w:bCs/>
        </w:rPr>
        <w:t>x</w:t>
      </w:r>
      <w:r w:rsidRPr="003B5EA4">
        <w:rPr>
          <w:bCs/>
        </w:rPr>
        <w:t xml:space="preserve"> voyages, fournir des données sur la configuration des dépenses qu</w:t>
      </w:r>
      <w:r w:rsidR="00762E0A">
        <w:rPr>
          <w:bCs/>
        </w:rPr>
        <w:t>’</w:t>
      </w:r>
      <w:r w:rsidRPr="003B5EA4">
        <w:rPr>
          <w:bCs/>
        </w:rPr>
        <w:t>elles occasionnent, vérifier les tarifs aériens, donner des conseils sur les pratiques du secteur et surveiller les contrats. Elles ont également recours à des services professionnels externes pour gérer leurs voyages et jouer un rôle consultatif en la matière. Elles confient l</w:t>
      </w:r>
      <w:r w:rsidR="00762E0A">
        <w:rPr>
          <w:bCs/>
        </w:rPr>
        <w:t>’</w:t>
      </w:r>
      <w:r w:rsidRPr="003B5EA4">
        <w:rPr>
          <w:bCs/>
        </w:rPr>
        <w:t>entière responsabilité de l</w:t>
      </w:r>
      <w:r w:rsidR="00762E0A">
        <w:rPr>
          <w:bCs/>
        </w:rPr>
        <w:t>’</w:t>
      </w:r>
      <w:r w:rsidRPr="003B5EA4">
        <w:rPr>
          <w:bCs/>
        </w:rPr>
        <w:t>exécution des aspects opérationnels de leurs politiques d</w:t>
      </w:r>
      <w:r w:rsidR="00762E0A">
        <w:rPr>
          <w:bCs/>
        </w:rPr>
        <w:t>’</w:t>
      </w:r>
      <w:r w:rsidRPr="003B5EA4">
        <w:rPr>
          <w:bCs/>
        </w:rPr>
        <w:t xml:space="preserve">administration des voyages aux sociétés de gestion de voyages avec lesquelles elles travaillent. </w:t>
      </w:r>
      <w:r w:rsidRPr="003B5EA4">
        <w:rPr>
          <w:b/>
          <w:bCs/>
        </w:rPr>
        <w:t>Étant donné que les voyages en avion et les prestations connexes représentent un poste important dans les budgets de la plupart des entités des Nations Unies, leur gestion doit être surveillée et évaluée pour en assurer la conformité aux politiques en vigueur et pour déterminer les mesures susceptibles d</w:t>
      </w:r>
      <w:r w:rsidR="00762E0A">
        <w:rPr>
          <w:b/>
          <w:bCs/>
        </w:rPr>
        <w:t>’</w:t>
      </w:r>
      <w:r w:rsidRPr="003B5EA4">
        <w:rPr>
          <w:b/>
          <w:bCs/>
        </w:rPr>
        <w:t>en augmenter l</w:t>
      </w:r>
      <w:r w:rsidR="00762E0A">
        <w:rPr>
          <w:b/>
          <w:bCs/>
        </w:rPr>
        <w:t>’</w:t>
      </w:r>
      <w:r w:rsidRPr="003B5EA4">
        <w:rPr>
          <w:b/>
          <w:bCs/>
        </w:rPr>
        <w:t>efficience. Les bonnes pratiques et autres mesures adoptées à cet égard devraient être mises en commun au moyen du mécanisme informel du Réseau interinstitutions Voyages.</w:t>
      </w:r>
    </w:p>
    <w:p w:rsidR="00235D34" w:rsidRPr="003B5EA4" w:rsidRDefault="00235D34" w:rsidP="00235D34">
      <w:pPr>
        <w:pStyle w:val="SingleTxtG"/>
        <w:rPr>
          <w:bCs/>
        </w:rPr>
      </w:pPr>
      <w:r w:rsidRPr="003B5EA4">
        <w:t>171.</w:t>
      </w:r>
      <w:r w:rsidRPr="003B5EA4">
        <w:tab/>
      </w:r>
      <w:r w:rsidRPr="003B5EA4">
        <w:rPr>
          <w:bCs/>
        </w:rPr>
        <w:t>La mise en œuvre de la recommandation suivante devrait renforcer le contrôle des activités relatives aux voyages et en favoriser la bonne exécution.</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235D34" w:rsidRPr="003B5EA4" w:rsidTr="006556B5">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235D34" w:rsidRPr="003B5EA4" w:rsidRDefault="00235D34" w:rsidP="006556B5"/>
        </w:tc>
      </w:tr>
      <w:tr w:rsidR="00235D34" w:rsidRPr="003B5EA4" w:rsidTr="006556B5">
        <w:trPr>
          <w:jc w:val="center"/>
        </w:trPr>
        <w:tc>
          <w:tcPr>
            <w:tcW w:w="7653" w:type="dxa"/>
            <w:tcBorders>
              <w:left w:val="single" w:sz="4" w:space="0" w:color="auto"/>
              <w:bottom w:val="nil"/>
              <w:right w:val="single" w:sz="4" w:space="0" w:color="auto"/>
            </w:tcBorders>
            <w:shd w:val="clear" w:color="auto" w:fill="auto"/>
          </w:tcPr>
          <w:p w:rsidR="00235D34" w:rsidRPr="003B5EA4" w:rsidRDefault="00235D34" w:rsidP="006556B5">
            <w:pPr>
              <w:spacing w:after="120"/>
              <w:jc w:val="both"/>
            </w:pPr>
            <w:r w:rsidRPr="003B5EA4">
              <w:rPr>
                <w:b/>
              </w:rPr>
              <w:t>Recommandation 5</w:t>
            </w:r>
          </w:p>
        </w:tc>
      </w:tr>
      <w:tr w:rsidR="00235D34" w:rsidRPr="003B5EA4" w:rsidTr="006556B5">
        <w:trPr>
          <w:jc w:val="center"/>
        </w:trPr>
        <w:tc>
          <w:tcPr>
            <w:tcW w:w="7653" w:type="dxa"/>
            <w:tcBorders>
              <w:left w:val="single" w:sz="4" w:space="0" w:color="auto"/>
              <w:bottom w:val="nil"/>
              <w:right w:val="single" w:sz="4" w:space="0" w:color="auto"/>
            </w:tcBorders>
            <w:shd w:val="clear" w:color="auto" w:fill="auto"/>
          </w:tcPr>
          <w:p w:rsidR="00235D34" w:rsidRPr="003B5EA4" w:rsidRDefault="00235D34" w:rsidP="00235D34">
            <w:pPr>
              <w:spacing w:after="120"/>
              <w:ind w:firstLine="567"/>
              <w:jc w:val="both"/>
              <w:rPr>
                <w:b/>
              </w:rPr>
            </w:pPr>
            <w:r w:rsidRPr="003B5EA4">
              <w:rPr>
                <w:b/>
              </w:rPr>
              <w:t>Les chefs de secrétariat des organismes des Nations Unies devraient prévoir des contrôles et des évaluations périodiques de la conformité des activités relatives à leurs voyages en avion avec leurs propres politiques en la matière, effectuer périodiquement des analyses de risques et définir des mesures d</w:t>
            </w:r>
            <w:r w:rsidR="00762E0A">
              <w:rPr>
                <w:b/>
              </w:rPr>
              <w:t>’</w:t>
            </w:r>
            <w:r w:rsidRPr="003B5EA4">
              <w:rPr>
                <w:b/>
              </w:rPr>
              <w:t>efficience supplémentaires avant leur prochain cycle budgétaire.</w:t>
            </w:r>
          </w:p>
        </w:tc>
      </w:tr>
      <w:tr w:rsidR="00235D34" w:rsidRPr="003B5EA4" w:rsidTr="006556B5">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235D34" w:rsidRPr="003B5EA4" w:rsidRDefault="00235D34" w:rsidP="006556B5"/>
        </w:tc>
      </w:tr>
    </w:tbl>
    <w:p w:rsidR="00235D34" w:rsidRPr="003B5EA4" w:rsidRDefault="00BD374B" w:rsidP="00626DCE">
      <w:pPr>
        <w:pStyle w:val="HChG"/>
        <w:spacing w:before="320" w:after="200"/>
      </w:pPr>
      <w:r w:rsidRPr="003B5EA4">
        <w:br w:type="page"/>
      </w:r>
      <w:r w:rsidRPr="003B5EA4">
        <w:lastRenderedPageBreak/>
        <w:tab/>
        <w:t>IX.</w:t>
      </w:r>
      <w:r w:rsidRPr="003B5EA4">
        <w:tab/>
        <w:t>Quelques mesures d</w:t>
      </w:r>
      <w:r w:rsidR="00762E0A">
        <w:t>’</w:t>
      </w:r>
      <w:r w:rsidRPr="003B5EA4">
        <w:t>efficience et d</w:t>
      </w:r>
      <w:r w:rsidR="00762E0A">
        <w:t>’</w:t>
      </w:r>
      <w:r w:rsidRPr="003B5EA4">
        <w:t>économie</w:t>
      </w:r>
    </w:p>
    <w:p w:rsidR="00BD374B" w:rsidRPr="003B5EA4" w:rsidRDefault="00BD374B" w:rsidP="00BD374B">
      <w:pPr>
        <w:pStyle w:val="SingleTxtG"/>
      </w:pPr>
      <w:r w:rsidRPr="003B5EA4">
        <w:t>172.</w:t>
      </w:r>
      <w:r w:rsidRPr="003B5EA4">
        <w:tab/>
        <w:t>L</w:t>
      </w:r>
      <w:r w:rsidR="00762E0A">
        <w:t>’</w:t>
      </w:r>
      <w:r w:rsidRPr="003B5EA4">
        <w:t>Assemblée générale a maintes fois prié le Secrétaire général, en sa qualité de Président du CCS, d</w:t>
      </w:r>
      <w:r w:rsidR="00762E0A">
        <w:t>’</w:t>
      </w:r>
      <w:r w:rsidRPr="003B5EA4">
        <w:t xml:space="preserve">examiner toutes les possibilités de réduction du coût des voyages en avion, </w:t>
      </w:r>
      <w:r w:rsidR="0055478D">
        <w:t>y compris</w:t>
      </w:r>
      <w:r w:rsidRPr="003B5EA4">
        <w:t xml:space="preserve"> divers moyens de rationaliser et de rendre plus efficace l</w:t>
      </w:r>
      <w:r w:rsidR="00762E0A">
        <w:t>’</w:t>
      </w:r>
      <w:r w:rsidRPr="003B5EA4">
        <w:t>utilisation des ressources allouées à ces voyages à l</w:t>
      </w:r>
      <w:r w:rsidR="00762E0A">
        <w:t>’</w:t>
      </w:r>
      <w:r w:rsidRPr="003B5EA4">
        <w:t>échelle du système des Nations Unies</w:t>
      </w:r>
      <w:r w:rsidRPr="003B5EA4">
        <w:rPr>
          <w:rStyle w:val="Appelnotedebasdep"/>
        </w:rPr>
        <w:footnoteReference w:id="155"/>
      </w:r>
      <w:r w:rsidRPr="003B5EA4">
        <w:t>. Comme suite aux appels de l</w:t>
      </w:r>
      <w:r w:rsidR="00762E0A">
        <w:t>’</w:t>
      </w:r>
      <w:r w:rsidRPr="003B5EA4">
        <w:t>Assemblée générale, un large éventail de mesures ont été mises en place par les organismes des Nations Unies afin de continuer d</w:t>
      </w:r>
      <w:r w:rsidR="00762E0A">
        <w:t>’</w:t>
      </w:r>
      <w:r w:rsidRPr="003B5EA4">
        <w:t>améliorer l</w:t>
      </w:r>
      <w:r w:rsidR="00762E0A">
        <w:t>’</w:t>
      </w:r>
      <w:r w:rsidRPr="003B5EA4">
        <w:t>administration des voyages en avion et de réaliser des gains d</w:t>
      </w:r>
      <w:r w:rsidR="00762E0A">
        <w:t>’</w:t>
      </w:r>
      <w:r w:rsidRPr="003B5EA4">
        <w:t>efficience et des économies, comme exposé ci</w:t>
      </w:r>
      <w:r w:rsidR="00EB3F53">
        <w:noBreakHyphen/>
      </w:r>
      <w:r w:rsidRPr="003B5EA4">
        <w:t>dessous.</w:t>
      </w:r>
    </w:p>
    <w:p w:rsidR="00BD374B" w:rsidRPr="003B5EA4" w:rsidRDefault="00BD374B" w:rsidP="00626DCE">
      <w:pPr>
        <w:pStyle w:val="H1G"/>
        <w:spacing w:before="320" w:after="200"/>
      </w:pPr>
      <w:r w:rsidRPr="003B5EA4">
        <w:tab/>
        <w:t>A.</w:t>
      </w:r>
      <w:r w:rsidRPr="003B5EA4">
        <w:tab/>
        <w:t>Solutions de substitution aux voyages en avion</w:t>
      </w:r>
    </w:p>
    <w:p w:rsidR="00BD374B" w:rsidRPr="003B5EA4" w:rsidRDefault="00BD374B" w:rsidP="00BD374B">
      <w:pPr>
        <w:pStyle w:val="SingleTxtG"/>
      </w:pPr>
      <w:r w:rsidRPr="003B5EA4">
        <w:t>173.</w:t>
      </w:r>
      <w:r w:rsidRPr="003B5EA4">
        <w:tab/>
        <w:t xml:space="preserve">La plupart des organisations interrogées, </w:t>
      </w:r>
      <w:r w:rsidR="0055478D">
        <w:t>y compris</w:t>
      </w:r>
      <w:r w:rsidRPr="003B5EA4">
        <w:t xml:space="preserve"> celles qui représentent le secteur privé, ont indiqué que la nécessité de voyager s</w:t>
      </w:r>
      <w:r w:rsidR="00762E0A">
        <w:t>’</w:t>
      </w:r>
      <w:r w:rsidRPr="003B5EA4">
        <w:t>était significativement amoindrie au fur et à mesure qu</w:t>
      </w:r>
      <w:r w:rsidR="00762E0A">
        <w:t>’</w:t>
      </w:r>
      <w:r w:rsidRPr="003B5EA4">
        <w:t>avaient augmenté la disponibilité, l</w:t>
      </w:r>
      <w:r w:rsidR="00762E0A">
        <w:t>’</w:t>
      </w:r>
      <w:r w:rsidRPr="003B5EA4">
        <w:t>accessibilité matérielle et financière, et l</w:t>
      </w:r>
      <w:r w:rsidR="00762E0A">
        <w:t>’</w:t>
      </w:r>
      <w:r w:rsidRPr="003B5EA4">
        <w:t>usage des moyens et plateformes modernes de communication, tels que la téléconférence, la visioconférence et autres dispositifs fondés sur les TIC. Le recours à ces modes de communication de substitution avait permis de réduire le nombre de déplacements coûteux en temps et en argent. Il peut aussi jouer favorablement sur la productivité du personnel et élargir le champ de certaines activités réalisables à distance comme l</w:t>
      </w:r>
      <w:r w:rsidR="00762E0A">
        <w:t>’</w:t>
      </w:r>
      <w:r w:rsidRPr="003B5EA4">
        <w:t>apprentissage et la formation ou les réunions et les entretiens.</w:t>
      </w:r>
    </w:p>
    <w:p w:rsidR="00BD374B" w:rsidRPr="003B5EA4" w:rsidRDefault="00BD374B" w:rsidP="00BD374B">
      <w:pPr>
        <w:pStyle w:val="SingleTxtG"/>
      </w:pPr>
      <w:r w:rsidRPr="003B5EA4">
        <w:t>174.</w:t>
      </w:r>
      <w:r w:rsidRPr="003B5EA4">
        <w:tab/>
        <w:t>Dans sa résolution 69/274, l</w:t>
      </w:r>
      <w:r w:rsidR="00762E0A">
        <w:t>’</w:t>
      </w:r>
      <w:r w:rsidRPr="003B5EA4">
        <w:t>Assemblée générale a prié le Secrétaire général de favoriser l</w:t>
      </w:r>
      <w:r w:rsidR="00762E0A">
        <w:t>’</w:t>
      </w:r>
      <w:r w:rsidRPr="003B5EA4">
        <w:t>utilisation de nouveaux moyens de communication et de représentation en s</w:t>
      </w:r>
      <w:r w:rsidR="00762E0A">
        <w:t>’</w:t>
      </w:r>
      <w:r w:rsidRPr="003B5EA4">
        <w:t>attachant à n</w:t>
      </w:r>
      <w:r w:rsidR="00762E0A">
        <w:t>’</w:t>
      </w:r>
      <w:r w:rsidRPr="003B5EA4">
        <w:t>autoriser les voyages que si une rencontre en personne était nécessaire à la bonne exécution du mandat</w:t>
      </w:r>
      <w:r w:rsidRPr="003B5EA4">
        <w:rPr>
          <w:rStyle w:val="Appelnotedebasdep"/>
        </w:rPr>
        <w:footnoteReference w:id="156"/>
      </w:r>
      <w:r w:rsidRPr="003B5EA4">
        <w:t>. En outre, en 2015, la Commission consultative pour les questions administratives et budgétaires a souligné qu</w:t>
      </w:r>
      <w:r w:rsidR="00762E0A">
        <w:t>’</w:t>
      </w:r>
      <w:r w:rsidRPr="003B5EA4">
        <w:t>avant d</w:t>
      </w:r>
      <w:r w:rsidR="00762E0A">
        <w:t>’</w:t>
      </w:r>
      <w:r w:rsidRPr="003B5EA4">
        <w:t>autoriser un voyage, il convenait de déterminer les répercussions qu</w:t>
      </w:r>
      <w:r w:rsidR="00762E0A">
        <w:t>’</w:t>
      </w:r>
      <w:r w:rsidRPr="003B5EA4">
        <w:t>une absence prolongée du fonctionnaire aurait sur la productivité afin d</w:t>
      </w:r>
      <w:r w:rsidR="00762E0A">
        <w:t>’</w:t>
      </w:r>
      <w:r w:rsidRPr="003B5EA4">
        <w:t>établir si l</w:t>
      </w:r>
      <w:r w:rsidR="00762E0A">
        <w:t>’</w:t>
      </w:r>
      <w:r w:rsidRPr="003B5EA4">
        <w:t>utilisation d</w:t>
      </w:r>
      <w:r w:rsidR="00762E0A">
        <w:t>’</w:t>
      </w:r>
      <w:r w:rsidRPr="003B5EA4">
        <w:t>autres moyens de représentation ou de communication serait préférable</w:t>
      </w:r>
      <w:r w:rsidRPr="003B5EA4">
        <w:rPr>
          <w:rStyle w:val="Appelnotedebasdep"/>
        </w:rPr>
        <w:footnoteReference w:id="157"/>
      </w:r>
      <w:r w:rsidRPr="003B5EA4">
        <w:t>.</w:t>
      </w:r>
    </w:p>
    <w:p w:rsidR="00BD374B" w:rsidRPr="003B5EA4" w:rsidRDefault="00BD374B" w:rsidP="00BD374B">
      <w:pPr>
        <w:pStyle w:val="SingleTxtG"/>
      </w:pPr>
      <w:r w:rsidRPr="003B5EA4">
        <w:t>175.</w:t>
      </w:r>
      <w:r w:rsidRPr="003B5EA4">
        <w:tab/>
        <w:t>L</w:t>
      </w:r>
      <w:r w:rsidR="00762E0A">
        <w:t>’</w:t>
      </w:r>
      <w:r w:rsidRPr="003B5EA4">
        <w:t>examen a permis d</w:t>
      </w:r>
      <w:r w:rsidR="00762E0A">
        <w:t>’</w:t>
      </w:r>
      <w:r w:rsidRPr="003B5EA4">
        <w:t>établir que cinq organismes (HCR, OIT, ONU, ONUDC et PNUD) demandaient à leurs gestionnaires de programmes de certifier, avant d</w:t>
      </w:r>
      <w:r w:rsidR="00762E0A">
        <w:t>’</w:t>
      </w:r>
      <w:r w:rsidRPr="003B5EA4">
        <w:t>autoriser tout voyage officiel, que les autres possibilités avaient été soigneusement examinées et jugées inadéquates en l</w:t>
      </w:r>
      <w:r w:rsidR="00762E0A">
        <w:t>’</w:t>
      </w:r>
      <w:r w:rsidRPr="003B5EA4">
        <w:t>espèce. L</w:t>
      </w:r>
      <w:r w:rsidR="00762E0A">
        <w:t>’</w:t>
      </w:r>
      <w:r w:rsidRPr="003B5EA4">
        <w:t>Inspectrice salue cette bonne pratique et est d</w:t>
      </w:r>
      <w:r w:rsidR="00762E0A">
        <w:t>’</w:t>
      </w:r>
      <w:r w:rsidRPr="003B5EA4">
        <w:t>avis que les chefs de secrétariat des organismes des Nations Unies devraient instaurer un tel mécanisme de certification dans leurs procédures d</w:t>
      </w:r>
      <w:r w:rsidR="00762E0A">
        <w:t>’</w:t>
      </w:r>
      <w:r w:rsidRPr="003B5EA4">
        <w:t>autorisation des voyages.</w:t>
      </w:r>
    </w:p>
    <w:p w:rsidR="00BD374B" w:rsidRPr="003B5EA4" w:rsidRDefault="00BD374B" w:rsidP="00BD374B">
      <w:pPr>
        <w:pStyle w:val="H23G"/>
      </w:pPr>
      <w:r w:rsidRPr="003B5EA4">
        <w:tab/>
      </w:r>
      <w:r w:rsidRPr="003B5EA4">
        <w:tab/>
        <w:t>Investir dans les technologies de la communication pour accroître l</w:t>
      </w:r>
      <w:r w:rsidR="00762E0A">
        <w:t>’</w:t>
      </w:r>
      <w:r w:rsidRPr="003B5EA4">
        <w:t>efficience</w:t>
      </w:r>
    </w:p>
    <w:p w:rsidR="00877E39" w:rsidRPr="003B5EA4" w:rsidRDefault="004B4A82" w:rsidP="004B4A82">
      <w:pPr>
        <w:pStyle w:val="SingleTxtG"/>
      </w:pPr>
      <w:r w:rsidRPr="003B5EA4">
        <w:t>176.</w:t>
      </w:r>
      <w:r w:rsidRPr="003B5EA4">
        <w:tab/>
        <w:t>Bien que la plupart des entités des Nations Unies interrogées aient déclaré encourager vivement l</w:t>
      </w:r>
      <w:r w:rsidR="00762E0A">
        <w:t>’</w:t>
      </w:r>
      <w:r w:rsidRPr="003B5EA4">
        <w:t>utilisation de la téléconférence, de la visioconférence et de la webconférence en remplacement des réunions en personne, l</w:t>
      </w:r>
      <w:r w:rsidR="00762E0A">
        <w:t>’</w:t>
      </w:r>
      <w:r w:rsidRPr="003B5EA4">
        <w:t>accès à ces moyens techniques ainsi que la disponibilité de la largeur de bande Internet nécessaire pour bien les utiliser n</w:t>
      </w:r>
      <w:r w:rsidR="00762E0A">
        <w:t>’</w:t>
      </w:r>
      <w:r w:rsidRPr="003B5EA4">
        <w:t>était pas garantie, que ce soit d</w:t>
      </w:r>
      <w:r w:rsidR="00762E0A">
        <w:t>’</w:t>
      </w:r>
      <w:r w:rsidRPr="003B5EA4">
        <w:t>un pays à un autre ou au sein d</w:t>
      </w:r>
      <w:r w:rsidR="00762E0A">
        <w:t>’</w:t>
      </w:r>
      <w:r w:rsidRPr="003B5EA4">
        <w:t>un même pays.</w:t>
      </w:r>
    </w:p>
    <w:p w:rsidR="004B4A82" w:rsidRPr="003B5EA4" w:rsidRDefault="004B4A82" w:rsidP="004B4A82">
      <w:pPr>
        <w:pStyle w:val="SingleTxtG"/>
      </w:pPr>
      <w:r w:rsidRPr="003B5EA4">
        <w:t>177.</w:t>
      </w:r>
      <w:r w:rsidRPr="003B5EA4">
        <w:tab/>
        <w:t>Le présent examen a permis de constater que certains organismes des Nations Unies avaient entrepris d</w:t>
      </w:r>
      <w:r w:rsidR="00762E0A">
        <w:t>’</w:t>
      </w:r>
      <w:r w:rsidRPr="003B5EA4">
        <w:t xml:space="preserve">investir dans les technologies de la communication destinées à se substituer aux voyages. Ainsi le </w:t>
      </w:r>
      <w:r w:rsidRPr="003B5EA4">
        <w:rPr>
          <w:bCs/>
        </w:rPr>
        <w:t>PNUD met-il à la disposition de son siège et de ses bureaux de pays des moyens de visioconférence et de réunion en ligne dont il encourage activement l</w:t>
      </w:r>
      <w:r w:rsidR="00762E0A">
        <w:rPr>
          <w:bCs/>
        </w:rPr>
        <w:t>’</w:t>
      </w:r>
      <w:r w:rsidRPr="003B5EA4">
        <w:rPr>
          <w:bCs/>
        </w:rPr>
        <w:t>utilisation</w:t>
      </w:r>
      <w:r w:rsidRPr="003B5EA4">
        <w:rPr>
          <w:rStyle w:val="Appelnotedebasdep"/>
        </w:rPr>
        <w:footnoteReference w:id="158"/>
      </w:r>
      <w:r w:rsidRPr="003B5EA4">
        <w:rPr>
          <w:bCs/>
        </w:rPr>
        <w:t>. L</w:t>
      </w:r>
      <w:r w:rsidR="00762E0A">
        <w:rPr>
          <w:bCs/>
        </w:rPr>
        <w:t>’</w:t>
      </w:r>
      <w:r w:rsidRPr="003B5EA4">
        <w:t>ONUSIDA s</w:t>
      </w:r>
      <w:r w:rsidR="00762E0A">
        <w:t>’</w:t>
      </w:r>
      <w:r w:rsidRPr="003B5EA4">
        <w:t>est doté d</w:t>
      </w:r>
      <w:r w:rsidR="00762E0A">
        <w:t>’</w:t>
      </w:r>
      <w:r w:rsidRPr="003B5EA4">
        <w:t>un réseau mondial de vidéophonie par Internet accessible à tous ses bureaux dans le monde.</w:t>
      </w:r>
    </w:p>
    <w:p w:rsidR="004B4A82" w:rsidRPr="003B5EA4" w:rsidRDefault="009F3C3C" w:rsidP="009F3C3C">
      <w:pPr>
        <w:pStyle w:val="SingleTxtG"/>
      </w:pPr>
      <w:r w:rsidRPr="003B5EA4">
        <w:lastRenderedPageBreak/>
        <w:t>178.</w:t>
      </w:r>
      <w:r w:rsidRPr="003B5EA4">
        <w:tab/>
      </w:r>
      <w:r w:rsidRPr="003B5EA4">
        <w:rPr>
          <w:bCs/>
        </w:rPr>
        <w:t>Dans le secteur privé, en réponse à de récents faits de sécurité et à l</w:t>
      </w:r>
      <w:r w:rsidR="00762E0A">
        <w:rPr>
          <w:bCs/>
        </w:rPr>
        <w:t>’</w:t>
      </w:r>
      <w:r w:rsidRPr="003B5EA4">
        <w:rPr>
          <w:bCs/>
        </w:rPr>
        <w:t>impératif du contrôle des coûts mis en avant par la direction,</w:t>
      </w:r>
      <w:r w:rsidRPr="003B5EA4">
        <w:t xml:space="preserve"> Japan Tobacco International utilise aujourd</w:t>
      </w:r>
      <w:r w:rsidR="00762E0A">
        <w:t>’</w:t>
      </w:r>
      <w:r w:rsidRPr="003B5EA4">
        <w:t>hui plus souvent des méthodes de communication qui se substituent aux voyages et qui en ont réduit le nombre 30 % en quatre ans. L</w:t>
      </w:r>
      <w:r w:rsidR="00762E0A">
        <w:t>’</w:t>
      </w:r>
      <w:r w:rsidRPr="003B5EA4">
        <w:t>OCDE innove en la matière en prélevant une taxe écologique interne de 0,5 % sur chaque billet d</w:t>
      </w:r>
      <w:r w:rsidR="00762E0A">
        <w:t>’</w:t>
      </w:r>
      <w:r w:rsidRPr="003B5EA4">
        <w:t>avion acheté et en consacrant les quelque 150 000 à 200 000 euros de recettes annuelles ainsi produites au perfectionnement ou à l</w:t>
      </w:r>
      <w:r w:rsidR="00762E0A">
        <w:t>’</w:t>
      </w:r>
      <w:r w:rsidRPr="003B5EA4">
        <w:t>acquisition de ses équipements de visioconférence.</w:t>
      </w:r>
    </w:p>
    <w:p w:rsidR="009F3C3C" w:rsidRPr="003B5EA4" w:rsidRDefault="009F3C3C" w:rsidP="009F3C3C">
      <w:pPr>
        <w:pStyle w:val="SingleTxtG"/>
      </w:pPr>
      <w:r w:rsidRPr="003B5EA4">
        <w:t>179.</w:t>
      </w:r>
      <w:r w:rsidRPr="003B5EA4">
        <w:tab/>
        <w:t>L</w:t>
      </w:r>
      <w:r w:rsidR="00762E0A">
        <w:t>’</w:t>
      </w:r>
      <w:r w:rsidRPr="003B5EA4">
        <w:t>Inspectrice est d</w:t>
      </w:r>
      <w:r w:rsidR="00762E0A">
        <w:t>’</w:t>
      </w:r>
      <w:r w:rsidRPr="003B5EA4">
        <w:t>avis que les organismes devraient envisager d</w:t>
      </w:r>
      <w:r w:rsidR="00762E0A">
        <w:t>’</w:t>
      </w:r>
      <w:r w:rsidRPr="003B5EA4">
        <w:t>investir une portion des économies réalisées par la réduction des voyages en avion à l</w:t>
      </w:r>
      <w:r w:rsidR="00762E0A">
        <w:t>’</w:t>
      </w:r>
      <w:r w:rsidRPr="003B5EA4">
        <w:t>amélioration de l</w:t>
      </w:r>
      <w:r w:rsidR="00762E0A">
        <w:t>’</w:t>
      </w:r>
      <w:r w:rsidRPr="003B5EA4">
        <w:t>infrastructure de communication. Pour être durable à moyen et long terme, la réduction des voyages appelle le développement de moyens de remplacement viables.</w:t>
      </w:r>
    </w:p>
    <w:p w:rsidR="009F3C3C" w:rsidRPr="003B5EA4" w:rsidRDefault="009F3C3C" w:rsidP="009F3C3C">
      <w:pPr>
        <w:pStyle w:val="SingleTxtG"/>
        <w:rPr>
          <w:b/>
        </w:rPr>
      </w:pPr>
      <w:r w:rsidRPr="003B5EA4">
        <w:t>180.</w:t>
      </w:r>
      <w:r w:rsidRPr="003B5EA4">
        <w:tab/>
      </w:r>
      <w:r w:rsidRPr="003B5EA4">
        <w:rPr>
          <w:b/>
        </w:rPr>
        <w:t>L</w:t>
      </w:r>
      <w:r w:rsidR="00762E0A">
        <w:rPr>
          <w:b/>
        </w:rPr>
        <w:t>’</w:t>
      </w:r>
      <w:r w:rsidRPr="003B5EA4">
        <w:rPr>
          <w:b/>
        </w:rPr>
        <w:t>Inspectrice est d</w:t>
      </w:r>
      <w:r w:rsidR="00762E0A">
        <w:rPr>
          <w:b/>
        </w:rPr>
        <w:t>’</w:t>
      </w:r>
      <w:r w:rsidRPr="003B5EA4">
        <w:rPr>
          <w:b/>
        </w:rPr>
        <w:t>avis que pour accroître les gains d</w:t>
      </w:r>
      <w:r w:rsidR="00762E0A">
        <w:rPr>
          <w:b/>
        </w:rPr>
        <w:t>’</w:t>
      </w:r>
      <w:r w:rsidRPr="003B5EA4">
        <w:rPr>
          <w:b/>
        </w:rPr>
        <w:t>efficience et les économies, les chefs de secrétariat des organismes des Nations Unies devraient envisager concrètement d</w:t>
      </w:r>
      <w:r w:rsidR="00762E0A">
        <w:rPr>
          <w:b/>
        </w:rPr>
        <w:t>’</w:t>
      </w:r>
      <w:r w:rsidRPr="003B5EA4">
        <w:rPr>
          <w:b/>
        </w:rPr>
        <w:t>investir dans les technologies de la communication au niveau de leurs sièges, bureaux régionaux et bureaux de pays, de sorte à ne plus devoir compter autant sur les voyages en avion pour exécuter leurs mandats en toute efficacité et efficience.</w:t>
      </w:r>
    </w:p>
    <w:p w:rsidR="009F3C3C" w:rsidRPr="003B5EA4" w:rsidRDefault="009F3C3C" w:rsidP="009F3C3C">
      <w:pPr>
        <w:pStyle w:val="H23G"/>
      </w:pPr>
      <w:r w:rsidRPr="003B5EA4">
        <w:tab/>
      </w:r>
      <w:r w:rsidRPr="003B5EA4">
        <w:tab/>
        <w:t>Limiter le nombre des voyages et des participants pour accroître les économies</w:t>
      </w:r>
    </w:p>
    <w:p w:rsidR="009F3C3C" w:rsidRPr="003B5EA4" w:rsidRDefault="009F3C3C" w:rsidP="009F3C3C">
      <w:pPr>
        <w:pStyle w:val="SingleTxtG"/>
      </w:pPr>
      <w:r w:rsidRPr="003B5EA4">
        <w:t>181.</w:t>
      </w:r>
      <w:r w:rsidRPr="003B5EA4">
        <w:tab/>
      </w:r>
      <w:r w:rsidR="00363A9B" w:rsidRPr="003B5EA4">
        <w:t>Les organismes des Nations Unies doivent examiner de plus près l</w:t>
      </w:r>
      <w:r w:rsidR="00762E0A">
        <w:t>’</w:t>
      </w:r>
      <w:r w:rsidR="00363A9B" w:rsidRPr="003B5EA4">
        <w:t>opportunité des voyages. Les bonnes pratiques ci-dessous ont été adoptées par des organismes pour limiter le nombre de leurs voyageurs. Elles sont exposées aux fins de leur adaptation à l</w:t>
      </w:r>
      <w:r w:rsidR="00762E0A">
        <w:t>’</w:t>
      </w:r>
      <w:r w:rsidR="00363A9B" w:rsidRPr="003B5EA4">
        <w:t>échelle du système :</w:t>
      </w:r>
    </w:p>
    <w:p w:rsidR="00363A9B" w:rsidRPr="003B5EA4" w:rsidRDefault="00363A9B" w:rsidP="00363A9B">
      <w:pPr>
        <w:pStyle w:val="Bullet1G"/>
      </w:pPr>
      <w:r w:rsidRPr="003B5EA4">
        <w:rPr>
          <w:b/>
        </w:rPr>
        <w:t xml:space="preserve">Limitation du nombre de participants appelés à se rendre aux réunions officielles. </w:t>
      </w:r>
      <w:r w:rsidRPr="003B5EA4">
        <w:t>Cette mesure est appliquée par le FNUAP, l</w:t>
      </w:r>
      <w:r w:rsidR="00762E0A">
        <w:t>’</w:t>
      </w:r>
      <w:r w:rsidRPr="003B5EA4">
        <w:t>OMPI, le PNUD et l</w:t>
      </w:r>
      <w:r w:rsidR="00762E0A">
        <w:t>’</w:t>
      </w:r>
      <w:r w:rsidRPr="003B5EA4">
        <w:t>UIT. L</w:t>
      </w:r>
      <w:r w:rsidR="00762E0A">
        <w:t>’</w:t>
      </w:r>
      <w:r w:rsidRPr="003B5EA4">
        <w:t>OMPI impose une limite d</w:t>
      </w:r>
      <w:r w:rsidR="00762E0A">
        <w:t>’</w:t>
      </w:r>
      <w:r w:rsidRPr="003B5EA4">
        <w:t>une personne pour les voyages relatifs à des manifestations nationale</w:t>
      </w:r>
      <w:r w:rsidR="00070D17">
        <w:t>s</w:t>
      </w:r>
      <w:r w:rsidRPr="003B5EA4">
        <w:t xml:space="preserve"> et de deux personnes pour les manifestations internationales et régionales. Les demandes dépassant ces limites sont sujettes à l</w:t>
      </w:r>
      <w:r w:rsidR="00762E0A">
        <w:t>’</w:t>
      </w:r>
      <w:r w:rsidRPr="003B5EA4">
        <w:t>autorisation écrite du Directeur général et doivent préciser les avantages pour l</w:t>
      </w:r>
      <w:r w:rsidR="00762E0A">
        <w:t>’</w:t>
      </w:r>
      <w:r w:rsidRPr="003B5EA4">
        <w:t>organisation d</w:t>
      </w:r>
      <w:r w:rsidR="00762E0A">
        <w:t>’</w:t>
      </w:r>
      <w:r w:rsidRPr="003B5EA4">
        <w:t>une représentation plus importante. Au FNUAP et au PNUD, la participation aux réunions des Nations Unies de délégations officielles comptant deux membres ou plus par bureau, dans le même rôle de fond, sont sujettes à l</w:t>
      </w:r>
      <w:r w:rsidR="00762E0A">
        <w:t>’</w:t>
      </w:r>
      <w:r w:rsidRPr="003B5EA4">
        <w:t>autorisation préalable de l</w:t>
      </w:r>
      <w:r w:rsidR="00762E0A">
        <w:t>’</w:t>
      </w:r>
      <w:r w:rsidRPr="003B5EA4">
        <w:t>équipe dirigeante. La politique de l</w:t>
      </w:r>
      <w:r w:rsidR="00762E0A">
        <w:t>’</w:t>
      </w:r>
      <w:r w:rsidRPr="003B5EA4">
        <w:t>OMS en matière de voyages dispose qu</w:t>
      </w:r>
      <w:r w:rsidR="00762E0A">
        <w:t>’</w:t>
      </w:r>
      <w:r w:rsidRPr="003B5EA4">
        <w:t>en cas de déplacement de plus d</w:t>
      </w:r>
      <w:r w:rsidR="00762E0A">
        <w:t>’</w:t>
      </w:r>
      <w:r w:rsidRPr="003B5EA4">
        <w:t>un membre du personnel pour assister à la même réunion, tous les voyageurs doivent avoir un rôle particulier dans le cadre de la manifestation visée ;</w:t>
      </w:r>
    </w:p>
    <w:p w:rsidR="00363A9B" w:rsidRPr="003B5EA4" w:rsidRDefault="006556B5" w:rsidP="00363A9B">
      <w:pPr>
        <w:pStyle w:val="Bullet1G"/>
      </w:pPr>
      <w:r w:rsidRPr="003B5EA4">
        <w:rPr>
          <w:b/>
        </w:rPr>
        <w:t>Représentation de l</w:t>
      </w:r>
      <w:r w:rsidR="00762E0A">
        <w:rPr>
          <w:b/>
        </w:rPr>
        <w:t>’</w:t>
      </w:r>
      <w:r w:rsidRPr="003B5EA4">
        <w:rPr>
          <w:b/>
        </w:rPr>
        <w:t xml:space="preserve">organisme par le personnel de ses bureaux situés dans les régions où se tiennent les réunions. </w:t>
      </w:r>
      <w:r w:rsidRPr="003B5EA4">
        <w:t>À ONU-Femmes, malgré l</w:t>
      </w:r>
      <w:r w:rsidR="00762E0A">
        <w:t>’</w:t>
      </w:r>
      <w:r w:rsidRPr="003B5EA4">
        <w:t>augmentation du nombre de projets, les dépenses afférentes aux voyages sont restées constantes, en partie grâce à la promotion vigoureuse de la visioconférence en substitution de certains voyages. En outre, les membres du personnel des bureaux sur le terrain sont chargés de représenter l</w:t>
      </w:r>
      <w:r w:rsidR="00762E0A">
        <w:t>’</w:t>
      </w:r>
      <w:r w:rsidRPr="003B5EA4">
        <w:t>organisme aux réunions régionales et locales, si nécessaire ;</w:t>
      </w:r>
    </w:p>
    <w:p w:rsidR="009F3C3C" w:rsidRPr="003B5EA4" w:rsidRDefault="006556B5" w:rsidP="006556B5">
      <w:pPr>
        <w:pStyle w:val="Bullet1G"/>
      </w:pPr>
      <w:r w:rsidRPr="003B5EA4">
        <w:t>Il est apparu au cours des entretiens que le fait d</w:t>
      </w:r>
      <w:r w:rsidR="00762E0A">
        <w:t>’</w:t>
      </w:r>
      <w:r w:rsidRPr="003B5EA4">
        <w:t>alterner les lieux où se tenaient les réunions occasionnait des frais de voyage considérable</w:t>
      </w:r>
      <w:r w:rsidR="00070D17">
        <w:t>s</w:t>
      </w:r>
      <w:r w:rsidRPr="003B5EA4">
        <w:t xml:space="preserve"> et représentait une charge administrative supplémentaire pour les organismes</w:t>
      </w:r>
      <w:r w:rsidRPr="003B5EA4">
        <w:rPr>
          <w:bCs/>
        </w:rPr>
        <w:t>.</w:t>
      </w:r>
    </w:p>
    <w:p w:rsidR="006556B5" w:rsidRPr="003B5EA4" w:rsidRDefault="006556B5" w:rsidP="006556B5">
      <w:pPr>
        <w:pStyle w:val="SingleTxtG"/>
        <w:rPr>
          <w:b/>
          <w:bCs/>
        </w:rPr>
      </w:pPr>
      <w:r w:rsidRPr="003B5EA4">
        <w:t>182.</w:t>
      </w:r>
      <w:r w:rsidRPr="003B5EA4">
        <w:tab/>
      </w:r>
      <w:r w:rsidRPr="003B5EA4">
        <w:rPr>
          <w:b/>
          <w:bCs/>
        </w:rPr>
        <w:t>L</w:t>
      </w:r>
      <w:r w:rsidR="00762E0A">
        <w:rPr>
          <w:b/>
          <w:bCs/>
        </w:rPr>
        <w:t>’</w:t>
      </w:r>
      <w:r w:rsidRPr="003B5EA4">
        <w:rPr>
          <w:b/>
          <w:bCs/>
        </w:rPr>
        <w:t>Inspectrice est d</w:t>
      </w:r>
      <w:r w:rsidR="00762E0A">
        <w:rPr>
          <w:b/>
          <w:bCs/>
        </w:rPr>
        <w:t>’</w:t>
      </w:r>
      <w:r w:rsidRPr="003B5EA4">
        <w:rPr>
          <w:b/>
          <w:bCs/>
        </w:rPr>
        <w:t>avis que les chefs de secrétariat des organismes des Nations Unies qui ne l</w:t>
      </w:r>
      <w:r w:rsidR="00762E0A">
        <w:rPr>
          <w:b/>
          <w:bCs/>
        </w:rPr>
        <w:t>’</w:t>
      </w:r>
      <w:r w:rsidRPr="003B5EA4">
        <w:rPr>
          <w:b/>
          <w:bCs/>
        </w:rPr>
        <w:t>ont pas encore fait devraient envisager la mise en application de directives limitant le nombre de fonctionnaires qui voyagent pour prendre part à des réunions, et qu</w:t>
      </w:r>
      <w:r w:rsidR="00762E0A">
        <w:rPr>
          <w:b/>
          <w:bCs/>
        </w:rPr>
        <w:t>’</w:t>
      </w:r>
      <w:r w:rsidRPr="003B5EA4">
        <w:rPr>
          <w:b/>
          <w:bCs/>
        </w:rPr>
        <w:t>ils devraient en outre encourager la représentation de leur organisme à de telles réunions par le personnel affecté dans la même région, pour autant qu</w:t>
      </w:r>
      <w:r w:rsidR="00762E0A">
        <w:rPr>
          <w:b/>
          <w:bCs/>
        </w:rPr>
        <w:t>’</w:t>
      </w:r>
      <w:r w:rsidRPr="003B5EA4">
        <w:rPr>
          <w:b/>
          <w:bCs/>
        </w:rPr>
        <w:t>il dispose de l</w:t>
      </w:r>
      <w:r w:rsidR="00762E0A">
        <w:rPr>
          <w:b/>
          <w:bCs/>
        </w:rPr>
        <w:t>’</w:t>
      </w:r>
      <w:r w:rsidRPr="003B5EA4">
        <w:rPr>
          <w:b/>
          <w:bCs/>
        </w:rPr>
        <w:t>expertise nécessaire.</w:t>
      </w:r>
    </w:p>
    <w:p w:rsidR="006556B5" w:rsidRPr="003B5EA4" w:rsidRDefault="006556B5" w:rsidP="006556B5">
      <w:pPr>
        <w:pStyle w:val="H1G"/>
      </w:pPr>
      <w:r w:rsidRPr="003B5EA4">
        <w:lastRenderedPageBreak/>
        <w:tab/>
        <w:t>B.</w:t>
      </w:r>
      <w:r w:rsidRPr="003B5EA4">
        <w:tab/>
        <w:t xml:space="preserve">Recours à des compagnies aériennes à bas prix pour les voyages </w:t>
      </w:r>
      <w:r w:rsidRPr="003B5EA4">
        <w:br/>
        <w:t>de courte durée, à la procédure d</w:t>
      </w:r>
      <w:r w:rsidR="00762E0A">
        <w:t>’</w:t>
      </w:r>
      <w:r w:rsidRPr="003B5EA4">
        <w:t>achat des billets par les voyageurs eux-mêmes et aux billets non remboursables</w:t>
      </w:r>
    </w:p>
    <w:p w:rsidR="00D97F50" w:rsidRPr="003B5EA4" w:rsidRDefault="00D97F50" w:rsidP="00D97F50">
      <w:pPr>
        <w:pStyle w:val="SingleTxtG"/>
        <w:rPr>
          <w:bCs/>
        </w:rPr>
      </w:pPr>
      <w:r w:rsidRPr="003B5EA4">
        <w:t>183.</w:t>
      </w:r>
      <w:r w:rsidRPr="003B5EA4">
        <w:tab/>
      </w:r>
      <w:r w:rsidRPr="003B5EA4">
        <w:rPr>
          <w:bCs/>
        </w:rPr>
        <w:t>La croissance rapide du secteur aérien mondial a été portée par l</w:t>
      </w:r>
      <w:r w:rsidR="00762E0A">
        <w:rPr>
          <w:bCs/>
        </w:rPr>
        <w:t>’</w:t>
      </w:r>
      <w:r w:rsidRPr="003B5EA4">
        <w:rPr>
          <w:bCs/>
        </w:rPr>
        <w:t>essor des compagnies aériennes à bas prix. Celles-ci contrôlent environ 25 % du secteur à l</w:t>
      </w:r>
      <w:r w:rsidR="00762E0A">
        <w:rPr>
          <w:bCs/>
        </w:rPr>
        <w:t>’</w:t>
      </w:r>
      <w:r w:rsidRPr="003B5EA4">
        <w:rPr>
          <w:bCs/>
        </w:rPr>
        <w:t>échelle mondiale et connaissent une croissance rapide dans les nouveaux marchés mondiaux</w:t>
      </w:r>
      <w:r w:rsidRPr="003B5EA4">
        <w:rPr>
          <w:rStyle w:val="Appelnotedebasdep"/>
        </w:rPr>
        <w:footnoteReference w:id="159"/>
      </w:r>
      <w:r w:rsidRPr="003B5EA4">
        <w:rPr>
          <w:bCs/>
        </w:rPr>
        <w:t>. Elles fonctionnent directement en ligne, leurs billets devant s</w:t>
      </w:r>
      <w:r w:rsidR="00762E0A">
        <w:rPr>
          <w:bCs/>
        </w:rPr>
        <w:t>’</w:t>
      </w:r>
      <w:r w:rsidRPr="003B5EA4">
        <w:rPr>
          <w:bCs/>
        </w:rPr>
        <w:t>acheter aussitôt réservés pour éviter d</w:t>
      </w:r>
      <w:r w:rsidR="00762E0A">
        <w:rPr>
          <w:bCs/>
        </w:rPr>
        <w:t>’</w:t>
      </w:r>
      <w:r w:rsidRPr="003B5EA4">
        <w:rPr>
          <w:bCs/>
        </w:rPr>
        <w:t>en voir augmenter le prix. Par souci d</w:t>
      </w:r>
      <w:r w:rsidR="00762E0A">
        <w:rPr>
          <w:bCs/>
        </w:rPr>
        <w:t>’</w:t>
      </w:r>
      <w:r w:rsidRPr="003B5EA4">
        <w:rPr>
          <w:bCs/>
        </w:rPr>
        <w:t>économie, certains organismes qui ont leur siège en Europe, comme la FAO et le HCR, encouragent activement le recours à la formule à bas prix pour les voyages de courte durée.</w:t>
      </w:r>
    </w:p>
    <w:p w:rsidR="00D97F50" w:rsidRPr="003B5EA4" w:rsidRDefault="00D97F50" w:rsidP="00D97F50">
      <w:pPr>
        <w:pStyle w:val="SingleTxtG"/>
        <w:rPr>
          <w:bCs/>
        </w:rPr>
      </w:pPr>
      <w:r w:rsidRPr="003B5EA4">
        <w:rPr>
          <w:bCs/>
        </w:rPr>
        <w:t>184.</w:t>
      </w:r>
      <w:r w:rsidRPr="003B5EA4">
        <w:rPr>
          <w:bCs/>
        </w:rPr>
        <w:tab/>
        <w:t>En octobre</w:t>
      </w:r>
      <w:r w:rsidR="006119D9" w:rsidRPr="003B5EA4">
        <w:rPr>
          <w:bCs/>
        </w:rPr>
        <w:t xml:space="preserve"> </w:t>
      </w:r>
      <w:r w:rsidRPr="003B5EA4">
        <w:rPr>
          <w:bCs/>
        </w:rPr>
        <w:t>2015, le Secrétariat de l</w:t>
      </w:r>
      <w:r w:rsidR="00762E0A">
        <w:rPr>
          <w:bCs/>
        </w:rPr>
        <w:t>’</w:t>
      </w:r>
      <w:r w:rsidRPr="003B5EA4">
        <w:rPr>
          <w:bCs/>
        </w:rPr>
        <w:t>ONU a instauré une procédure relative aux voyages de faible coût</w:t>
      </w:r>
      <w:r w:rsidR="00BF114C" w:rsidRPr="00874B84">
        <w:rPr>
          <w:rStyle w:val="Appelnotedebasdep"/>
          <w:spacing w:val="-1"/>
          <w:lang w:val="es-ES"/>
        </w:rPr>
        <w:footnoteReference w:id="160"/>
      </w:r>
      <w:r w:rsidRPr="003B5EA4">
        <w:rPr>
          <w:bCs/>
        </w:rPr>
        <w:t xml:space="preserve"> habilitant tout bureau à recourir à la procédure d</w:t>
      </w:r>
      <w:r w:rsidR="00762E0A">
        <w:rPr>
          <w:bCs/>
        </w:rPr>
        <w:t>’</w:t>
      </w:r>
      <w:r w:rsidRPr="003B5EA4">
        <w:rPr>
          <w:bCs/>
        </w:rPr>
        <w:t>achat des billets par les voyageurs eux-mêmes pour les déplacements officiels dont le coût total ne dépasserait pas l</w:t>
      </w:r>
      <w:r w:rsidR="00762E0A">
        <w:rPr>
          <w:bCs/>
        </w:rPr>
        <w:t>’</w:t>
      </w:r>
      <w:r w:rsidRPr="003B5EA4">
        <w:rPr>
          <w:bCs/>
        </w:rPr>
        <w:t>équivalent de 500 dollars des États-Unis. Cette formule a été reproduite par l</w:t>
      </w:r>
      <w:r w:rsidR="00762E0A">
        <w:rPr>
          <w:bCs/>
        </w:rPr>
        <w:t>’</w:t>
      </w:r>
      <w:r w:rsidRPr="003B5EA4">
        <w:rPr>
          <w:bCs/>
        </w:rPr>
        <w:t>OMS. L</w:t>
      </w:r>
      <w:r w:rsidR="00762E0A">
        <w:rPr>
          <w:bCs/>
        </w:rPr>
        <w:t>’</w:t>
      </w:r>
      <w:r w:rsidRPr="003B5EA4">
        <w:rPr>
          <w:bCs/>
        </w:rPr>
        <w:t>Inspectrice salue la révision appliquée par le Secrétariat de l</w:t>
      </w:r>
      <w:r w:rsidR="00762E0A">
        <w:rPr>
          <w:bCs/>
        </w:rPr>
        <w:t>’</w:t>
      </w:r>
      <w:r w:rsidRPr="003B5EA4">
        <w:rPr>
          <w:bCs/>
        </w:rPr>
        <w:t>ONU en mai 2017, portant le montant maximum d</w:t>
      </w:r>
      <w:r w:rsidR="00762E0A">
        <w:rPr>
          <w:bCs/>
        </w:rPr>
        <w:t>’</w:t>
      </w:r>
      <w:r w:rsidRPr="003B5EA4">
        <w:rPr>
          <w:bCs/>
        </w:rPr>
        <w:t>applicabilité à 1 000 dollars des États-Unis, approche que reproduira le CCI*</w:t>
      </w:r>
      <w:r w:rsidR="00BF114C" w:rsidRPr="00874B84">
        <w:rPr>
          <w:rStyle w:val="Appelnotedebasdep"/>
          <w:spacing w:val="-1"/>
          <w:lang w:val="es-ES"/>
        </w:rPr>
        <w:footnoteReference w:id="161"/>
      </w:r>
      <w:r w:rsidRPr="003B5EA4">
        <w:rPr>
          <w:bCs/>
        </w:rPr>
        <w:t>. Conformément aux meilleures pratiques, outre qu</w:t>
      </w:r>
      <w:r w:rsidR="00762E0A">
        <w:rPr>
          <w:bCs/>
        </w:rPr>
        <w:t>’</w:t>
      </w:r>
      <w:r w:rsidRPr="003B5EA4">
        <w:rPr>
          <w:bCs/>
        </w:rPr>
        <w:t>elle accorde une plus grande flexibilité aux voyageurs dans l</w:t>
      </w:r>
      <w:r w:rsidR="00762E0A">
        <w:rPr>
          <w:bCs/>
        </w:rPr>
        <w:t>’</w:t>
      </w:r>
      <w:r w:rsidRPr="003B5EA4">
        <w:rPr>
          <w:bCs/>
        </w:rPr>
        <w:t>organisation de leurs déplacements, en toute conformité avec les politiques en matière de voyages, cette procédure vise à rationaliser la charge administrative et à éviter les frais de transaction.</w:t>
      </w:r>
    </w:p>
    <w:p w:rsidR="00D97F50" w:rsidRPr="003B5EA4" w:rsidRDefault="00D97F50" w:rsidP="00D97F50">
      <w:pPr>
        <w:pStyle w:val="SingleTxtG"/>
        <w:rPr>
          <w:b/>
          <w:bCs/>
        </w:rPr>
      </w:pPr>
      <w:r w:rsidRPr="003B5EA4">
        <w:rPr>
          <w:bCs/>
        </w:rPr>
        <w:t>185.</w:t>
      </w:r>
      <w:r w:rsidRPr="003B5EA4">
        <w:rPr>
          <w:bCs/>
        </w:rPr>
        <w:tab/>
      </w:r>
      <w:r w:rsidRPr="003B5EA4">
        <w:rPr>
          <w:b/>
          <w:bCs/>
        </w:rPr>
        <w:t>L</w:t>
      </w:r>
      <w:r w:rsidR="00762E0A">
        <w:rPr>
          <w:b/>
          <w:bCs/>
        </w:rPr>
        <w:t>’</w:t>
      </w:r>
      <w:r w:rsidRPr="003B5EA4">
        <w:rPr>
          <w:b/>
          <w:bCs/>
        </w:rPr>
        <w:t>Inspectrice est d</w:t>
      </w:r>
      <w:r w:rsidR="00762E0A">
        <w:rPr>
          <w:b/>
          <w:bCs/>
        </w:rPr>
        <w:t>’</w:t>
      </w:r>
      <w:r w:rsidRPr="003B5EA4">
        <w:rPr>
          <w:b/>
          <w:bCs/>
        </w:rPr>
        <w:t>avis que les chefs de secrétariat des organismes des Nations Unies qui ne l</w:t>
      </w:r>
      <w:r w:rsidR="00762E0A">
        <w:rPr>
          <w:b/>
          <w:bCs/>
        </w:rPr>
        <w:t>’</w:t>
      </w:r>
      <w:r w:rsidRPr="003B5EA4">
        <w:rPr>
          <w:b/>
          <w:bCs/>
        </w:rPr>
        <w:t>ont pas encore fait devraient prendre des dispositions permettant l</w:t>
      </w:r>
      <w:r w:rsidR="00762E0A">
        <w:rPr>
          <w:b/>
          <w:bCs/>
        </w:rPr>
        <w:t>’</w:t>
      </w:r>
      <w:r w:rsidRPr="003B5EA4">
        <w:rPr>
          <w:b/>
          <w:bCs/>
        </w:rPr>
        <w:t>utilisation de compagnies aériennes à bas prix préalablement approuvées pour les voyages de courte durée, et porter par ailleurs à 1 000 dollars des États-Unis le coût maximum des voyages officiels pouvant donner lieu à la procédure d</w:t>
      </w:r>
      <w:r w:rsidR="00762E0A">
        <w:rPr>
          <w:b/>
          <w:bCs/>
        </w:rPr>
        <w:t>’</w:t>
      </w:r>
      <w:r w:rsidRPr="003B5EA4">
        <w:rPr>
          <w:b/>
          <w:bCs/>
        </w:rPr>
        <w:t>achat des billets par les voyageurs eux-mêmes.</w:t>
      </w:r>
    </w:p>
    <w:p w:rsidR="00D97F50" w:rsidRPr="003B5EA4" w:rsidRDefault="00C803A2" w:rsidP="00D97F50">
      <w:pPr>
        <w:pStyle w:val="SingleTxtG"/>
        <w:rPr>
          <w:bCs/>
        </w:rPr>
      </w:pPr>
      <w:r w:rsidRPr="003B5EA4">
        <w:t>186.</w:t>
      </w:r>
      <w:r w:rsidRPr="003B5EA4">
        <w:tab/>
      </w:r>
      <w:r w:rsidRPr="003B5EA4">
        <w:rPr>
          <w:bCs/>
        </w:rPr>
        <w:t>Le présent examen a permis de constater que certains organismes mettaient en doute la rentabilité des billets remboursables. Le HCR rapporte qu</w:t>
      </w:r>
      <w:r w:rsidR="00762E0A">
        <w:rPr>
          <w:bCs/>
        </w:rPr>
        <w:t>’</w:t>
      </w:r>
      <w:r w:rsidRPr="003B5EA4">
        <w:rPr>
          <w:bCs/>
        </w:rPr>
        <w:t>en dépit de la perte d</w:t>
      </w:r>
      <w:r w:rsidR="00762E0A">
        <w:rPr>
          <w:bCs/>
        </w:rPr>
        <w:t>’</w:t>
      </w:r>
      <w:r w:rsidRPr="003B5EA4">
        <w:rPr>
          <w:bCs/>
        </w:rPr>
        <w:t xml:space="preserve">une moyenne de </w:t>
      </w:r>
      <w:r w:rsidR="00070D17">
        <w:rPr>
          <w:bCs/>
        </w:rPr>
        <w:t>5</w:t>
      </w:r>
      <w:r w:rsidRPr="003B5EA4">
        <w:rPr>
          <w:bCs/>
        </w:rPr>
        <w:t xml:space="preserve"> billets non remboursables sur 100, l</w:t>
      </w:r>
      <w:r w:rsidR="00762E0A">
        <w:rPr>
          <w:bCs/>
        </w:rPr>
        <w:t>’</w:t>
      </w:r>
      <w:r w:rsidRPr="003B5EA4">
        <w:rPr>
          <w:bCs/>
        </w:rPr>
        <w:t>achat de ces titres sensiblement moins chers lui permettait de réaliser des économies considérables. L</w:t>
      </w:r>
      <w:r w:rsidR="00762E0A">
        <w:rPr>
          <w:bCs/>
        </w:rPr>
        <w:t>’</w:t>
      </w:r>
      <w:r w:rsidRPr="003B5EA4">
        <w:rPr>
          <w:bCs/>
        </w:rPr>
        <w:t>OMS demande à ses voyageurs d</w:t>
      </w:r>
      <w:r w:rsidR="00762E0A">
        <w:rPr>
          <w:bCs/>
        </w:rPr>
        <w:t>’</w:t>
      </w:r>
      <w:r w:rsidRPr="003B5EA4">
        <w:rPr>
          <w:bCs/>
        </w:rPr>
        <w:t>utiliser tant que faire se peut des billets non remboursables. Le FNUAP et le PNUD ont resserré leurs exigences pour veiller à ce que soient achetés les billets les plus économiques disponible</w:t>
      </w:r>
      <w:r w:rsidR="00626DCE">
        <w:rPr>
          <w:bCs/>
        </w:rPr>
        <w:t>s</w:t>
      </w:r>
      <w:r w:rsidRPr="003B5EA4">
        <w:rPr>
          <w:bCs/>
        </w:rPr>
        <w:t xml:space="preserve">, </w:t>
      </w:r>
      <w:r w:rsidR="0055478D">
        <w:rPr>
          <w:bCs/>
        </w:rPr>
        <w:t>y compris</w:t>
      </w:r>
      <w:r w:rsidRPr="003B5EA4">
        <w:rPr>
          <w:bCs/>
        </w:rPr>
        <w:t xml:space="preserve"> aux tarifs soumis à conditions et non remboursables. Pour réduire les risques de pertes pour cause de changement ou d</w:t>
      </w:r>
      <w:r w:rsidR="00762E0A">
        <w:rPr>
          <w:bCs/>
        </w:rPr>
        <w:t>’</w:t>
      </w:r>
      <w:r w:rsidRPr="003B5EA4">
        <w:rPr>
          <w:bCs/>
        </w:rPr>
        <w:t>annulation, le PNUD demande que le projet de voyage soit confirmé avant l</w:t>
      </w:r>
      <w:r w:rsidR="00762E0A">
        <w:rPr>
          <w:bCs/>
        </w:rPr>
        <w:t>’</w:t>
      </w:r>
      <w:r w:rsidRPr="003B5EA4">
        <w:rPr>
          <w:bCs/>
        </w:rPr>
        <w:t>émission du billet.</w:t>
      </w:r>
    </w:p>
    <w:p w:rsidR="00C803A2" w:rsidRPr="003B5EA4" w:rsidRDefault="00C803A2" w:rsidP="00D97F50">
      <w:pPr>
        <w:pStyle w:val="SingleTxtG"/>
        <w:rPr>
          <w:b/>
          <w:bCs/>
        </w:rPr>
      </w:pPr>
      <w:r w:rsidRPr="003B5EA4">
        <w:rPr>
          <w:bCs/>
        </w:rPr>
        <w:t>187.</w:t>
      </w:r>
      <w:r w:rsidRPr="003B5EA4">
        <w:rPr>
          <w:bCs/>
        </w:rPr>
        <w:tab/>
      </w:r>
      <w:r w:rsidRPr="003B5EA4">
        <w:rPr>
          <w:b/>
          <w:bCs/>
        </w:rPr>
        <w:t>L</w:t>
      </w:r>
      <w:r w:rsidR="00762E0A">
        <w:rPr>
          <w:b/>
          <w:bCs/>
        </w:rPr>
        <w:t>’</w:t>
      </w:r>
      <w:r w:rsidRPr="003B5EA4">
        <w:rPr>
          <w:b/>
          <w:bCs/>
        </w:rPr>
        <w:t>Inspectrice est d</w:t>
      </w:r>
      <w:r w:rsidR="00762E0A">
        <w:rPr>
          <w:b/>
          <w:bCs/>
        </w:rPr>
        <w:t>’</w:t>
      </w:r>
      <w:r w:rsidRPr="003B5EA4">
        <w:rPr>
          <w:b/>
          <w:bCs/>
        </w:rPr>
        <w:t>avis que les chefs de secrétariat des organismes des Nations Unies qui ne l</w:t>
      </w:r>
      <w:r w:rsidR="00762E0A">
        <w:rPr>
          <w:b/>
          <w:bCs/>
        </w:rPr>
        <w:t>’</w:t>
      </w:r>
      <w:r w:rsidRPr="003B5EA4">
        <w:rPr>
          <w:b/>
          <w:bCs/>
        </w:rPr>
        <w:t>ont pas encore fait devraient envisager de mettre à l</w:t>
      </w:r>
      <w:r w:rsidR="00762E0A">
        <w:rPr>
          <w:b/>
          <w:bCs/>
        </w:rPr>
        <w:t>’</w:t>
      </w:r>
      <w:r w:rsidRPr="003B5EA4">
        <w:rPr>
          <w:b/>
          <w:bCs/>
        </w:rPr>
        <w:t>essai l</w:t>
      </w:r>
      <w:r w:rsidR="00762E0A">
        <w:rPr>
          <w:b/>
          <w:bCs/>
        </w:rPr>
        <w:t>’</w:t>
      </w:r>
      <w:r w:rsidRPr="003B5EA4">
        <w:rPr>
          <w:b/>
          <w:bCs/>
        </w:rPr>
        <w:t>achat de billets non remboursables soumis à conditions, en se limitant aux vols effectués à l</w:t>
      </w:r>
      <w:r w:rsidR="00762E0A">
        <w:rPr>
          <w:b/>
          <w:bCs/>
        </w:rPr>
        <w:t>’</w:t>
      </w:r>
      <w:r w:rsidRPr="003B5EA4">
        <w:rPr>
          <w:b/>
          <w:bCs/>
        </w:rPr>
        <w:t>intérieur du même continent ou de la même sous-région, pour faire ensuite rapport des économies ou coûts supplémentaires engendrés et évaluer l</w:t>
      </w:r>
      <w:r w:rsidR="00762E0A">
        <w:rPr>
          <w:b/>
          <w:bCs/>
        </w:rPr>
        <w:t>’</w:t>
      </w:r>
      <w:r w:rsidRPr="003B5EA4">
        <w:rPr>
          <w:b/>
          <w:bCs/>
        </w:rPr>
        <w:t>opportunité de poursuivre et/ou d</w:t>
      </w:r>
      <w:r w:rsidR="00762E0A">
        <w:rPr>
          <w:b/>
          <w:bCs/>
        </w:rPr>
        <w:t>’</w:t>
      </w:r>
      <w:r w:rsidRPr="003B5EA4">
        <w:rPr>
          <w:b/>
          <w:bCs/>
        </w:rPr>
        <w:t>élargir la pratique.</w:t>
      </w:r>
    </w:p>
    <w:p w:rsidR="00C803A2" w:rsidRPr="003B5EA4" w:rsidRDefault="00C803A2" w:rsidP="00C803A2">
      <w:pPr>
        <w:pStyle w:val="H1G"/>
      </w:pPr>
      <w:r w:rsidRPr="003B5EA4">
        <w:tab/>
        <w:t>C.</w:t>
      </w:r>
      <w:r w:rsidRPr="003B5EA4">
        <w:tab/>
        <w:t>Utilisation efficace des outils de réservation en ligne</w:t>
      </w:r>
    </w:p>
    <w:p w:rsidR="00C803A2" w:rsidRPr="003B5EA4" w:rsidRDefault="00C803A2" w:rsidP="00C803A2">
      <w:pPr>
        <w:pStyle w:val="SingleTxtG"/>
      </w:pPr>
      <w:r w:rsidRPr="003B5EA4">
        <w:t>188.</w:t>
      </w:r>
      <w:r w:rsidRPr="003B5EA4">
        <w:tab/>
        <w:t>Il est ressorti de l</w:t>
      </w:r>
      <w:r w:rsidR="00762E0A">
        <w:t>’</w:t>
      </w:r>
      <w:r w:rsidRPr="003B5EA4">
        <w:t>examen qu</w:t>
      </w:r>
      <w:r w:rsidR="00762E0A">
        <w:t>’</w:t>
      </w:r>
      <w:r w:rsidRPr="003B5EA4">
        <w:t>à l</w:t>
      </w:r>
      <w:r w:rsidR="00762E0A">
        <w:t>’</w:t>
      </w:r>
      <w:r w:rsidRPr="003B5EA4">
        <w:t>heure actuelle, 14 organismes des Nations Unies</w:t>
      </w:r>
      <w:r w:rsidRPr="003B5EA4">
        <w:rPr>
          <w:rStyle w:val="Appelnotedebasdep"/>
        </w:rPr>
        <w:footnoteReference w:id="162"/>
      </w:r>
      <w:r w:rsidRPr="003B5EA4">
        <w:t xml:space="preserve"> exploitent des outils de réservation en ligne, et que </w:t>
      </w:r>
      <w:r w:rsidR="00626DCE">
        <w:t>5</w:t>
      </w:r>
      <w:r w:rsidRPr="003B5EA4">
        <w:t xml:space="preserve"> autres envisagent d</w:t>
      </w:r>
      <w:r w:rsidR="00762E0A">
        <w:t>’</w:t>
      </w:r>
      <w:r w:rsidRPr="003B5EA4">
        <w:t>en mettre au point dans le cadre de leur progiciel de gestion intégré</w:t>
      </w:r>
      <w:r w:rsidRPr="003B5EA4">
        <w:rPr>
          <w:rStyle w:val="Appelnotedebasdep"/>
        </w:rPr>
        <w:footnoteReference w:id="163"/>
      </w:r>
      <w:r w:rsidRPr="003B5EA4">
        <w:t xml:space="preserve">. Un outil de réservation en ligne est un </w:t>
      </w:r>
      <w:r w:rsidRPr="003B5EA4">
        <w:lastRenderedPageBreak/>
        <w:t>portail Internet consacré aux voyages, spécialement conçu pour prendre en charge les politiques en matière de voyages, les processus d</w:t>
      </w:r>
      <w:r w:rsidR="00762E0A">
        <w:t>’</w:t>
      </w:r>
      <w:r w:rsidRPr="003B5EA4">
        <w:t>autorisation et les fournisseurs préférés d</w:t>
      </w:r>
      <w:r w:rsidR="00762E0A">
        <w:t>’</w:t>
      </w:r>
      <w:r w:rsidRPr="003B5EA4">
        <w:t>une organisation</w:t>
      </w:r>
      <w:r w:rsidRPr="003B5EA4">
        <w:rPr>
          <w:rStyle w:val="Appelnotedebasdep"/>
        </w:rPr>
        <w:footnoteReference w:id="164"/>
      </w:r>
      <w:r w:rsidRPr="003B5EA4">
        <w:t>.</w:t>
      </w:r>
    </w:p>
    <w:p w:rsidR="00C803A2" w:rsidRPr="003B5EA4" w:rsidRDefault="00C803A2" w:rsidP="00C803A2">
      <w:pPr>
        <w:pStyle w:val="SingleTxtG"/>
      </w:pPr>
      <w:r w:rsidRPr="003B5EA4">
        <w:t>189.</w:t>
      </w:r>
      <w:r w:rsidRPr="003B5EA4">
        <w:tab/>
        <w:t xml:space="preserve">Les outils de réservation en ligne fonctionnent au mieux dans le cas des voyages dits </w:t>
      </w:r>
      <w:r w:rsidR="00B63C05" w:rsidRPr="003B5EA4">
        <w:t>« </w:t>
      </w:r>
      <w:r w:rsidRPr="003B5EA4">
        <w:t>de point à point » et présentent une variété d</w:t>
      </w:r>
      <w:r w:rsidR="00762E0A">
        <w:t>’</w:t>
      </w:r>
      <w:r w:rsidRPr="003B5EA4">
        <w:t>avantages possibles, dont des frais de transaction significativement moindres par rapport aux réservations directes auprès d</w:t>
      </w:r>
      <w:r w:rsidR="00762E0A">
        <w:t>’</w:t>
      </w:r>
      <w:r w:rsidRPr="003B5EA4">
        <w:t>agences de voyage, la collecte de données complètes sur les voyages en avion dans tout le système des Nations Unies − un impératif souvent réitéré par l</w:t>
      </w:r>
      <w:r w:rsidR="00762E0A">
        <w:t>’</w:t>
      </w:r>
      <w:r w:rsidRPr="003B5EA4">
        <w:t>Assemblée générale</w:t>
      </w:r>
      <w:r w:rsidRPr="003B5EA4">
        <w:rPr>
          <w:rStyle w:val="Appelnotedebasdep"/>
        </w:rPr>
        <w:footnoteReference w:id="165"/>
      </w:r>
      <w:r w:rsidRPr="003B5EA4">
        <w:t> − et une aide à la gestion par l</w:t>
      </w:r>
      <w:r w:rsidR="00762E0A">
        <w:t>’</w:t>
      </w:r>
      <w:r w:rsidRPr="003B5EA4">
        <w:t>étude des tendances en matière de voyages en avion et la mise à disposition de données sur les habitudes de voyage</w:t>
      </w:r>
      <w:r w:rsidRPr="003B5EA4">
        <w:rPr>
          <w:rStyle w:val="Appelnotedebasdep"/>
        </w:rPr>
        <w:footnoteReference w:id="166"/>
      </w:r>
      <w:r w:rsidRPr="003B5EA4">
        <w:t>. Cela étant, les atouts d</w:t>
      </w:r>
      <w:r w:rsidR="00762E0A">
        <w:t>’</w:t>
      </w:r>
      <w:r w:rsidRPr="003B5EA4">
        <w:t>un outil de réservation en ligne ne sont pleinement mis en valeur que si celui-ci est lié au progiciel de gestion intégré, ce qui peut nécessiter des investissements initiaux considérables.</w:t>
      </w:r>
    </w:p>
    <w:p w:rsidR="00B63C05" w:rsidRPr="003B5EA4" w:rsidRDefault="00B63C05" w:rsidP="00B63C05">
      <w:pPr>
        <w:pStyle w:val="H23G"/>
      </w:pPr>
      <w:r w:rsidRPr="003B5EA4">
        <w:tab/>
      </w:r>
      <w:r w:rsidRPr="003B5EA4">
        <w:tab/>
        <w:t>Pratiques de certains organismes participants</w:t>
      </w:r>
    </w:p>
    <w:p w:rsidR="00B63C05" w:rsidRPr="003B5EA4" w:rsidRDefault="00B63C05" w:rsidP="00B63C05">
      <w:pPr>
        <w:pStyle w:val="SingleTxtG"/>
        <w:rPr>
          <w:bCs/>
        </w:rPr>
      </w:pPr>
      <w:r w:rsidRPr="003B5EA4">
        <w:t>190.</w:t>
      </w:r>
      <w:r w:rsidRPr="003B5EA4">
        <w:tab/>
      </w:r>
      <w:r w:rsidRPr="003B5EA4">
        <w:rPr>
          <w:bCs/>
        </w:rPr>
        <w:t>Au titre des bonnes pratiques, le FNUAP, le HCR, l</w:t>
      </w:r>
      <w:r w:rsidR="00762E0A">
        <w:rPr>
          <w:bCs/>
        </w:rPr>
        <w:t>’</w:t>
      </w:r>
      <w:r w:rsidRPr="003B5EA4">
        <w:rPr>
          <w:bCs/>
        </w:rPr>
        <w:t>ONUSIDA, et l</w:t>
      </w:r>
      <w:r w:rsidR="00762E0A">
        <w:rPr>
          <w:bCs/>
        </w:rPr>
        <w:t>’</w:t>
      </w:r>
      <w:r w:rsidRPr="003B5EA4">
        <w:rPr>
          <w:bCs/>
        </w:rPr>
        <w:t>UNICEF ont rendu obligatoire ou souhaitable l</w:t>
      </w:r>
      <w:r w:rsidR="00762E0A">
        <w:rPr>
          <w:bCs/>
        </w:rPr>
        <w:t>’</w:t>
      </w:r>
      <w:r w:rsidRPr="003B5EA4">
        <w:rPr>
          <w:bCs/>
        </w:rPr>
        <w:t>exploitation des outils de réservation en ligne dans le cas de simples voyages « de point à point » et de voyages à l</w:t>
      </w:r>
      <w:r w:rsidR="00762E0A">
        <w:rPr>
          <w:bCs/>
        </w:rPr>
        <w:t>’</w:t>
      </w:r>
      <w:r w:rsidRPr="003B5EA4">
        <w:rPr>
          <w:bCs/>
        </w:rPr>
        <w:t>intérieur de l</w:t>
      </w:r>
      <w:r w:rsidR="00762E0A">
        <w:rPr>
          <w:bCs/>
        </w:rPr>
        <w:t>’</w:t>
      </w:r>
      <w:r w:rsidRPr="003B5EA4">
        <w:rPr>
          <w:bCs/>
        </w:rPr>
        <w:t>Europe et des États</w:t>
      </w:r>
      <w:r w:rsidR="00C3341B">
        <w:rPr>
          <w:bCs/>
        </w:rPr>
        <w:noBreakHyphen/>
      </w:r>
      <w:r w:rsidRPr="003B5EA4">
        <w:rPr>
          <w:bCs/>
        </w:rPr>
        <w:t>Unis d</w:t>
      </w:r>
      <w:r w:rsidR="00762E0A">
        <w:rPr>
          <w:bCs/>
        </w:rPr>
        <w:t>’</w:t>
      </w:r>
      <w:r w:rsidRPr="003B5EA4">
        <w:rPr>
          <w:bCs/>
        </w:rPr>
        <w:t>Amérique. À l</w:t>
      </w:r>
      <w:r w:rsidR="00762E0A">
        <w:rPr>
          <w:bCs/>
        </w:rPr>
        <w:t>’</w:t>
      </w:r>
      <w:r w:rsidRPr="003B5EA4">
        <w:rPr>
          <w:bCs/>
        </w:rPr>
        <w:t>opposé, le CCI*, l</w:t>
      </w:r>
      <w:r w:rsidR="00762E0A">
        <w:rPr>
          <w:bCs/>
        </w:rPr>
        <w:t>’</w:t>
      </w:r>
      <w:r w:rsidRPr="003B5EA4">
        <w:rPr>
          <w:bCs/>
        </w:rPr>
        <w:t>OACI, l</w:t>
      </w:r>
      <w:r w:rsidR="00762E0A">
        <w:rPr>
          <w:bCs/>
        </w:rPr>
        <w:t>’</w:t>
      </w:r>
      <w:r w:rsidRPr="003B5EA4">
        <w:rPr>
          <w:bCs/>
        </w:rPr>
        <w:t>OIT et l</w:t>
      </w:r>
      <w:r w:rsidR="00762E0A">
        <w:rPr>
          <w:bCs/>
        </w:rPr>
        <w:t>’</w:t>
      </w:r>
      <w:r w:rsidRPr="003B5EA4">
        <w:rPr>
          <w:bCs/>
        </w:rPr>
        <w:t>UNESCO ont préféré ne pas s</w:t>
      </w:r>
      <w:r w:rsidR="00762E0A">
        <w:rPr>
          <w:bCs/>
        </w:rPr>
        <w:t>’</w:t>
      </w:r>
      <w:r w:rsidRPr="003B5EA4">
        <w:rPr>
          <w:bCs/>
        </w:rPr>
        <w:t>équiper d</w:t>
      </w:r>
      <w:r w:rsidR="00762E0A">
        <w:rPr>
          <w:bCs/>
        </w:rPr>
        <w:t>’</w:t>
      </w:r>
      <w:r w:rsidRPr="003B5EA4">
        <w:rPr>
          <w:bCs/>
        </w:rPr>
        <w:t>un outil de réservation en ligne, notant que le dispositif ne répondrait pas à leurs besoins étant donné que la configuration de leurs voyages, comportant souvent plusieurs segments, en limiterait le potentiel d</w:t>
      </w:r>
      <w:r w:rsidR="00762E0A">
        <w:rPr>
          <w:bCs/>
        </w:rPr>
        <w:t>’</w:t>
      </w:r>
      <w:r w:rsidRPr="003B5EA4">
        <w:rPr>
          <w:bCs/>
        </w:rPr>
        <w:t>économie. Quant au Secrétariat de l</w:t>
      </w:r>
      <w:r w:rsidR="00762E0A">
        <w:rPr>
          <w:bCs/>
        </w:rPr>
        <w:t>’</w:t>
      </w:r>
      <w:r w:rsidRPr="003B5EA4">
        <w:rPr>
          <w:bCs/>
        </w:rPr>
        <w:t>ONU, l</w:t>
      </w:r>
      <w:r w:rsidR="00762E0A">
        <w:rPr>
          <w:bCs/>
        </w:rPr>
        <w:t>’</w:t>
      </w:r>
      <w:r w:rsidRPr="003B5EA4">
        <w:rPr>
          <w:bCs/>
        </w:rPr>
        <w:t>usage qu</w:t>
      </w:r>
      <w:r w:rsidR="00762E0A">
        <w:rPr>
          <w:bCs/>
        </w:rPr>
        <w:t>’</w:t>
      </w:r>
      <w:r w:rsidRPr="003B5EA4">
        <w:rPr>
          <w:bCs/>
        </w:rPr>
        <w:t>il pourrait faire d</w:t>
      </w:r>
      <w:r w:rsidR="00762E0A">
        <w:rPr>
          <w:bCs/>
        </w:rPr>
        <w:t>’</w:t>
      </w:r>
      <w:r w:rsidRPr="003B5EA4">
        <w:rPr>
          <w:bCs/>
        </w:rPr>
        <w:t>un outil de réservation en ligne est faible, compte tenu de la complexité de sa politique en matière de voyages</w:t>
      </w:r>
      <w:r w:rsidRPr="003B5EA4">
        <w:rPr>
          <w:rStyle w:val="Appelnotedebasdep"/>
        </w:rPr>
        <w:footnoteReference w:id="167"/>
      </w:r>
      <w:r w:rsidRPr="003B5EA4">
        <w:rPr>
          <w:bCs/>
        </w:rPr>
        <w:t xml:space="preserve"> et de son progiciel de gestion intégré qui n</w:t>
      </w:r>
      <w:r w:rsidR="00762E0A">
        <w:rPr>
          <w:bCs/>
        </w:rPr>
        <w:t>’</w:t>
      </w:r>
      <w:r w:rsidRPr="003B5EA4">
        <w:rPr>
          <w:bCs/>
        </w:rPr>
        <w:t>est pas encore complètement opérationnel. Des occasions de réaliser des économies ont été manquées, selon l</w:t>
      </w:r>
      <w:r w:rsidR="00762E0A">
        <w:rPr>
          <w:bCs/>
        </w:rPr>
        <w:t>’</w:t>
      </w:r>
      <w:r w:rsidRPr="003B5EA4">
        <w:rPr>
          <w:bCs/>
        </w:rPr>
        <w:t>ancienne société de gestion de voyages de l</w:t>
      </w:r>
      <w:r w:rsidR="00762E0A">
        <w:rPr>
          <w:bCs/>
        </w:rPr>
        <w:t>’</w:t>
      </w:r>
      <w:r w:rsidRPr="003B5EA4">
        <w:rPr>
          <w:bCs/>
        </w:rPr>
        <w:t>ONUG, estimant qu</w:t>
      </w:r>
      <w:r w:rsidR="00762E0A">
        <w:rPr>
          <w:bCs/>
        </w:rPr>
        <w:t>’</w:t>
      </w:r>
      <w:r w:rsidRPr="003B5EA4">
        <w:rPr>
          <w:bCs/>
        </w:rPr>
        <w:t>environ 30 % des demandes de l</w:t>
      </w:r>
      <w:r w:rsidR="00762E0A">
        <w:rPr>
          <w:bCs/>
        </w:rPr>
        <w:t>’</w:t>
      </w:r>
      <w:r w:rsidRPr="003B5EA4">
        <w:rPr>
          <w:bCs/>
        </w:rPr>
        <w:t>Office auraient pu être traitées au moyen d</w:t>
      </w:r>
      <w:r w:rsidR="00762E0A">
        <w:rPr>
          <w:bCs/>
        </w:rPr>
        <w:t>’</w:t>
      </w:r>
      <w:r w:rsidRPr="003B5EA4">
        <w:rPr>
          <w:bCs/>
        </w:rPr>
        <w:t>un outil de réservation en ligne, surtout pour ce qui est des vols directs, avec tout ce que cela comporte de frais de transaction économisés.</w:t>
      </w:r>
    </w:p>
    <w:p w:rsidR="00BC6931" w:rsidRPr="003B5EA4" w:rsidRDefault="00BC6931" w:rsidP="00B63C05">
      <w:pPr>
        <w:pStyle w:val="SingleTxtG"/>
        <w:rPr>
          <w:bCs/>
        </w:rPr>
      </w:pPr>
      <w:r w:rsidRPr="00C3341B">
        <w:rPr>
          <w:bCs/>
        </w:rPr>
        <w:t>191.</w:t>
      </w:r>
      <w:r w:rsidRPr="00C3341B">
        <w:rPr>
          <w:bCs/>
        </w:rPr>
        <w:tab/>
        <w:t>L</w:t>
      </w:r>
      <w:r w:rsidR="00762E0A">
        <w:rPr>
          <w:bCs/>
        </w:rPr>
        <w:t>’</w:t>
      </w:r>
      <w:r w:rsidRPr="00C3341B">
        <w:rPr>
          <w:bCs/>
        </w:rPr>
        <w:t>examen a révélé que plusieurs autres entités des Nations</w:t>
      </w:r>
      <w:r w:rsidRPr="003B5EA4">
        <w:rPr>
          <w:bCs/>
        </w:rPr>
        <w:t xml:space="preserve"> </w:t>
      </w:r>
      <w:r w:rsidR="00D35EE8">
        <w:rPr>
          <w:bCs/>
        </w:rPr>
        <w:t xml:space="preserve">Unies </w:t>
      </w:r>
      <w:r w:rsidRPr="003B5EA4">
        <w:rPr>
          <w:bCs/>
        </w:rPr>
        <w:t>faisaient ou s</w:t>
      </w:r>
      <w:r w:rsidR="00762E0A">
        <w:rPr>
          <w:bCs/>
        </w:rPr>
        <w:t>’</w:t>
      </w:r>
      <w:r w:rsidRPr="003B5EA4">
        <w:rPr>
          <w:bCs/>
        </w:rPr>
        <w:t>attendaient à faire d</w:t>
      </w:r>
      <w:r w:rsidR="00762E0A">
        <w:rPr>
          <w:bCs/>
        </w:rPr>
        <w:t>’</w:t>
      </w:r>
      <w:r w:rsidRPr="003B5EA4">
        <w:rPr>
          <w:bCs/>
        </w:rPr>
        <w:t>importantes économies grâce à la mise en service d</w:t>
      </w:r>
      <w:r w:rsidR="00762E0A">
        <w:rPr>
          <w:bCs/>
        </w:rPr>
        <w:t>’</w:t>
      </w:r>
      <w:r w:rsidRPr="003B5EA4">
        <w:rPr>
          <w:bCs/>
        </w:rPr>
        <w:t>un outil de réservation en ligne, comme le montrent les cas exposés ci-dessous :</w:t>
      </w:r>
    </w:p>
    <w:p w:rsidR="00BC6931" w:rsidRPr="003B5EA4" w:rsidRDefault="00BC6931" w:rsidP="00BC6931">
      <w:pPr>
        <w:pStyle w:val="Bullet1G"/>
      </w:pPr>
      <w:r w:rsidRPr="003B5EA4">
        <w:rPr>
          <w:bCs/>
        </w:rPr>
        <w:t>L</w:t>
      </w:r>
      <w:r w:rsidR="00762E0A">
        <w:rPr>
          <w:bCs/>
        </w:rPr>
        <w:t>’</w:t>
      </w:r>
      <w:r w:rsidRPr="003B5EA4">
        <w:rPr>
          <w:bCs/>
        </w:rPr>
        <w:t>OMPI</w:t>
      </w:r>
      <w:r w:rsidRPr="003B5EA4">
        <w:t xml:space="preserve"> a recours à un outil de réservation en ligne pour acheter tous les billets « de point à point » requis par tous ses bureaux à travers le monde. Lancé en 2014, le portail a servi à acheter 67 % de l</w:t>
      </w:r>
      <w:r w:rsidR="00762E0A">
        <w:t>’</w:t>
      </w:r>
      <w:r w:rsidRPr="003B5EA4">
        <w:t>ensemble des vols de 2015. Il a permis d</w:t>
      </w:r>
      <w:r w:rsidR="00762E0A">
        <w:t>’</w:t>
      </w:r>
      <w:r w:rsidRPr="003B5EA4">
        <w:t>accroître la part des billets soumis à conditions dans le panier de l</w:t>
      </w:r>
      <w:r w:rsidR="00762E0A">
        <w:t>’</w:t>
      </w:r>
      <w:r w:rsidRPr="003B5EA4">
        <w:t>organisation et de réduire ainsi le prix moyen du billet. Il a également stimulé la réservation et l</w:t>
      </w:r>
      <w:r w:rsidR="00762E0A">
        <w:t>’</w:t>
      </w:r>
      <w:r w:rsidRPr="003B5EA4">
        <w:t>achat anticipés en sensibilisant aux échéances d</w:t>
      </w:r>
      <w:r w:rsidR="00762E0A">
        <w:t>’</w:t>
      </w:r>
      <w:r w:rsidRPr="003B5EA4">
        <w:t>émission des billets. Depuis son entrée en service, le prix moyen des billets émis par la société de gestion de voyages a baissé de 17,8 % et les frais de transaction de 38 %, lesdits frais s</w:t>
      </w:r>
      <w:r w:rsidR="00762E0A">
        <w:t>’</w:t>
      </w:r>
      <w:r w:rsidRPr="003B5EA4">
        <w:t>élevant à 25 francs suisses par billet acheté au moyen de l</w:t>
      </w:r>
      <w:r w:rsidR="00762E0A">
        <w:t>’</w:t>
      </w:r>
      <w:r w:rsidRPr="003B5EA4">
        <w:t>outil de réservation en ligne, contre 135</w:t>
      </w:r>
      <w:r w:rsidR="000D38A9">
        <w:t xml:space="preserve"> francs suisses </w:t>
      </w:r>
      <w:r w:rsidRPr="003B5EA4">
        <w:t>lorsqu</w:t>
      </w:r>
      <w:r w:rsidR="00762E0A">
        <w:t>’</w:t>
      </w:r>
      <w:r w:rsidRPr="003B5EA4">
        <w:t>il a été obtenu par le truchement de l</w:t>
      </w:r>
      <w:r w:rsidR="00762E0A">
        <w:t>’</w:t>
      </w:r>
      <w:r w:rsidRPr="003B5EA4">
        <w:t>agence de voyages</w:t>
      </w:r>
      <w:r w:rsidR="00A15271" w:rsidRPr="003B5EA4">
        <w:t> ;</w:t>
      </w:r>
    </w:p>
    <w:p w:rsidR="00A15271" w:rsidRPr="003B5EA4" w:rsidRDefault="00A15271" w:rsidP="00BC6931">
      <w:pPr>
        <w:pStyle w:val="Bullet1G"/>
      </w:pPr>
      <w:r w:rsidRPr="003B5EA4">
        <w:t>Le FNUAP et le PNUD ont déployé un outil de réservation en ligne commun en 2015 et ont réussi son intégration dans le module voyages de leur progiciel de gestion intégré, en incorporant leurs règles, prestations et tarifs négociés communs. Les transactions et itinéraires traités par la société de gestion de voyages au siège sont saisis dans le progiciel de gestion intégré, peu importe que la réservation se fasse au moyen de l</w:t>
      </w:r>
      <w:r w:rsidR="00762E0A">
        <w:t>’</w:t>
      </w:r>
      <w:r w:rsidRPr="003B5EA4">
        <w:t>outil de réservation en ligne ou d</w:t>
      </w:r>
      <w:r w:rsidR="00762E0A">
        <w:t>’</w:t>
      </w:r>
      <w:r w:rsidRPr="003B5EA4">
        <w:t>une agence de voyages ;</w:t>
      </w:r>
    </w:p>
    <w:p w:rsidR="00A15271" w:rsidRPr="003B5EA4" w:rsidRDefault="00A15271" w:rsidP="00BC6931">
      <w:pPr>
        <w:pStyle w:val="Bullet1G"/>
      </w:pPr>
      <w:r w:rsidRPr="003B5EA4">
        <w:lastRenderedPageBreak/>
        <w:t>En 2016, l</w:t>
      </w:r>
      <w:r w:rsidR="00762E0A">
        <w:t>’</w:t>
      </w:r>
      <w:r w:rsidRPr="003B5EA4">
        <w:rPr>
          <w:bCs/>
        </w:rPr>
        <w:t>OMS</w:t>
      </w:r>
      <w:r w:rsidRPr="003B5EA4">
        <w:t xml:space="preserve"> a rendu obligatoire l</w:t>
      </w:r>
      <w:r w:rsidR="00762E0A">
        <w:t>’</w:t>
      </w:r>
      <w:r w:rsidRPr="003B5EA4">
        <w:t>usage de son outil de réservation en ligne pour ses voyages entre la Suisse et le reste de l</w:t>
      </w:r>
      <w:r w:rsidR="00762E0A">
        <w:t>’</w:t>
      </w:r>
      <w:r w:rsidRPr="003B5EA4">
        <w:t>Europe. Elle prévoit que cette mesure contribuera à atteindre son objectif d</w:t>
      </w:r>
      <w:r w:rsidR="00762E0A">
        <w:t>’</w:t>
      </w:r>
      <w:r w:rsidRPr="003B5EA4">
        <w:t>économiser 160 000 dollars par an, misant à cet égard sur le fait que les frais de transaction encourus dans le cas de l</w:t>
      </w:r>
      <w:r w:rsidR="00762E0A">
        <w:t>’</w:t>
      </w:r>
      <w:r w:rsidRPr="003B5EA4">
        <w:t>outil de réservation en ligne ne s</w:t>
      </w:r>
      <w:r w:rsidR="00762E0A">
        <w:t>’</w:t>
      </w:r>
      <w:r w:rsidRPr="003B5EA4">
        <w:t>élèvent qu</w:t>
      </w:r>
      <w:r w:rsidR="00762E0A">
        <w:t>’</w:t>
      </w:r>
      <w:r w:rsidRPr="003B5EA4">
        <w:t>à 18 francs suisse</w:t>
      </w:r>
      <w:r w:rsidR="00994BE5">
        <w:t>s</w:t>
      </w:r>
      <w:r w:rsidRPr="003B5EA4">
        <w:t>, par rapport à 135</w:t>
      </w:r>
      <w:r w:rsidR="00994BE5">
        <w:t> francs suisses</w:t>
      </w:r>
      <w:r w:rsidRPr="003B5EA4">
        <w:t xml:space="preserve"> en cas de prise en charge par une agence de voyage ;</w:t>
      </w:r>
    </w:p>
    <w:p w:rsidR="00A15271" w:rsidRPr="003B5EA4" w:rsidRDefault="00A15271" w:rsidP="00BC6931">
      <w:pPr>
        <w:pStyle w:val="Bullet1G"/>
      </w:pPr>
      <w:r w:rsidRPr="003B5EA4">
        <w:t xml:space="preserve">Au siège du </w:t>
      </w:r>
      <w:r w:rsidRPr="003B5EA4">
        <w:rPr>
          <w:bCs/>
        </w:rPr>
        <w:t>HCR, le taux d</w:t>
      </w:r>
      <w:r w:rsidR="00762E0A">
        <w:rPr>
          <w:bCs/>
        </w:rPr>
        <w:t>’</w:t>
      </w:r>
      <w:r w:rsidRPr="003B5EA4">
        <w:rPr>
          <w:bCs/>
        </w:rPr>
        <w:t>adoption de l</w:t>
      </w:r>
      <w:r w:rsidR="00762E0A">
        <w:rPr>
          <w:bCs/>
        </w:rPr>
        <w:t>’</w:t>
      </w:r>
      <w:r w:rsidRPr="003B5EA4">
        <w:rPr>
          <w:bCs/>
        </w:rPr>
        <w:t>outil de réservation en ligne introduit en 2012 a atteint 65 %, ce qui a permis d</w:t>
      </w:r>
      <w:r w:rsidR="00762E0A">
        <w:rPr>
          <w:bCs/>
        </w:rPr>
        <w:t>’</w:t>
      </w:r>
      <w:r w:rsidRPr="003B5EA4">
        <w:rPr>
          <w:bCs/>
        </w:rPr>
        <w:t xml:space="preserve">économiser </w:t>
      </w:r>
      <w:r w:rsidRPr="003B5EA4">
        <w:t>200</w:t>
      </w:r>
      <w:r w:rsidR="00B51253" w:rsidRPr="003B5EA4">
        <w:t> </w:t>
      </w:r>
      <w:r w:rsidRPr="003B5EA4">
        <w:t>000</w:t>
      </w:r>
      <w:r w:rsidR="00B51253" w:rsidRPr="003B5EA4">
        <w:t> </w:t>
      </w:r>
      <w:r w:rsidRPr="003B5EA4">
        <w:t>francs suisses en 2015, l</w:t>
      </w:r>
      <w:r w:rsidR="00762E0A">
        <w:t>’</w:t>
      </w:r>
      <w:r w:rsidRPr="003B5EA4">
        <w:t>outil ayant servi à émettre 1 892 billets assortis de frais de transaction de 18 francs suisses par billet au lieu de 135</w:t>
      </w:r>
      <w:r w:rsidR="00B51253" w:rsidRPr="003B5EA4">
        <w:t> </w:t>
      </w:r>
      <w:r w:rsidRPr="003B5EA4">
        <w:t>francs suisses en cas d</w:t>
      </w:r>
      <w:r w:rsidR="00762E0A">
        <w:t>’</w:t>
      </w:r>
      <w:r w:rsidRPr="003B5EA4">
        <w:t>émission par le biais de l</w:t>
      </w:r>
      <w:r w:rsidR="00762E0A">
        <w:t>’</w:t>
      </w:r>
      <w:r w:rsidRPr="003B5EA4">
        <w:t>agence de voyages ;</w:t>
      </w:r>
    </w:p>
    <w:p w:rsidR="00A15271" w:rsidRPr="003B5EA4" w:rsidRDefault="00A15271" w:rsidP="00BC6931">
      <w:pPr>
        <w:pStyle w:val="Bullet1G"/>
      </w:pPr>
      <w:r w:rsidRPr="003B5EA4">
        <w:t>Au siège de l</w:t>
      </w:r>
      <w:r w:rsidR="00762E0A">
        <w:t>’</w:t>
      </w:r>
      <w:r w:rsidRPr="003B5EA4">
        <w:t>UNICEF, le taux d</w:t>
      </w:r>
      <w:r w:rsidR="00762E0A">
        <w:t>’</w:t>
      </w:r>
      <w:r w:rsidRPr="003B5EA4">
        <w:t>adoption de l</w:t>
      </w:r>
      <w:r w:rsidR="00762E0A">
        <w:t>’</w:t>
      </w:r>
      <w:r w:rsidRPr="003B5EA4">
        <w:t>outil de réservation en ligne est de 60 % ;</w:t>
      </w:r>
    </w:p>
    <w:p w:rsidR="00A15271" w:rsidRPr="003B5EA4" w:rsidRDefault="00A15271" w:rsidP="00BC6931">
      <w:pPr>
        <w:pStyle w:val="Bullet1G"/>
      </w:pPr>
      <w:r w:rsidRPr="003B5EA4">
        <w:rPr>
          <w:bCs/>
        </w:rPr>
        <w:t>La mise en ligne de l</w:t>
      </w:r>
      <w:r w:rsidR="00762E0A">
        <w:rPr>
          <w:bCs/>
        </w:rPr>
        <w:t>’</w:t>
      </w:r>
      <w:r w:rsidRPr="003B5EA4">
        <w:rPr>
          <w:bCs/>
        </w:rPr>
        <w:t>outil de réservation de l</w:t>
      </w:r>
      <w:r w:rsidR="00762E0A">
        <w:rPr>
          <w:bCs/>
        </w:rPr>
        <w:t>’</w:t>
      </w:r>
      <w:r w:rsidRPr="003B5EA4">
        <w:rPr>
          <w:bCs/>
        </w:rPr>
        <w:t xml:space="preserve">ONUDI en </w:t>
      </w:r>
      <w:r w:rsidRPr="003B5EA4">
        <w:t>2013 a conduit à une réduction de 50</w:t>
      </w:r>
      <w:r w:rsidR="00B51253" w:rsidRPr="003B5EA4">
        <w:t> %</w:t>
      </w:r>
      <w:r w:rsidRPr="003B5EA4">
        <w:t xml:space="preserve"> à 65 % des frais de transaction et à des économies estimées à 120 000 euros en 2013, 140</w:t>
      </w:r>
      <w:r w:rsidR="00B51253" w:rsidRPr="003B5EA4">
        <w:t> </w:t>
      </w:r>
      <w:r w:rsidRPr="003B5EA4">
        <w:t>000</w:t>
      </w:r>
      <w:r w:rsidR="00B51253" w:rsidRPr="003B5EA4">
        <w:t> </w:t>
      </w:r>
      <w:r w:rsidRPr="003B5EA4">
        <w:t>euros en 2014 et 150 000 euros en 2015. Les responsables interrogés ont par ailleurs indiqué que le progiciel de gestion intégré introduit en 2011 n</w:t>
      </w:r>
      <w:r w:rsidR="00762E0A">
        <w:t>’</w:t>
      </w:r>
      <w:r w:rsidRPr="003B5EA4">
        <w:t>avait pas été opérationnel pendant les deux premières années, mais qu</w:t>
      </w:r>
      <w:r w:rsidR="00762E0A">
        <w:t>’</w:t>
      </w:r>
      <w:r w:rsidRPr="003B5EA4">
        <w:t>il avait depuis contribué à améliorer l</w:t>
      </w:r>
      <w:r w:rsidR="00762E0A">
        <w:t>’</w:t>
      </w:r>
      <w:r w:rsidRPr="003B5EA4">
        <w:t>administration des voyages en termes de transparence, de disponibilité de l</w:t>
      </w:r>
      <w:r w:rsidR="00762E0A">
        <w:t>’</w:t>
      </w:r>
      <w:r w:rsidRPr="003B5EA4">
        <w:t>information et de gain de temps.</w:t>
      </w:r>
    </w:p>
    <w:p w:rsidR="00A15271" w:rsidRPr="003B5EA4" w:rsidRDefault="00A15271" w:rsidP="00A15271">
      <w:pPr>
        <w:pStyle w:val="SingleTxtG"/>
      </w:pPr>
      <w:r w:rsidRPr="003B5EA4">
        <w:t>192.</w:t>
      </w:r>
      <w:r w:rsidRPr="003B5EA4">
        <w:tab/>
        <w:t xml:space="preserve">Les avantages des outils de réservation en ligne ont été soulignés par certains organismes prenant part aux réunions annuelles </w:t>
      </w:r>
      <w:r w:rsidR="00B51253" w:rsidRPr="003B5EA4">
        <w:t>d</w:t>
      </w:r>
      <w:r w:rsidRPr="003B5EA4">
        <w:t>u Réseau interinstitutions Voyages. Les organismes doivent continuellement perfectionner leurs progiciels de gestion intégrés et veiller à l</w:t>
      </w:r>
      <w:r w:rsidR="00762E0A">
        <w:t>’</w:t>
      </w:r>
      <w:r w:rsidRPr="003B5EA4">
        <w:t>intégration complète d</w:t>
      </w:r>
      <w:r w:rsidR="00762E0A">
        <w:t>’</w:t>
      </w:r>
      <w:r w:rsidRPr="003B5EA4">
        <w:t>outils de réservation en ligne afin de simplifier le travail des utilisateurs et de rationaliser les processus.</w:t>
      </w:r>
    </w:p>
    <w:p w:rsidR="00506E3C" w:rsidRPr="003B5EA4" w:rsidRDefault="00506E3C" w:rsidP="00A15271">
      <w:pPr>
        <w:pStyle w:val="SingleTxtG"/>
        <w:rPr>
          <w:bCs/>
        </w:rPr>
      </w:pPr>
      <w:r w:rsidRPr="003B5EA4">
        <w:t>193.</w:t>
      </w:r>
      <w:r w:rsidRPr="003B5EA4">
        <w:tab/>
      </w:r>
      <w:r w:rsidRPr="003B5EA4">
        <w:rPr>
          <w:bCs/>
        </w:rPr>
        <w:t>La mise en œuvre de la recommandation suivante devrait favoriser une plus grande efficience dans l</w:t>
      </w:r>
      <w:r w:rsidR="00762E0A">
        <w:rPr>
          <w:bCs/>
        </w:rPr>
        <w:t>’</w:t>
      </w:r>
      <w:r w:rsidRPr="003B5EA4">
        <w:rPr>
          <w:bCs/>
        </w:rPr>
        <w:t>administration des voyages en avion et permettre de réaliser des économies substantielles.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06E3C" w:rsidRPr="003B5EA4" w:rsidTr="00101BB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506E3C" w:rsidRPr="003B5EA4" w:rsidRDefault="00506E3C" w:rsidP="00101BBD"/>
        </w:tc>
      </w:tr>
      <w:tr w:rsidR="00506E3C" w:rsidRPr="003B5EA4" w:rsidTr="00101BBD">
        <w:trPr>
          <w:jc w:val="center"/>
        </w:trPr>
        <w:tc>
          <w:tcPr>
            <w:tcW w:w="7653" w:type="dxa"/>
            <w:tcBorders>
              <w:left w:val="single" w:sz="4" w:space="0" w:color="auto"/>
              <w:bottom w:val="nil"/>
              <w:right w:val="single" w:sz="4" w:space="0" w:color="auto"/>
            </w:tcBorders>
            <w:shd w:val="clear" w:color="auto" w:fill="auto"/>
          </w:tcPr>
          <w:p w:rsidR="00506E3C" w:rsidRPr="003B5EA4" w:rsidRDefault="00506E3C" w:rsidP="00101BBD">
            <w:pPr>
              <w:spacing w:after="120"/>
              <w:jc w:val="both"/>
            </w:pPr>
            <w:r w:rsidRPr="003B5EA4">
              <w:rPr>
                <w:b/>
              </w:rPr>
              <w:t>Recommandation 6</w:t>
            </w:r>
          </w:p>
        </w:tc>
      </w:tr>
      <w:tr w:rsidR="00506E3C" w:rsidRPr="003B5EA4" w:rsidTr="00101BBD">
        <w:trPr>
          <w:jc w:val="center"/>
        </w:trPr>
        <w:tc>
          <w:tcPr>
            <w:tcW w:w="7653" w:type="dxa"/>
            <w:tcBorders>
              <w:left w:val="single" w:sz="4" w:space="0" w:color="auto"/>
              <w:bottom w:val="nil"/>
              <w:right w:val="single" w:sz="4" w:space="0" w:color="auto"/>
            </w:tcBorders>
            <w:shd w:val="clear" w:color="auto" w:fill="auto"/>
          </w:tcPr>
          <w:p w:rsidR="00506E3C" w:rsidRPr="003B5EA4" w:rsidRDefault="00506E3C" w:rsidP="00506E3C">
            <w:pPr>
              <w:spacing w:after="120"/>
              <w:ind w:firstLine="567"/>
              <w:jc w:val="both"/>
              <w:rPr>
                <w:b/>
              </w:rPr>
            </w:pPr>
            <w:r w:rsidRPr="003B5EA4">
              <w:rPr>
                <w:b/>
              </w:rPr>
              <w:t>Les chefs de secrétariat des organismes des Nations Unies qui ne l</w:t>
            </w:r>
            <w:r w:rsidR="00762E0A">
              <w:rPr>
                <w:b/>
              </w:rPr>
              <w:t>’</w:t>
            </w:r>
            <w:r w:rsidRPr="003B5EA4">
              <w:rPr>
                <w:b/>
              </w:rPr>
              <w:t>ont pas encore fait devraient encourager l</w:t>
            </w:r>
            <w:r w:rsidR="00762E0A">
              <w:rPr>
                <w:b/>
              </w:rPr>
              <w:t>’</w:t>
            </w:r>
            <w:r w:rsidRPr="003B5EA4">
              <w:rPr>
                <w:b/>
              </w:rPr>
              <w:t>utilisation d</w:t>
            </w:r>
            <w:r w:rsidR="00762E0A">
              <w:rPr>
                <w:b/>
              </w:rPr>
              <w:t>’</w:t>
            </w:r>
            <w:r w:rsidRPr="003B5EA4">
              <w:rPr>
                <w:b/>
              </w:rPr>
              <w:t>outils de réservation en ligne des voyages en avion, actualiser leurs politiques en matière de voyages en y incluant des directives d</w:t>
            </w:r>
            <w:r w:rsidR="00762E0A">
              <w:rPr>
                <w:b/>
              </w:rPr>
              <w:t>’</w:t>
            </w:r>
            <w:r w:rsidRPr="003B5EA4">
              <w:rPr>
                <w:b/>
              </w:rPr>
              <w:t>exploitation optimale de ces outils, et envisager d</w:t>
            </w:r>
            <w:r w:rsidR="00762E0A">
              <w:rPr>
                <w:b/>
              </w:rPr>
              <w:t>’</w:t>
            </w:r>
            <w:r w:rsidRPr="003B5EA4">
              <w:rPr>
                <w:b/>
              </w:rPr>
              <w:t>intégrer ceux-ci dans leurs systèmes existants d</w:t>
            </w:r>
            <w:r w:rsidR="00762E0A">
              <w:rPr>
                <w:b/>
              </w:rPr>
              <w:t>’</w:t>
            </w:r>
            <w:r w:rsidRPr="003B5EA4">
              <w:rPr>
                <w:b/>
              </w:rPr>
              <w:t>ici à 2020.</w:t>
            </w:r>
          </w:p>
        </w:tc>
      </w:tr>
      <w:tr w:rsidR="00506E3C" w:rsidRPr="003B5EA4" w:rsidTr="00101BB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506E3C" w:rsidRPr="003B5EA4" w:rsidRDefault="00506E3C" w:rsidP="00101BBD"/>
        </w:tc>
      </w:tr>
    </w:tbl>
    <w:p w:rsidR="00506E3C" w:rsidRPr="003B5EA4" w:rsidRDefault="0080064E" w:rsidP="0080064E">
      <w:pPr>
        <w:pStyle w:val="H1G"/>
      </w:pPr>
      <w:r w:rsidRPr="003B5EA4">
        <w:tab/>
        <w:t>D.</w:t>
      </w:r>
      <w:r w:rsidRPr="003B5EA4">
        <w:tab/>
        <w:t>Extension du régime de la somme forfaitaire à d</w:t>
      </w:r>
      <w:r w:rsidR="00762E0A">
        <w:t>’</w:t>
      </w:r>
      <w:r w:rsidRPr="003B5EA4">
        <w:t xml:space="preserve">autres catégories </w:t>
      </w:r>
      <w:r w:rsidRPr="003B5EA4">
        <w:br/>
        <w:t>de voyages statutaires</w:t>
      </w:r>
    </w:p>
    <w:p w:rsidR="0080064E" w:rsidRPr="003B5EA4" w:rsidRDefault="0080064E" w:rsidP="0080064E">
      <w:pPr>
        <w:pStyle w:val="SingleTxtG"/>
        <w:rPr>
          <w:bCs/>
        </w:rPr>
      </w:pPr>
      <w:r w:rsidRPr="003B5EA4">
        <w:t>194.</w:t>
      </w:r>
      <w:r w:rsidRPr="003B5EA4">
        <w:tab/>
        <w:t>L</w:t>
      </w:r>
      <w:r w:rsidR="00762E0A">
        <w:t>’</w:t>
      </w:r>
      <w:r w:rsidRPr="003B5EA4">
        <w:t>option de la somme forfaitaire</w:t>
      </w:r>
      <w:r w:rsidRPr="003B5EA4">
        <w:rPr>
          <w:rStyle w:val="Appelnotedebasdep"/>
        </w:rPr>
        <w:footnoteReference w:id="168"/>
      </w:r>
      <w:r w:rsidRPr="003B5EA4">
        <w:t xml:space="preserve"> a d</w:t>
      </w:r>
      <w:r w:rsidR="00762E0A">
        <w:t>’</w:t>
      </w:r>
      <w:r w:rsidRPr="003B5EA4">
        <w:t>abord été expérimentée au Secrétariat de l</w:t>
      </w:r>
      <w:r w:rsidR="00762E0A">
        <w:t>’</w:t>
      </w:r>
      <w:r w:rsidRPr="003B5EA4">
        <w:t>ONU en 1990</w:t>
      </w:r>
      <w:r w:rsidRPr="003B5EA4">
        <w:rPr>
          <w:rStyle w:val="Appelnotedebasdep"/>
        </w:rPr>
        <w:footnoteReference w:id="169"/>
      </w:r>
      <w:r w:rsidRPr="003B5EA4">
        <w:t>, pour certaines catégories de voyages statutaires. Adoptée, elle a été étendue à toutes les entités des Nations Unies</w:t>
      </w:r>
      <w:r w:rsidRPr="003B5EA4">
        <w:rPr>
          <w:rStyle w:val="Appelnotedebasdep"/>
        </w:rPr>
        <w:footnoteReference w:id="170"/>
      </w:r>
      <w:r w:rsidRPr="003B5EA4">
        <w:t>. Certains organismes ne l</w:t>
      </w:r>
      <w:r w:rsidR="00762E0A">
        <w:t>’</w:t>
      </w:r>
      <w:r w:rsidRPr="003B5EA4">
        <w:t>utilisent toutefois pas pour toutes les catégories de voyages statutaires, même si la faisabilité d</w:t>
      </w:r>
      <w:r w:rsidR="00762E0A">
        <w:t>’</w:t>
      </w:r>
      <w:r w:rsidRPr="003B5EA4">
        <w:t>une telle généralisation a été confirmée par une étude du BSCI effectuée en 2013</w:t>
      </w:r>
      <w:r w:rsidRPr="003B5EA4">
        <w:rPr>
          <w:rStyle w:val="Appelnotedebasdep"/>
        </w:rPr>
        <w:footnoteReference w:id="171"/>
      </w:r>
      <w:r w:rsidRPr="003B5EA4">
        <w:t>. Dans les entretiens menés avec les représentants des organismes de l</w:t>
      </w:r>
      <w:r w:rsidR="00762E0A">
        <w:t>’</w:t>
      </w:r>
      <w:r w:rsidRPr="003B5EA4">
        <w:t>ONU</w:t>
      </w:r>
      <w:r w:rsidRPr="003B5EA4">
        <w:rPr>
          <w:bCs/>
        </w:rPr>
        <w:t xml:space="preserve">, la somme forfaitaire a été qualifiée de solution gagnant-gagnant censée en principe motiver le personnel, réduire la charge de travail administratif et produire de substantielles économies pour les </w:t>
      </w:r>
      <w:r w:rsidRPr="003B5EA4">
        <w:rPr>
          <w:bCs/>
        </w:rPr>
        <w:lastRenderedPageBreak/>
        <w:t>organismes.</w:t>
      </w:r>
      <w:r w:rsidRPr="003B5EA4">
        <w:t xml:space="preserve"> L</w:t>
      </w:r>
      <w:r w:rsidR="00762E0A">
        <w:t>’</w:t>
      </w:r>
      <w:r w:rsidRPr="003B5EA4">
        <w:rPr>
          <w:bCs/>
        </w:rPr>
        <w:t>annexe X montre les catégories de voyages auxquelles la somme forfaitaire s</w:t>
      </w:r>
      <w:r w:rsidR="00762E0A">
        <w:rPr>
          <w:bCs/>
        </w:rPr>
        <w:t>’</w:t>
      </w:r>
      <w:r w:rsidRPr="003B5EA4">
        <w:rPr>
          <w:bCs/>
        </w:rPr>
        <w:t>applique pour chaque organisme, ainsi que son pourcentage d</w:t>
      </w:r>
      <w:r w:rsidR="00762E0A">
        <w:rPr>
          <w:bCs/>
        </w:rPr>
        <w:t>’</w:t>
      </w:r>
      <w:r w:rsidRPr="003B5EA4">
        <w:rPr>
          <w:bCs/>
        </w:rPr>
        <w:t>utilisation.</w:t>
      </w:r>
    </w:p>
    <w:p w:rsidR="0080064E" w:rsidRPr="003B5EA4" w:rsidRDefault="0080064E" w:rsidP="0080064E">
      <w:pPr>
        <w:pStyle w:val="SingleTxtG"/>
      </w:pPr>
      <w:r w:rsidRPr="003B5EA4">
        <w:t>195.</w:t>
      </w:r>
      <w:r w:rsidRPr="003B5EA4">
        <w:tab/>
        <w:t>En janvier 2017, le Secrétaire général a rapporté que selon une étude menée par le Secrétariat de l</w:t>
      </w:r>
      <w:r w:rsidR="00762E0A">
        <w:t>’</w:t>
      </w:r>
      <w:r w:rsidRPr="003B5EA4">
        <w:t>ONU sur le coût de la somme forfaitaire, et fondée sur les données obtenues de près de 1 300 fonctionnaires pour la période allant de juillet 2014 à juin 2015, le montant moyen de la somme forfaitaire versée à un fonctionnaire était de 21 % inférieur à l</w:t>
      </w:r>
      <w:r w:rsidR="00762E0A">
        <w:t>’</w:t>
      </w:r>
      <w:r w:rsidRPr="003B5EA4">
        <w:t>autre formule consistant à prendre en charge les billets, les faux frais au départ et à l</w:t>
      </w:r>
      <w:r w:rsidR="00762E0A">
        <w:t>’</w:t>
      </w:r>
      <w:r w:rsidRPr="003B5EA4">
        <w:t>arrivée et les frais d</w:t>
      </w:r>
      <w:r w:rsidR="00762E0A">
        <w:t>’</w:t>
      </w:r>
      <w:r w:rsidRPr="003B5EA4">
        <w:t>expédition</w:t>
      </w:r>
      <w:r w:rsidRPr="003B5EA4">
        <w:rPr>
          <w:rStyle w:val="Appelnotedebasdep"/>
        </w:rPr>
        <w:footnoteReference w:id="172"/>
      </w:r>
      <w:r w:rsidRPr="003B5EA4">
        <w:t>.</w:t>
      </w:r>
    </w:p>
    <w:p w:rsidR="001417ED" w:rsidRPr="003B5EA4" w:rsidRDefault="001417ED" w:rsidP="0080064E">
      <w:pPr>
        <w:pStyle w:val="SingleTxtG"/>
        <w:rPr>
          <w:bCs/>
        </w:rPr>
      </w:pPr>
      <w:r w:rsidRPr="003B5EA4">
        <w:t>196.</w:t>
      </w:r>
      <w:r w:rsidRPr="003B5EA4">
        <w:tab/>
      </w:r>
      <w:r w:rsidRPr="003B5EA4">
        <w:rPr>
          <w:bCs/>
        </w:rPr>
        <w:t>Compte tenu des gains d</w:t>
      </w:r>
      <w:r w:rsidR="00762E0A">
        <w:rPr>
          <w:bCs/>
        </w:rPr>
        <w:t>’</w:t>
      </w:r>
      <w:r w:rsidRPr="003B5EA4">
        <w:rPr>
          <w:bCs/>
        </w:rPr>
        <w:t>efficience et des économies à réaliser, l</w:t>
      </w:r>
      <w:r w:rsidR="00762E0A">
        <w:rPr>
          <w:bCs/>
        </w:rPr>
        <w:t>’</w:t>
      </w:r>
      <w:r w:rsidRPr="003B5EA4">
        <w:rPr>
          <w:bCs/>
        </w:rPr>
        <w:t>Inspectrice souscrit à la recommandation que la Commission pour les question</w:t>
      </w:r>
      <w:r w:rsidR="005A34DD">
        <w:rPr>
          <w:bCs/>
        </w:rPr>
        <w:t>s</w:t>
      </w:r>
      <w:r w:rsidRPr="003B5EA4">
        <w:rPr>
          <w:bCs/>
        </w:rPr>
        <w:t xml:space="preserve"> administratives et budgétaires fait à l</w:t>
      </w:r>
      <w:r w:rsidR="00762E0A">
        <w:rPr>
          <w:bCs/>
        </w:rPr>
        <w:t>’</w:t>
      </w:r>
      <w:r w:rsidRPr="003B5EA4">
        <w:rPr>
          <w:bCs/>
        </w:rPr>
        <w:t>Assemblée générale dans son rapport de 2017, de prier le Secrétaire général de prendre les dispositions nécessaires pour mettre en œuvre un projet pilote obligeant tous les fonctionnaires à opter pour la somme forfaitaire à l</w:t>
      </w:r>
      <w:r w:rsidR="00762E0A">
        <w:rPr>
          <w:bCs/>
        </w:rPr>
        <w:t>’</w:t>
      </w:r>
      <w:r w:rsidRPr="003B5EA4">
        <w:rPr>
          <w:bCs/>
        </w:rPr>
        <w:t>occasion de leurs congés dans les foyers, visites familiales ou voyages au titre des études</w:t>
      </w:r>
      <w:r w:rsidRPr="003B5EA4">
        <w:rPr>
          <w:rStyle w:val="Appelnotedebasdep"/>
        </w:rPr>
        <w:footnoteReference w:id="173"/>
      </w:r>
      <w:r w:rsidRPr="003B5EA4">
        <w:rPr>
          <w:bCs/>
        </w:rPr>
        <w:t>.</w:t>
      </w:r>
    </w:p>
    <w:p w:rsidR="001417ED" w:rsidRPr="003B5EA4" w:rsidRDefault="001417ED" w:rsidP="0080064E">
      <w:pPr>
        <w:pStyle w:val="SingleTxtG"/>
        <w:rPr>
          <w:b/>
          <w:bCs/>
        </w:rPr>
      </w:pPr>
      <w:r w:rsidRPr="003B5EA4">
        <w:rPr>
          <w:bCs/>
        </w:rPr>
        <w:t>197.</w:t>
      </w:r>
      <w:r w:rsidRPr="003B5EA4">
        <w:rPr>
          <w:bCs/>
        </w:rPr>
        <w:tab/>
        <w:t>Dans ce contexte, le fait d</w:t>
      </w:r>
      <w:r w:rsidR="00762E0A">
        <w:rPr>
          <w:bCs/>
        </w:rPr>
        <w:t>’</w:t>
      </w:r>
      <w:r w:rsidRPr="003B5EA4">
        <w:rPr>
          <w:bCs/>
        </w:rPr>
        <w:t>étendre le régime de la somme forfaitaire à d</w:t>
      </w:r>
      <w:r w:rsidR="00762E0A">
        <w:rPr>
          <w:bCs/>
        </w:rPr>
        <w:t>’</w:t>
      </w:r>
      <w:r w:rsidRPr="003B5EA4">
        <w:rPr>
          <w:bCs/>
        </w:rPr>
        <w:t>autres catégories de voyages statutaires sera avantageux à la fois pour les fonctionnaires et l</w:t>
      </w:r>
      <w:r w:rsidR="00762E0A">
        <w:rPr>
          <w:bCs/>
        </w:rPr>
        <w:t>’</w:t>
      </w:r>
      <w:r w:rsidRPr="003B5EA4">
        <w:rPr>
          <w:bCs/>
        </w:rPr>
        <w:t>organisme employeur. À cet égard, les organes directeurs des organismes des Nations Unies pourraient examiner et réviser les politiques régissant la somme forfaitaire, selon les besoins, pour s</w:t>
      </w:r>
      <w:r w:rsidR="00762E0A">
        <w:rPr>
          <w:bCs/>
        </w:rPr>
        <w:t>’</w:t>
      </w:r>
      <w:r w:rsidRPr="003B5EA4">
        <w:rPr>
          <w:bCs/>
        </w:rPr>
        <w:t>assurer qu</w:t>
      </w:r>
      <w:r w:rsidR="00762E0A">
        <w:rPr>
          <w:bCs/>
        </w:rPr>
        <w:t>’</w:t>
      </w:r>
      <w:r w:rsidRPr="003B5EA4">
        <w:rPr>
          <w:bCs/>
        </w:rPr>
        <w:t xml:space="preserve">elles encouragent suffisamment le personnel à choisir cette formule. </w:t>
      </w:r>
      <w:r w:rsidRPr="003B5EA4">
        <w:rPr>
          <w:b/>
          <w:bCs/>
        </w:rPr>
        <w:t>L</w:t>
      </w:r>
      <w:r w:rsidR="00762E0A">
        <w:rPr>
          <w:b/>
          <w:bCs/>
        </w:rPr>
        <w:t>’</w:t>
      </w:r>
      <w:r w:rsidRPr="003B5EA4">
        <w:rPr>
          <w:b/>
          <w:bCs/>
        </w:rPr>
        <w:t>Inspectrice est d</w:t>
      </w:r>
      <w:r w:rsidR="00762E0A">
        <w:rPr>
          <w:b/>
          <w:bCs/>
        </w:rPr>
        <w:t>’</w:t>
      </w:r>
      <w:r w:rsidRPr="003B5EA4">
        <w:rPr>
          <w:b/>
          <w:bCs/>
        </w:rPr>
        <w:t>avis que les chefs de secrétariat des organismes des Nations Unies devraient envisager l</w:t>
      </w:r>
      <w:r w:rsidR="00762E0A">
        <w:rPr>
          <w:b/>
          <w:bCs/>
        </w:rPr>
        <w:t>’</w:t>
      </w:r>
      <w:r w:rsidRPr="003B5EA4">
        <w:rPr>
          <w:b/>
          <w:bCs/>
        </w:rPr>
        <w:t>extension du régime de la somme forfaitaire à toutes les catégories de voyages statutaires, et encourager leur personnel à opter, le cas échéant, pour cette formule.</w:t>
      </w:r>
    </w:p>
    <w:p w:rsidR="001417ED" w:rsidRPr="003B5EA4" w:rsidRDefault="001417ED" w:rsidP="001417ED">
      <w:pPr>
        <w:pStyle w:val="H1G"/>
      </w:pPr>
      <w:r w:rsidRPr="003B5EA4">
        <w:tab/>
        <w:t>E.</w:t>
      </w:r>
      <w:r w:rsidRPr="003B5EA4">
        <w:tab/>
        <w:t>Recours à des agences de voyage</w:t>
      </w:r>
      <w:r w:rsidR="005A34DD">
        <w:t xml:space="preserve">s </w:t>
      </w:r>
      <w:r w:rsidRPr="003B5EA4">
        <w:t>délocalisées ou hors site</w:t>
      </w:r>
    </w:p>
    <w:p w:rsidR="001417ED" w:rsidRPr="003B5EA4" w:rsidRDefault="001417ED" w:rsidP="001417ED">
      <w:pPr>
        <w:pStyle w:val="SingleTxtG"/>
        <w:rPr>
          <w:bCs/>
        </w:rPr>
      </w:pPr>
      <w:r w:rsidRPr="003B5EA4">
        <w:t>198.</w:t>
      </w:r>
      <w:r w:rsidRPr="003B5EA4">
        <w:tab/>
      </w:r>
      <w:r w:rsidRPr="003B5EA4">
        <w:rPr>
          <w:bCs/>
        </w:rPr>
        <w:t>Alors que le recours aux services d</w:t>
      </w:r>
      <w:r w:rsidR="00762E0A">
        <w:rPr>
          <w:bCs/>
        </w:rPr>
        <w:t>’</w:t>
      </w:r>
      <w:r w:rsidRPr="003B5EA4">
        <w:rPr>
          <w:bCs/>
        </w:rPr>
        <w:t>une société de gestion de voyages hors site peut réduire les dépenses qu</w:t>
      </w:r>
      <w:r w:rsidR="00762E0A">
        <w:rPr>
          <w:bCs/>
        </w:rPr>
        <w:t>’</w:t>
      </w:r>
      <w:r w:rsidRPr="003B5EA4">
        <w:rPr>
          <w:bCs/>
        </w:rPr>
        <w:t>un organisme engage au titre de ses voyages, dès lors que la société pourra être dispensée d</w:t>
      </w:r>
      <w:r w:rsidR="00762E0A">
        <w:rPr>
          <w:bCs/>
        </w:rPr>
        <w:t>’</w:t>
      </w:r>
      <w:r w:rsidRPr="003B5EA4">
        <w:rPr>
          <w:bCs/>
        </w:rPr>
        <w:t>affecter des employés aux locaux de l</w:t>
      </w:r>
      <w:r w:rsidR="00762E0A">
        <w:rPr>
          <w:bCs/>
        </w:rPr>
        <w:t>’</w:t>
      </w:r>
      <w:r w:rsidRPr="003B5EA4">
        <w:rPr>
          <w:bCs/>
        </w:rPr>
        <w:t>organisme, ou pourra les y affecter moins nombreux, et que le prix de la main-d</w:t>
      </w:r>
      <w:r w:rsidR="00762E0A">
        <w:rPr>
          <w:bCs/>
        </w:rPr>
        <w:t>’</w:t>
      </w:r>
      <w:r w:rsidRPr="003B5EA4">
        <w:rPr>
          <w:bCs/>
        </w:rPr>
        <w:t>œuvre sera également moins élevé si elle mène ses activités dans un endroit moins cher, seuls trois entités des Nations Unies ont dit avoir pris de telles dispositions, et rien n</w:t>
      </w:r>
      <w:r w:rsidR="00762E0A">
        <w:rPr>
          <w:bCs/>
        </w:rPr>
        <w:t>’</w:t>
      </w:r>
      <w:r w:rsidRPr="003B5EA4">
        <w:rPr>
          <w:bCs/>
        </w:rPr>
        <w:t>a été communiqué au CCI quant aux économies totales qui auraient été réalisées.</w:t>
      </w:r>
    </w:p>
    <w:p w:rsidR="00D97F50" w:rsidRPr="003B5EA4" w:rsidRDefault="001417ED" w:rsidP="001417ED">
      <w:pPr>
        <w:pStyle w:val="SingleTxtG"/>
      </w:pPr>
      <w:r w:rsidRPr="003B5EA4">
        <w:t>199.</w:t>
      </w:r>
      <w:r w:rsidRPr="003B5EA4">
        <w:tab/>
      </w:r>
      <w:r w:rsidRPr="003B5EA4">
        <w:rPr>
          <w:bCs/>
        </w:rPr>
        <w:t xml:space="preserve">Le CCI a appris que le </w:t>
      </w:r>
      <w:r w:rsidRPr="003B5EA4">
        <w:t>PAM</w:t>
      </w:r>
      <w:r w:rsidRPr="003B5EA4">
        <w:rPr>
          <w:b/>
          <w:bCs/>
        </w:rPr>
        <w:t xml:space="preserve"> </w:t>
      </w:r>
      <w:r w:rsidRPr="003B5EA4">
        <w:t xml:space="preserve">avait créé un groupe des voyages à New Delhi </w:t>
      </w:r>
      <w:r w:rsidR="00C11AA2" w:rsidRPr="003B5EA4">
        <w:t>− </w:t>
      </w:r>
      <w:r w:rsidRPr="003B5EA4">
        <w:t>supervisé par le groupe des voyages à Rome </w:t>
      </w:r>
      <w:r w:rsidR="00C11AA2" w:rsidRPr="003B5EA4">
        <w:t>−</w:t>
      </w:r>
      <w:r w:rsidRPr="003B5EA4">
        <w:t xml:space="preserve"> pour administrer à l</w:t>
      </w:r>
      <w:r w:rsidR="00762E0A">
        <w:t>’</w:t>
      </w:r>
      <w:r w:rsidRPr="003B5EA4">
        <w:t>échelle mondiale tous les voyages statutaires des 1</w:t>
      </w:r>
      <w:r w:rsidR="00C11AA2" w:rsidRPr="003B5EA4">
        <w:t> </w:t>
      </w:r>
      <w:r w:rsidRPr="003B5EA4">
        <w:t>400</w:t>
      </w:r>
      <w:r w:rsidR="00C11AA2" w:rsidRPr="003B5EA4">
        <w:t> </w:t>
      </w:r>
      <w:r w:rsidRPr="003B5EA4">
        <w:t>administrateurs du programme recrutés sur le plan international. Au cours des entretiens, le PAM s</w:t>
      </w:r>
      <w:r w:rsidR="00762E0A">
        <w:t>’</w:t>
      </w:r>
      <w:r w:rsidRPr="003B5EA4">
        <w:t>est félicité du faible taux d</w:t>
      </w:r>
      <w:r w:rsidR="00762E0A">
        <w:t>’</w:t>
      </w:r>
      <w:r w:rsidRPr="003B5EA4">
        <w:t>erreurs du groupe attestant les gains d</w:t>
      </w:r>
      <w:r w:rsidR="00762E0A">
        <w:t>’</w:t>
      </w:r>
      <w:r w:rsidRPr="003B5EA4">
        <w:t>efficience qui peuvent être réalisés en centralisant les fonctions.</w:t>
      </w:r>
    </w:p>
    <w:p w:rsidR="00C11AA2" w:rsidRPr="003B5EA4" w:rsidRDefault="00C11AA2" w:rsidP="00C11AA2">
      <w:pPr>
        <w:pStyle w:val="SingleTxtG"/>
      </w:pPr>
      <w:r w:rsidRPr="003B5EA4">
        <w:t>200.</w:t>
      </w:r>
      <w:r w:rsidRPr="003B5EA4">
        <w:tab/>
        <w:t>L</w:t>
      </w:r>
      <w:r w:rsidR="00762E0A">
        <w:t>’</w:t>
      </w:r>
      <w:r w:rsidRPr="003B5EA4">
        <w:t>ONUSIDA sous-traite ses voyages à Carlson Wagonlit Travel en Pologne et ne dispose plus de société de gestion de voyages sur place, ce qui lui permet d</w:t>
      </w:r>
      <w:r w:rsidR="00762E0A">
        <w:t>’</w:t>
      </w:r>
      <w:r w:rsidRPr="003B5EA4">
        <w:t>économiser de 51 à 67 francs suisses par transaction. L</w:t>
      </w:r>
      <w:r w:rsidR="00762E0A">
        <w:t>’</w:t>
      </w:r>
      <w:r w:rsidRPr="003B5EA4">
        <w:t>ONUG</w:t>
      </w:r>
      <w:r w:rsidRPr="003B5EA4">
        <w:rPr>
          <w:bCs/>
        </w:rPr>
        <w:t xml:space="preserve"> pratique une solution hybride avec son agence de voyages </w:t>
      </w:r>
      <w:r w:rsidRPr="003B5EA4">
        <w:t>(Carlson Wagonlit Travel), dont le bureau polonais, hors site, facture 64 francs suisse</w:t>
      </w:r>
      <w:r w:rsidR="00F450EA">
        <w:t>s</w:t>
      </w:r>
      <w:r w:rsidRPr="003B5EA4">
        <w:t xml:space="preserve"> par transaction, et le bureau genevois, sur place, facture </w:t>
      </w:r>
      <w:r w:rsidRPr="003B5EA4">
        <w:rPr>
          <w:bCs/>
        </w:rPr>
        <w:t>135 francs suisse</w:t>
      </w:r>
      <w:r w:rsidR="00F450EA">
        <w:rPr>
          <w:bCs/>
        </w:rPr>
        <w:t>s</w:t>
      </w:r>
      <w:r w:rsidRPr="003B5EA4">
        <w:rPr>
          <w:bCs/>
        </w:rPr>
        <w:t xml:space="preserve"> la transaction. Parmi les autres organisations internationales, la BID fait appel à une société de gestion de voyages qui s</w:t>
      </w:r>
      <w:r w:rsidR="00762E0A">
        <w:rPr>
          <w:bCs/>
        </w:rPr>
        <w:t>’</w:t>
      </w:r>
      <w:r w:rsidRPr="003B5EA4">
        <w:rPr>
          <w:bCs/>
        </w:rPr>
        <w:t>occupe des voyages des bureaux de pays au moyen de centres d</w:t>
      </w:r>
      <w:r w:rsidR="00762E0A">
        <w:rPr>
          <w:bCs/>
        </w:rPr>
        <w:t>’</w:t>
      </w:r>
      <w:r w:rsidRPr="003B5EA4">
        <w:rPr>
          <w:bCs/>
        </w:rPr>
        <w:t>appel</w:t>
      </w:r>
      <w:r w:rsidR="00F450EA">
        <w:rPr>
          <w:bCs/>
        </w:rPr>
        <w:t>s</w:t>
      </w:r>
      <w:r w:rsidRPr="003B5EA4">
        <w:rPr>
          <w:bCs/>
        </w:rPr>
        <w:t xml:space="preserve"> régionaux. </w:t>
      </w:r>
      <w:r w:rsidRPr="003B5EA4">
        <w:t>L</w:t>
      </w:r>
      <w:r w:rsidR="00762E0A">
        <w:t>’</w:t>
      </w:r>
      <w:r w:rsidRPr="003B5EA4">
        <w:rPr>
          <w:bCs/>
        </w:rPr>
        <w:t xml:space="preserve">OIM </w:t>
      </w:r>
      <w:r w:rsidRPr="003B5EA4">
        <w:t>charge quant à elle une société de gestion de voyages située à Manille de traiter et de régler toutes les factures de voyages. L</w:t>
      </w:r>
      <w:r w:rsidR="00762E0A">
        <w:t>’</w:t>
      </w:r>
      <w:r w:rsidRPr="003B5EA4">
        <w:t xml:space="preserve">Alliance </w:t>
      </w:r>
      <w:r w:rsidRPr="003B5EA4">
        <w:rPr>
          <w:bCs/>
        </w:rPr>
        <w:t>GAVI projette de réduire le personnel des voyages se trouvant sur place en faisant traiter 60 % de ses voyages en ligne, par une société de gestion de voyages délocalisée</w:t>
      </w:r>
      <w:r w:rsidRPr="003B5EA4">
        <w:t>.</w:t>
      </w:r>
    </w:p>
    <w:p w:rsidR="00C11AA2" w:rsidRPr="003B5EA4" w:rsidRDefault="00C11AA2" w:rsidP="00C11AA2">
      <w:pPr>
        <w:pStyle w:val="SingleTxtG"/>
        <w:rPr>
          <w:b/>
        </w:rPr>
      </w:pPr>
      <w:r w:rsidRPr="003B5EA4">
        <w:t>201.</w:t>
      </w:r>
      <w:r w:rsidRPr="003B5EA4">
        <w:tab/>
        <w:t>Si de substantielles économies peuvent être réalisées en exploitant ces modèle</w:t>
      </w:r>
      <w:r w:rsidR="00F450EA">
        <w:t>s</w:t>
      </w:r>
      <w:r w:rsidRPr="003B5EA4">
        <w:t>, l</w:t>
      </w:r>
      <w:r w:rsidR="00762E0A">
        <w:t>’</w:t>
      </w:r>
      <w:r w:rsidRPr="003B5EA4">
        <w:t>Inspectrice voudrait souligner l</w:t>
      </w:r>
      <w:r w:rsidR="00762E0A">
        <w:t>’</w:t>
      </w:r>
      <w:r w:rsidRPr="003B5EA4">
        <w:t>importance d</w:t>
      </w:r>
      <w:r w:rsidR="00762E0A">
        <w:t>’</w:t>
      </w:r>
      <w:r w:rsidRPr="003B5EA4">
        <w:t>établir de bons canaux de communication avec les agences hors site pour éviter que ne soient compromises l</w:t>
      </w:r>
      <w:r w:rsidR="00762E0A">
        <w:t>’</w:t>
      </w:r>
      <w:r w:rsidRPr="003B5EA4">
        <w:t xml:space="preserve">accessibilité et </w:t>
      </w:r>
      <w:r w:rsidRPr="003B5EA4">
        <w:lastRenderedPageBreak/>
        <w:t>l</w:t>
      </w:r>
      <w:r w:rsidR="00762E0A">
        <w:t>’</w:t>
      </w:r>
      <w:r w:rsidRPr="003B5EA4">
        <w:t>efficience des services de voyages</w:t>
      </w:r>
      <w:r w:rsidRPr="003B5EA4">
        <w:rPr>
          <w:bCs/>
        </w:rPr>
        <w:t xml:space="preserve">. </w:t>
      </w:r>
      <w:r w:rsidRPr="003B5EA4">
        <w:rPr>
          <w:b/>
        </w:rPr>
        <w:t>L</w:t>
      </w:r>
      <w:r w:rsidR="00762E0A">
        <w:rPr>
          <w:b/>
        </w:rPr>
        <w:t>’</w:t>
      </w:r>
      <w:r w:rsidRPr="003B5EA4">
        <w:rPr>
          <w:b/>
        </w:rPr>
        <w:t>Inspectrice est d</w:t>
      </w:r>
      <w:r w:rsidR="00762E0A">
        <w:rPr>
          <w:b/>
        </w:rPr>
        <w:t>’</w:t>
      </w:r>
      <w:r w:rsidRPr="003B5EA4">
        <w:rPr>
          <w:b/>
        </w:rPr>
        <w:t>avis que les chefs de secrétariat des organismes des Nations Unies devraient, là où c</w:t>
      </w:r>
      <w:r w:rsidR="00762E0A">
        <w:rPr>
          <w:b/>
        </w:rPr>
        <w:t>’</w:t>
      </w:r>
      <w:r w:rsidRPr="003B5EA4">
        <w:rPr>
          <w:b/>
        </w:rPr>
        <w:t>est possible, envisager de délocaliser leurs services de voyages dans un endroit moins cher en vue de réaliser des économies et des gains d</w:t>
      </w:r>
      <w:r w:rsidR="00762E0A">
        <w:rPr>
          <w:b/>
        </w:rPr>
        <w:t>’</w:t>
      </w:r>
      <w:r w:rsidRPr="003B5EA4">
        <w:rPr>
          <w:b/>
        </w:rPr>
        <w:t>efficience.</w:t>
      </w:r>
    </w:p>
    <w:p w:rsidR="00C11AA2" w:rsidRPr="003B5EA4" w:rsidRDefault="00C11AA2" w:rsidP="00C11AA2">
      <w:pPr>
        <w:pStyle w:val="H1G"/>
      </w:pPr>
      <w:r w:rsidRPr="003B5EA4">
        <w:tab/>
        <w:t>F.</w:t>
      </w:r>
      <w:r w:rsidRPr="003B5EA4">
        <w:tab/>
        <w:t>Programmes de fidélité des compagnies aériennes</w:t>
      </w:r>
    </w:p>
    <w:p w:rsidR="00C11AA2" w:rsidRPr="003B5EA4" w:rsidRDefault="00C11AA2" w:rsidP="00C11AA2">
      <w:pPr>
        <w:pStyle w:val="SingleTxtG"/>
      </w:pPr>
      <w:r w:rsidRPr="003B5EA4">
        <w:t>202.</w:t>
      </w:r>
      <w:r w:rsidRPr="003B5EA4">
        <w:tab/>
        <w:t>L</w:t>
      </w:r>
      <w:r w:rsidR="00762E0A">
        <w:t>’</w:t>
      </w:r>
      <w:r w:rsidRPr="003B5EA4">
        <w:t>Assemblée générale a régulièrement prié le Secrétaire général d</w:t>
      </w:r>
      <w:r w:rsidR="00762E0A">
        <w:t>’</w:t>
      </w:r>
      <w:r w:rsidRPr="003B5EA4">
        <w:t>examiner toutes les possibilités d</w:t>
      </w:r>
      <w:r w:rsidR="00762E0A">
        <w:t>’</w:t>
      </w:r>
      <w:r w:rsidRPr="003B5EA4">
        <w:t>utiliser les points de fidélité accordés par les compagnies aériennes afin de réduire les frais de voyage et d</w:t>
      </w:r>
      <w:r w:rsidR="00762E0A">
        <w:t>’</w:t>
      </w:r>
      <w:r w:rsidRPr="003B5EA4">
        <w:t>améliorer l</w:t>
      </w:r>
      <w:r w:rsidR="00762E0A">
        <w:t>’</w:t>
      </w:r>
      <w:r w:rsidRPr="003B5EA4">
        <w:t>administration des voyages de l</w:t>
      </w:r>
      <w:r w:rsidR="00762E0A">
        <w:t>’</w:t>
      </w:r>
      <w:r w:rsidRPr="003B5EA4">
        <w:t>ONU</w:t>
      </w:r>
      <w:r w:rsidRPr="003B5EA4">
        <w:rPr>
          <w:rStyle w:val="Appelnotedebasdep"/>
        </w:rPr>
        <w:footnoteReference w:id="174"/>
      </w:r>
      <w:r w:rsidRPr="003B5EA4">
        <w:t>. En réponse, le Secrétariat de l</w:t>
      </w:r>
      <w:r w:rsidR="00762E0A">
        <w:t>’</w:t>
      </w:r>
      <w:r w:rsidRPr="003B5EA4">
        <w:t>ONU a fait appel aux services d</w:t>
      </w:r>
      <w:r w:rsidR="00762E0A">
        <w:t>’</w:t>
      </w:r>
      <w:r w:rsidRPr="003B5EA4">
        <w:t>un consultant pour examiner la question. Après avoir considéré les pratiques de certaines institutions financières, d</w:t>
      </w:r>
      <w:r w:rsidR="00762E0A">
        <w:t>’</w:t>
      </w:r>
      <w:r w:rsidRPr="003B5EA4">
        <w:t>un État Membre et de certaines entreprises du secteur privé, de même que les points de vue des compagnies aériennes elles-mêmes, il a été conclu que la gestion d</w:t>
      </w:r>
      <w:r w:rsidR="00762E0A">
        <w:t>’</w:t>
      </w:r>
      <w:r w:rsidRPr="003B5EA4">
        <w:t>une telle entreprise ne serait pas rentable</w:t>
      </w:r>
      <w:r w:rsidRPr="003B5EA4">
        <w:rPr>
          <w:rStyle w:val="Appelnotedebasdep"/>
        </w:rPr>
        <w:footnoteReference w:id="175"/>
      </w:r>
      <w:r w:rsidRPr="003B5EA4">
        <w:t>.</w:t>
      </w:r>
    </w:p>
    <w:p w:rsidR="00C11AA2" w:rsidRPr="003B5EA4" w:rsidRDefault="00C11AA2" w:rsidP="00C11AA2">
      <w:pPr>
        <w:pStyle w:val="SingleTxtG"/>
      </w:pPr>
      <w:r w:rsidRPr="003B5EA4">
        <w:t>203.</w:t>
      </w:r>
      <w:r w:rsidRPr="003B5EA4">
        <w:tab/>
        <w:t>La plupart des entités des Nations Unies interrogées par le CCI s</w:t>
      </w:r>
      <w:r w:rsidR="00762E0A">
        <w:t>’</w:t>
      </w:r>
      <w:r w:rsidRPr="003B5EA4">
        <w:t>accordent à dire que la collecte et la gestion des points de fidélité seraient trop lourdes et compliquées et se solderaient par une majoration des coûts administratifs. Cette position trouve également confirmation dans les rapports annuels du Réseau interinstitutions Voyages</w:t>
      </w:r>
      <w:r w:rsidRPr="003B5EA4">
        <w:rPr>
          <w:rStyle w:val="Appelnotedebasdep"/>
        </w:rPr>
        <w:footnoteReference w:id="176"/>
      </w:r>
      <w:r w:rsidRPr="003B5EA4">
        <w:t>. Le département des affaires juridiques de l</w:t>
      </w:r>
      <w:r w:rsidR="00762E0A">
        <w:t>’</w:t>
      </w:r>
      <w:r w:rsidRPr="003B5EA4">
        <w:t>UNESCO a du reste jugé que les points de fidélité étaient accordés à titre personnel aux fonctionnaires et qu</w:t>
      </w:r>
      <w:r w:rsidR="00762E0A">
        <w:t>’</w:t>
      </w:r>
      <w:r w:rsidRPr="003B5EA4">
        <w:t>en tant que tels leur utilisation ne saurait être du ressort de l</w:t>
      </w:r>
      <w:r w:rsidR="00762E0A">
        <w:t>’</w:t>
      </w:r>
      <w:r w:rsidRPr="003B5EA4">
        <w:t>employeur</w:t>
      </w:r>
      <w:r w:rsidRPr="003B5EA4">
        <w:rPr>
          <w:bCs/>
        </w:rPr>
        <w:t>. Cette pratique non interventionniste est également celle qu</w:t>
      </w:r>
      <w:r w:rsidR="00762E0A">
        <w:rPr>
          <w:bCs/>
        </w:rPr>
        <w:t>’</w:t>
      </w:r>
      <w:r w:rsidRPr="003B5EA4">
        <w:rPr>
          <w:bCs/>
        </w:rPr>
        <w:t xml:space="preserve">ont adoptée la </w:t>
      </w:r>
      <w:r w:rsidRPr="003B5EA4">
        <w:t>FAO, le FNUAP, l</w:t>
      </w:r>
      <w:r w:rsidR="00762E0A">
        <w:t>’</w:t>
      </w:r>
      <w:r w:rsidRPr="003B5EA4">
        <w:t>OIT, et le PNUE.</w:t>
      </w:r>
      <w:r w:rsidRPr="003B5EA4">
        <w:rPr>
          <w:bCs/>
        </w:rPr>
        <w:t xml:space="preserve"> Il s</w:t>
      </w:r>
      <w:r w:rsidR="00762E0A">
        <w:rPr>
          <w:bCs/>
        </w:rPr>
        <w:t>’</w:t>
      </w:r>
      <w:r w:rsidRPr="003B5EA4">
        <w:rPr>
          <w:bCs/>
        </w:rPr>
        <w:t>ensuit que la plupart des organismes n</w:t>
      </w:r>
      <w:r w:rsidR="00762E0A">
        <w:rPr>
          <w:bCs/>
        </w:rPr>
        <w:t>’</w:t>
      </w:r>
      <w:r w:rsidRPr="003B5EA4">
        <w:rPr>
          <w:bCs/>
        </w:rPr>
        <w:t>ont pas de politique en matière de points de fidélité</w:t>
      </w:r>
      <w:r w:rsidRPr="003B5EA4">
        <w:t>. L</w:t>
      </w:r>
      <w:r w:rsidR="00762E0A">
        <w:t>’</w:t>
      </w:r>
      <w:r w:rsidRPr="003B5EA4">
        <w:t>ONUDI a cependant conclu un accord avec Star Alliance selon lequel les points de fidélité crédités à raison des billets officiels émis par l</w:t>
      </w:r>
      <w:r w:rsidR="00762E0A">
        <w:t>’</w:t>
      </w:r>
      <w:r w:rsidRPr="003B5EA4">
        <w:t>organisation puissent être affectés à l</w:t>
      </w:r>
      <w:r w:rsidR="00762E0A">
        <w:t>’</w:t>
      </w:r>
      <w:r w:rsidRPr="003B5EA4">
        <w:t>achat d</w:t>
      </w:r>
      <w:r w:rsidR="00762E0A">
        <w:t>’</w:t>
      </w:r>
      <w:r w:rsidRPr="003B5EA4">
        <w:t>appareils de communication portables à l</w:t>
      </w:r>
      <w:r w:rsidR="00762E0A">
        <w:t>’</w:t>
      </w:r>
      <w:r w:rsidRPr="003B5EA4">
        <w:t>usage du personnel, sans préjudice. L</w:t>
      </w:r>
      <w:r w:rsidR="00762E0A">
        <w:t>’</w:t>
      </w:r>
      <w:r w:rsidRPr="003B5EA4">
        <w:t>accord prévoit également le versement de primes en espèces et le surclassement en classe affaires.</w:t>
      </w:r>
    </w:p>
    <w:p w:rsidR="00C11AA2" w:rsidRPr="003B5EA4" w:rsidRDefault="00C11AA2" w:rsidP="000F7991">
      <w:pPr>
        <w:pStyle w:val="HChG"/>
      </w:pPr>
      <w:r w:rsidRPr="003B5EA4">
        <w:br w:type="page"/>
      </w:r>
      <w:r w:rsidR="000F7991" w:rsidRPr="003B5EA4">
        <w:lastRenderedPageBreak/>
        <w:tab/>
        <w:t>X.</w:t>
      </w:r>
      <w:r w:rsidR="000F7991" w:rsidRPr="003B5EA4">
        <w:tab/>
        <w:t>Harmonisation entre les organismes des Nations Unies</w:t>
      </w:r>
    </w:p>
    <w:p w:rsidR="000F7991" w:rsidRPr="003B5EA4" w:rsidRDefault="000F7991" w:rsidP="000F7991">
      <w:pPr>
        <w:pStyle w:val="H1G"/>
      </w:pPr>
      <w:r w:rsidRPr="003B5EA4">
        <w:tab/>
        <w:t>A.</w:t>
      </w:r>
      <w:r w:rsidRPr="003B5EA4">
        <w:tab/>
        <w:t>Aperçu général</w:t>
      </w:r>
    </w:p>
    <w:p w:rsidR="000F7991" w:rsidRPr="003B5EA4" w:rsidRDefault="000F7991" w:rsidP="000F7991">
      <w:pPr>
        <w:pStyle w:val="SingleTxtG"/>
      </w:pPr>
      <w:r w:rsidRPr="003B5EA4">
        <w:t>204.</w:t>
      </w:r>
      <w:r w:rsidRPr="003B5EA4">
        <w:tab/>
        <w:t>L</w:t>
      </w:r>
      <w:r w:rsidR="00762E0A">
        <w:t>’</w:t>
      </w:r>
      <w:r w:rsidRPr="003B5EA4">
        <w:t>Assemblée générale a souligné qu</w:t>
      </w:r>
      <w:r w:rsidR="00762E0A">
        <w:t>’</w:t>
      </w:r>
      <w:r w:rsidRPr="003B5EA4">
        <w:t>il importait que les entités des Nations Unies se concertent effectivement pour harmoniser les normes et pratiques concernant l</w:t>
      </w:r>
      <w:r w:rsidR="00762E0A">
        <w:t>’</w:t>
      </w:r>
      <w:r w:rsidRPr="003B5EA4">
        <w:t>achat de services de voyage en avion, et elle a engagé le Secrétaire général à agir, en sa qualité de Président du CCS, pour promouvoir la mise en commun des pratiques optimales afférentes aux voyages en avion à l</w:t>
      </w:r>
      <w:r w:rsidR="00762E0A">
        <w:t>’</w:t>
      </w:r>
      <w:r w:rsidRPr="003B5EA4">
        <w:t>échelle du système des Nations Unies</w:t>
      </w:r>
      <w:r w:rsidRPr="003B5EA4">
        <w:rPr>
          <w:rStyle w:val="Appelnotedebasdep"/>
        </w:rPr>
        <w:footnoteReference w:id="177"/>
      </w:r>
      <w:r w:rsidRPr="003B5EA4">
        <w:t>. En ce qui concerne la transparence des données, elles s</w:t>
      </w:r>
      <w:r w:rsidR="00762E0A">
        <w:t>’</w:t>
      </w:r>
      <w:r w:rsidRPr="003B5EA4">
        <w:t>est déclarée à plusieurs reprises préoccupée par l</w:t>
      </w:r>
      <w:r w:rsidR="00762E0A">
        <w:t>’</w:t>
      </w:r>
      <w:r w:rsidRPr="003B5EA4">
        <w:t>absence de données exactes, consolidées et exhaustives sur les coûts afférents aux voyages en avion à l</w:t>
      </w:r>
      <w:r w:rsidR="00762E0A">
        <w:t>’</w:t>
      </w:r>
      <w:r w:rsidRPr="003B5EA4">
        <w:t>échelle du système des Nations Unies</w:t>
      </w:r>
      <w:r w:rsidRPr="003B5EA4">
        <w:rPr>
          <w:rStyle w:val="Appelnotedebasdep"/>
        </w:rPr>
        <w:footnoteReference w:id="178"/>
      </w:r>
      <w:r w:rsidRPr="003B5EA4">
        <w:t>, et a prié le Secrétaire général de prendre d</w:t>
      </w:r>
      <w:r w:rsidR="00762E0A">
        <w:t>’</w:t>
      </w:r>
      <w:r w:rsidRPr="003B5EA4">
        <w:t>urgence des dispositions pour améliorer la gestion des voyages en avion, de s</w:t>
      </w:r>
      <w:r w:rsidR="00762E0A">
        <w:t>’</w:t>
      </w:r>
      <w:r w:rsidRPr="003B5EA4">
        <w:t>employer à faire une utilisation plus efficace et efficiente des ressources allouées à ces voyages</w:t>
      </w:r>
      <w:r w:rsidRPr="003B5EA4">
        <w:rPr>
          <w:rStyle w:val="Appelnotedebasdep"/>
        </w:rPr>
        <w:footnoteReference w:id="179"/>
      </w:r>
      <w:r w:rsidRPr="003B5EA4">
        <w:t>, et de tenir les gestionnaires responsables de cette bonne utilisation</w:t>
      </w:r>
      <w:r w:rsidRPr="003B5EA4">
        <w:rPr>
          <w:rStyle w:val="Appelnotedebasdep"/>
        </w:rPr>
        <w:footnoteReference w:id="180"/>
      </w:r>
      <w:r w:rsidRPr="003B5EA4">
        <w:t>.</w:t>
      </w:r>
    </w:p>
    <w:p w:rsidR="000F7991" w:rsidRPr="003B5EA4" w:rsidRDefault="000F7991" w:rsidP="000F7991">
      <w:pPr>
        <w:pStyle w:val="SingleTxtG"/>
      </w:pPr>
      <w:r w:rsidRPr="003B5EA4">
        <w:t>205.</w:t>
      </w:r>
      <w:r w:rsidRPr="003B5EA4">
        <w:tab/>
        <w:t xml:space="preserve">Ce dernier chapitre présente certaines dispositions et mesures qui peuvent être prises, en usant de canaux et mécanismes formels et informels comme le </w:t>
      </w:r>
      <w:r w:rsidRPr="003B5EA4">
        <w:rPr>
          <w:bCs/>
        </w:rPr>
        <w:t>CCS, la CFPI et le Réseau interinstitutions Voyages, afin de promouvoir l</w:t>
      </w:r>
      <w:r w:rsidR="00762E0A">
        <w:rPr>
          <w:bCs/>
        </w:rPr>
        <w:t>’</w:t>
      </w:r>
      <w:r w:rsidRPr="003B5EA4">
        <w:t>harmonisation de la gestion des voyages en avion, en ce qui concerne en particulier les conditions de voyage en avion, les versements au titre de la somme forfaitaire et de l</w:t>
      </w:r>
      <w:r w:rsidR="00762E0A">
        <w:t>’</w:t>
      </w:r>
      <w:r w:rsidRPr="003B5EA4">
        <w:t>indemnité journalière de subsistance, et d</w:t>
      </w:r>
      <w:r w:rsidR="00762E0A">
        <w:t>’</w:t>
      </w:r>
      <w:r w:rsidRPr="003B5EA4">
        <w:t>autres prestations, lorsque c</w:t>
      </w:r>
      <w:r w:rsidR="00762E0A">
        <w:t>’</w:t>
      </w:r>
      <w:r w:rsidRPr="003B5EA4">
        <w:t>est possible.</w:t>
      </w:r>
    </w:p>
    <w:p w:rsidR="000F7991" w:rsidRPr="003B5EA4" w:rsidRDefault="000F7991" w:rsidP="000F7991">
      <w:pPr>
        <w:pStyle w:val="H1G"/>
      </w:pPr>
      <w:r w:rsidRPr="003B5EA4">
        <w:tab/>
        <w:t>B.</w:t>
      </w:r>
      <w:r w:rsidRPr="003B5EA4">
        <w:tab/>
        <w:t>Importance de renforcer l</w:t>
      </w:r>
      <w:r w:rsidR="00762E0A">
        <w:t>’</w:t>
      </w:r>
      <w:r w:rsidRPr="003B5EA4">
        <w:t xml:space="preserve">harmonisation des pratiques relatives </w:t>
      </w:r>
      <w:r w:rsidRPr="003B5EA4">
        <w:br/>
        <w:t>aux voyages en avion</w:t>
      </w:r>
    </w:p>
    <w:p w:rsidR="000F7991" w:rsidRPr="003B5EA4" w:rsidRDefault="00101BBD" w:rsidP="000F7991">
      <w:pPr>
        <w:pStyle w:val="SingleTxtG"/>
      </w:pPr>
      <w:r w:rsidRPr="003B5EA4">
        <w:t>206.</w:t>
      </w:r>
      <w:r w:rsidRPr="003B5EA4">
        <w:tab/>
        <w:t>Bien que la diversité des mandats nécessite que les politiques en matière de voyage soient déterminées par l</w:t>
      </w:r>
      <w:r w:rsidR="00762E0A">
        <w:t>’</w:t>
      </w:r>
      <w:r w:rsidRPr="003B5EA4">
        <w:t>organe délibérant de chaque organisation, le CCI avait appelé l</w:t>
      </w:r>
      <w:r w:rsidR="00762E0A">
        <w:t>’</w:t>
      </w:r>
      <w:r w:rsidRPr="003B5EA4">
        <w:t>attention dès 1995 sur les différences qui existaient entre les conditions de voyage en avion appliquées par les organismes des Nations Unies, et avait mis en garde contre le risque de voir s</w:t>
      </w:r>
      <w:r w:rsidR="00762E0A">
        <w:t>’</w:t>
      </w:r>
      <w:r w:rsidRPr="003B5EA4">
        <w:t>accentuer encore ces disparités, notant que bien que les prestations dues au titre des voyages ne fassent pas partie du régimes commun des traitements et des indemnités, elles relevaient des conditions et d</w:t>
      </w:r>
      <w:r w:rsidR="00762E0A">
        <w:t>’</w:t>
      </w:r>
      <w:r w:rsidRPr="003B5EA4">
        <w:t>emploi, de sorte qu</w:t>
      </w:r>
      <w:r w:rsidR="00762E0A">
        <w:t>’</w:t>
      </w:r>
      <w:r w:rsidRPr="003B5EA4">
        <w:t>« accentuer encore les disparités entre les fonctionnaires dans ce domaine aurait certainement pour effet d</w:t>
      </w:r>
      <w:r w:rsidR="00762E0A">
        <w:t>’</w:t>
      </w:r>
      <w:r w:rsidRPr="003B5EA4">
        <w:t>affaiblir encore le régime commun, ce qu</w:t>
      </w:r>
      <w:r w:rsidR="00762E0A">
        <w:t>’</w:t>
      </w:r>
      <w:r w:rsidRPr="003B5EA4">
        <w:t>il faut éviter à tout prix »</w:t>
      </w:r>
      <w:r w:rsidRPr="003B5EA4">
        <w:rPr>
          <w:rStyle w:val="Appelnotedebasdep"/>
        </w:rPr>
        <w:footnoteReference w:id="181"/>
      </w:r>
      <w:r w:rsidRPr="003B5EA4">
        <w:t>.</w:t>
      </w:r>
    </w:p>
    <w:p w:rsidR="00C11AA2" w:rsidRPr="003B5EA4" w:rsidRDefault="00101BBD" w:rsidP="00101BBD">
      <w:pPr>
        <w:pStyle w:val="SingleTxtG"/>
      </w:pPr>
      <w:r w:rsidRPr="003B5EA4">
        <w:t>207.</w:t>
      </w:r>
      <w:r w:rsidRPr="003B5EA4">
        <w:tab/>
        <w:t>Dans son rapport de 2004 sur l</w:t>
      </w:r>
      <w:r w:rsidR="00762E0A">
        <w:t>’</w:t>
      </w:r>
      <w:r w:rsidRPr="003B5EA4">
        <w:t>harmonisation des conditions de voyage en avion à l</w:t>
      </w:r>
      <w:r w:rsidR="00762E0A">
        <w:t>’</w:t>
      </w:r>
      <w:r w:rsidRPr="003B5EA4">
        <w:t>échelle du système des Nations Unies, le CCI a constaté que si les organismes des Nations Unies mettaient en commun leurs politiques en matière de voyages en avion dans le cadre de mécanismes de consultation et de coordination interinstitutions, des disparités n</w:t>
      </w:r>
      <w:r w:rsidR="00762E0A">
        <w:t>’</w:t>
      </w:r>
      <w:r w:rsidRPr="003B5EA4">
        <w:t>en persistaient pas moins concernant les règles et pratiques relatives</w:t>
      </w:r>
      <w:r w:rsidR="00D32BE7" w:rsidRPr="003B5EA4">
        <w:t xml:space="preserve"> : </w:t>
      </w:r>
      <w:r w:rsidRPr="003B5EA4">
        <w:t>a) </w:t>
      </w:r>
      <w:r w:rsidR="00D32BE7" w:rsidRPr="003B5EA4">
        <w:t>à</w:t>
      </w:r>
      <w:r w:rsidRPr="003B5EA4">
        <w:t xml:space="preserve"> la détermination du droit à la classe affaires</w:t>
      </w:r>
      <w:r w:rsidR="00D32BE7" w:rsidRPr="003B5EA4">
        <w:t> ;</w:t>
      </w:r>
      <w:r w:rsidRPr="003B5EA4">
        <w:t xml:space="preserve"> b) à l</w:t>
      </w:r>
      <w:r w:rsidR="00762E0A">
        <w:t>’</w:t>
      </w:r>
      <w:r w:rsidRPr="003B5EA4">
        <w:t>utilisation de la somme forfaitaire pour divers types de voyages</w:t>
      </w:r>
      <w:r w:rsidR="00D32BE7" w:rsidRPr="003B5EA4">
        <w:t> ;</w:t>
      </w:r>
      <w:r w:rsidRPr="003B5EA4">
        <w:t xml:space="preserve"> c)</w:t>
      </w:r>
      <w:r w:rsidR="00D32BE7" w:rsidRPr="003B5EA4">
        <w:t> </w:t>
      </w:r>
      <w:r w:rsidRPr="003B5EA4">
        <w:t>aux escales pendant les voyages d</w:t>
      </w:r>
      <w:r w:rsidR="00762E0A">
        <w:t>’</w:t>
      </w:r>
      <w:r w:rsidRPr="003B5EA4">
        <w:t>une certaine durée</w:t>
      </w:r>
      <w:r w:rsidR="00D32BE7" w:rsidRPr="003B5EA4">
        <w:t> ;</w:t>
      </w:r>
      <w:r w:rsidRPr="003B5EA4">
        <w:t xml:space="preserve"> d) aux modalités de paiement de l</w:t>
      </w:r>
      <w:r w:rsidR="00762E0A">
        <w:t>’</w:t>
      </w:r>
      <w:r w:rsidRPr="003B5EA4">
        <w:t>indemnité journalière de subsistance</w:t>
      </w:r>
      <w:r w:rsidR="00D32BE7" w:rsidRPr="003B5EA4">
        <w:t> ;</w:t>
      </w:r>
      <w:r w:rsidRPr="003B5EA4">
        <w:t xml:space="preserve"> et e) à la vérification du voyage effectué sous le régime de la somme forfaitaire, pour des motifs de comptabilité et d</w:t>
      </w:r>
      <w:r w:rsidR="00762E0A">
        <w:t>’</w:t>
      </w:r>
      <w:r w:rsidRPr="003B5EA4">
        <w:t>assurance</w:t>
      </w:r>
      <w:r w:rsidRPr="003B5EA4">
        <w:rPr>
          <w:rStyle w:val="Appelnotedebasdep"/>
        </w:rPr>
        <w:footnoteReference w:id="182"/>
      </w:r>
      <w:r w:rsidRPr="003B5EA4">
        <w:t>.</w:t>
      </w:r>
    </w:p>
    <w:p w:rsidR="00BE5BDB" w:rsidRPr="003B5EA4" w:rsidRDefault="00BE5BDB" w:rsidP="00101BBD">
      <w:pPr>
        <w:pStyle w:val="SingleTxtG"/>
      </w:pPr>
      <w:r w:rsidRPr="003B5EA4">
        <w:t>208.</w:t>
      </w:r>
      <w:r w:rsidRPr="003B5EA4">
        <w:tab/>
        <w:t>En 2007, compte tenu de la question des disparités existant entre les conditions de voyage en avion et prestations connexes applicables aux fonctionnaires et aux membres des organes et organes subsidiaires à l</w:t>
      </w:r>
      <w:r w:rsidR="00762E0A">
        <w:t>’</w:t>
      </w:r>
      <w:r w:rsidRPr="003B5EA4">
        <w:t xml:space="preserve">échelle du système des Nations Unies (voir chap. III </w:t>
      </w:r>
      <w:r w:rsidRPr="003B5EA4">
        <w:lastRenderedPageBreak/>
        <w:t>ci</w:t>
      </w:r>
      <w:r w:rsidR="00B90E5E" w:rsidRPr="003B5EA4">
        <w:noBreakHyphen/>
      </w:r>
      <w:r w:rsidRPr="003B5EA4">
        <w:t>dessus), et ayant reçu une demande à ce sujet de l</w:t>
      </w:r>
      <w:r w:rsidR="00762E0A">
        <w:t>’</w:t>
      </w:r>
      <w:r w:rsidRPr="003B5EA4">
        <w:t>Assemblée générale</w:t>
      </w:r>
      <w:r w:rsidRPr="003B5EA4">
        <w:rPr>
          <w:rStyle w:val="Appelnotedebasdep"/>
        </w:rPr>
        <w:footnoteReference w:id="183"/>
      </w:r>
      <w:r w:rsidRPr="003B5EA4">
        <w:t>, le CCS a établi un rapport concluant que les politiques en matière de voyages continuaient de différer au sein du système, parfois par le fond, mais principalement dans le domaine des voyages officiels</w:t>
      </w:r>
      <w:r w:rsidRPr="003B5EA4">
        <w:rPr>
          <w:rStyle w:val="Appelnotedebasdep"/>
        </w:rPr>
        <w:footnoteReference w:id="184"/>
      </w:r>
      <w:r w:rsidRPr="003B5EA4">
        <w:t>. En 2010, dans un rapport subséquent préparé à la demande de l</w:t>
      </w:r>
      <w:r w:rsidR="00762E0A">
        <w:t>’</w:t>
      </w:r>
      <w:r w:rsidRPr="003B5EA4">
        <w:t>Assemblée générale</w:t>
      </w:r>
      <w:r w:rsidRPr="003B5EA4">
        <w:rPr>
          <w:rStyle w:val="Appelnotedebasdep"/>
        </w:rPr>
        <w:footnoteReference w:id="185"/>
      </w:r>
      <w:r w:rsidRPr="003B5EA4">
        <w:t xml:space="preserve"> sur l</w:t>
      </w:r>
      <w:r w:rsidR="00762E0A">
        <w:t>’</w:t>
      </w:r>
      <w:r w:rsidRPr="003B5EA4">
        <w:t>harmonisation des conditions de voyage en avion appliquées aux fonctionnaires à l</w:t>
      </w:r>
      <w:r w:rsidR="00762E0A">
        <w:t>’</w:t>
      </w:r>
      <w:r w:rsidRPr="003B5EA4">
        <w:t>échelle du système, mais dont étaient exclues les institutions spécialisées des Nations Unies et l</w:t>
      </w:r>
      <w:r w:rsidR="00762E0A">
        <w:t>’</w:t>
      </w:r>
      <w:r w:rsidRPr="003B5EA4">
        <w:t>AIEA</w:t>
      </w:r>
      <w:r w:rsidRPr="003B5EA4">
        <w:rPr>
          <w:rStyle w:val="Appelnotedebasdep"/>
        </w:rPr>
        <w:footnoteReference w:id="186"/>
      </w:r>
      <w:r w:rsidRPr="003B5EA4">
        <w:t>, le CCS a conclu que les entités étudiées (le Secrétariat de l</w:t>
      </w:r>
      <w:r w:rsidR="00762E0A">
        <w:t>’</w:t>
      </w:r>
      <w:r w:rsidRPr="003B5EA4">
        <w:t>ONU et les entités apparentées) avaient largement harmonisé leurs politiques en matière de voyages, quoique des variations subsistaient pour ce qui était de l</w:t>
      </w:r>
      <w:r w:rsidR="00762E0A">
        <w:t>’</w:t>
      </w:r>
      <w:r w:rsidRPr="003B5EA4">
        <w:t>application de la somme forfaitaire à certaines catégories de voyages</w:t>
      </w:r>
      <w:r w:rsidRPr="003B5EA4">
        <w:rPr>
          <w:rStyle w:val="Appelnotedebasdep"/>
        </w:rPr>
        <w:footnoteReference w:id="187"/>
      </w:r>
      <w:r w:rsidRPr="003B5EA4">
        <w:t>.</w:t>
      </w:r>
    </w:p>
    <w:p w:rsidR="00BE5BDB" w:rsidRPr="003B5EA4" w:rsidRDefault="00BE5BDB" w:rsidP="00101BBD">
      <w:pPr>
        <w:pStyle w:val="SingleTxtG"/>
        <w:rPr>
          <w:bCs/>
        </w:rPr>
      </w:pPr>
      <w:r w:rsidRPr="003B5EA4">
        <w:t>209.</w:t>
      </w:r>
      <w:r w:rsidRPr="003B5EA4">
        <w:tab/>
        <w:t>Sur la base de l</w:t>
      </w:r>
      <w:r w:rsidR="00762E0A">
        <w:t>’</w:t>
      </w:r>
      <w:r w:rsidRPr="003B5EA4">
        <w:t>étude limitée menée par le CCS en 2010 ainsi que du rapport établi par le CCI la même année sous le titre « Organisation des voyages au sein du système des Nations Unies »</w:t>
      </w:r>
      <w:r w:rsidRPr="003B5EA4">
        <w:rPr>
          <w:rStyle w:val="Appelnotedebasdep"/>
        </w:rPr>
        <w:footnoteReference w:id="188"/>
      </w:r>
      <w:r w:rsidRPr="003B5EA4">
        <w:t>, l</w:t>
      </w:r>
      <w:r w:rsidR="00762E0A">
        <w:t>’</w:t>
      </w:r>
      <w:r w:rsidRPr="003B5EA4">
        <w:t>Assemblée générale a réitéré en 2011 sa demande adressée au Secrétaire général, en sa qualité de Président du CCS, tendant à ce qu</w:t>
      </w:r>
      <w:r w:rsidR="00762E0A">
        <w:t>’</w:t>
      </w:r>
      <w:r w:rsidRPr="003B5EA4">
        <w:t>il présente un rapport détaillé contenant des propositions précises aux fins de l</w:t>
      </w:r>
      <w:r w:rsidR="00762E0A">
        <w:t>’</w:t>
      </w:r>
      <w:r w:rsidRPr="003B5EA4">
        <w:t>harmonisation des conditions de voyage en avion des fonctionnaires relevant du régime commun des Nations Unies, indiquant les mesures qu</w:t>
      </w:r>
      <w:r w:rsidR="00762E0A">
        <w:t>’</w:t>
      </w:r>
      <w:r w:rsidRPr="003B5EA4">
        <w:t>il était habilité à prendre lui-même et celles qui nécessiteraient l</w:t>
      </w:r>
      <w:r w:rsidR="00762E0A">
        <w:t>’</w:t>
      </w:r>
      <w:r w:rsidRPr="003B5EA4">
        <w:t>approbation de l</w:t>
      </w:r>
      <w:r w:rsidR="00762E0A">
        <w:t>’</w:t>
      </w:r>
      <w:r w:rsidRPr="003B5EA4">
        <w:t>Assemblée générale</w:t>
      </w:r>
      <w:r w:rsidRPr="003B5EA4">
        <w:rPr>
          <w:rStyle w:val="Appelnotedebasdep"/>
        </w:rPr>
        <w:footnoteReference w:id="189"/>
      </w:r>
      <w:r w:rsidRPr="003B5EA4">
        <w:t xml:space="preserve">. Dans son rapport de </w:t>
      </w:r>
      <w:r w:rsidRPr="003B5EA4">
        <w:rPr>
          <w:bCs/>
        </w:rPr>
        <w:t>2012 contenant plusieurs propositions de modification de la politique en la matière du Secrétariat de l</w:t>
      </w:r>
      <w:r w:rsidR="00762E0A">
        <w:rPr>
          <w:bCs/>
        </w:rPr>
        <w:t>’</w:t>
      </w:r>
      <w:r w:rsidRPr="003B5EA4">
        <w:rPr>
          <w:bCs/>
        </w:rPr>
        <w:t>ONU, le Secrétaire général n</w:t>
      </w:r>
      <w:r w:rsidR="00762E0A">
        <w:rPr>
          <w:bCs/>
        </w:rPr>
        <w:t>’</w:t>
      </w:r>
      <w:r w:rsidRPr="003B5EA4">
        <w:rPr>
          <w:bCs/>
        </w:rPr>
        <w:t>a toutefois pas abordé la question de l</w:t>
      </w:r>
      <w:r w:rsidR="00762E0A">
        <w:rPr>
          <w:bCs/>
        </w:rPr>
        <w:t>’</w:t>
      </w:r>
      <w:r w:rsidRPr="003B5EA4">
        <w:rPr>
          <w:bCs/>
        </w:rPr>
        <w:t>harmonisation à l</w:t>
      </w:r>
      <w:r w:rsidR="00762E0A">
        <w:rPr>
          <w:bCs/>
        </w:rPr>
        <w:t>’</w:t>
      </w:r>
      <w:r w:rsidRPr="003B5EA4">
        <w:rPr>
          <w:bCs/>
        </w:rPr>
        <w:t>échelle du système</w:t>
      </w:r>
      <w:r w:rsidRPr="003B5EA4">
        <w:rPr>
          <w:rStyle w:val="Appelnotedebasdep"/>
        </w:rPr>
        <w:footnoteReference w:id="190"/>
      </w:r>
      <w:r w:rsidRPr="003B5EA4">
        <w:rPr>
          <w:bCs/>
        </w:rPr>
        <w:t>.</w:t>
      </w:r>
    </w:p>
    <w:p w:rsidR="00BE5BDB" w:rsidRPr="003B5EA4" w:rsidRDefault="00BE5BDB" w:rsidP="00101BBD">
      <w:pPr>
        <w:pStyle w:val="SingleTxtG"/>
        <w:rPr>
          <w:bCs/>
        </w:rPr>
      </w:pPr>
      <w:r w:rsidRPr="003B5EA4">
        <w:rPr>
          <w:bCs/>
        </w:rPr>
        <w:t>210.</w:t>
      </w:r>
      <w:r w:rsidRPr="003B5EA4">
        <w:rPr>
          <w:bCs/>
        </w:rPr>
        <w:tab/>
        <w:t>Le présent rapport du CCI et les recommandations qu</w:t>
      </w:r>
      <w:r w:rsidR="00762E0A">
        <w:rPr>
          <w:bCs/>
        </w:rPr>
        <w:t>’</w:t>
      </w:r>
      <w:r w:rsidRPr="003B5EA4">
        <w:rPr>
          <w:bCs/>
        </w:rPr>
        <w:t>il contient visent à souligner les aspects qui peuvent donner lieu à harmonisation et les mesures concrètes qui peuvent être prises à cet égard, tout en répondant de façon plus complète aux appels lancés par l</w:t>
      </w:r>
      <w:r w:rsidR="00762E0A">
        <w:rPr>
          <w:bCs/>
        </w:rPr>
        <w:t>’</w:t>
      </w:r>
      <w:r w:rsidRPr="003B5EA4">
        <w:rPr>
          <w:bCs/>
        </w:rPr>
        <w:t>Assemblée générale dans ses résolutions</w:t>
      </w:r>
      <w:r w:rsidRPr="003B5EA4">
        <w:rPr>
          <w:rStyle w:val="Appelnotedebasdep"/>
        </w:rPr>
        <w:footnoteReference w:id="191"/>
      </w:r>
      <w:r w:rsidRPr="003B5EA4">
        <w:rPr>
          <w:bCs/>
        </w:rPr>
        <w:t>.</w:t>
      </w:r>
    </w:p>
    <w:p w:rsidR="00BE5BDB" w:rsidRPr="003B5EA4" w:rsidRDefault="00BE5BDB" w:rsidP="00220E2C">
      <w:pPr>
        <w:pStyle w:val="H23G"/>
      </w:pPr>
      <w:r w:rsidRPr="003B5EA4">
        <w:tab/>
      </w:r>
      <w:r w:rsidRPr="003B5EA4">
        <w:tab/>
        <w:t xml:space="preserve">Initiatives et occasions de </w:t>
      </w:r>
      <w:r w:rsidRPr="00220E2C">
        <w:t>renforcement</w:t>
      </w:r>
      <w:r w:rsidRPr="003B5EA4">
        <w:t xml:space="preserve"> de l</w:t>
      </w:r>
      <w:r w:rsidR="00762E0A">
        <w:t>’</w:t>
      </w:r>
      <w:r w:rsidRPr="003B5EA4">
        <w:t>harmonisation des voyages en avion</w:t>
      </w:r>
    </w:p>
    <w:p w:rsidR="00BE5BDB" w:rsidRPr="003B5EA4" w:rsidRDefault="00276F66" w:rsidP="00BE5BDB">
      <w:pPr>
        <w:pStyle w:val="SingleTxtG"/>
      </w:pPr>
      <w:r w:rsidRPr="003B5EA4">
        <w:t>211.</w:t>
      </w:r>
      <w:r w:rsidRPr="003B5EA4">
        <w:tab/>
        <w:t>Le présent examen du CCI a conclu à l</w:t>
      </w:r>
      <w:r w:rsidR="00762E0A">
        <w:t>’</w:t>
      </w:r>
      <w:r w:rsidRPr="003B5EA4">
        <w:t>existence d</w:t>
      </w:r>
      <w:r w:rsidR="00762E0A">
        <w:t>’</w:t>
      </w:r>
      <w:r w:rsidRPr="003B5EA4">
        <w:t>un degré significatif d</w:t>
      </w:r>
      <w:r w:rsidR="00762E0A">
        <w:t>’</w:t>
      </w:r>
      <w:r w:rsidRPr="003B5EA4">
        <w:t>harmonisation entre les politiques relatives aux voyages de l</w:t>
      </w:r>
      <w:r w:rsidR="00762E0A">
        <w:t>’</w:t>
      </w:r>
      <w:r w:rsidRPr="003B5EA4">
        <w:t xml:space="preserve">ONU et celles de ses entités apparentées, telles que les fonds et les programmes. À titre de meilleure pratique, </w:t>
      </w:r>
      <w:r w:rsidR="00392EE8">
        <w:t>4 </w:t>
      </w:r>
      <w:r w:rsidRPr="003B5EA4">
        <w:t>organisations (CNUCED, PNUE, ONU-Habitat et ONUDC) ont adopté la politique en matière de voyages de l</w:t>
      </w:r>
      <w:r w:rsidR="00762E0A">
        <w:t>’</w:t>
      </w:r>
      <w:r w:rsidRPr="003B5EA4">
        <w:t xml:space="preserve">ONU, tandis que les politiques relatives aux voyages de </w:t>
      </w:r>
      <w:r w:rsidR="00392EE8">
        <w:t>6</w:t>
      </w:r>
      <w:r w:rsidRPr="003B5EA4">
        <w:t xml:space="preserve"> autres (CCI*, HCR, ONU-Femmes, PNUD, UNOPS et UNRWA) sont soit adaptées, soit conformes aux politiques en matière de voyage et au Règlement du personnel de l</w:t>
      </w:r>
      <w:r w:rsidR="00762E0A">
        <w:t>’</w:t>
      </w:r>
      <w:r w:rsidRPr="003B5EA4">
        <w:t>ONU</w:t>
      </w:r>
      <w:r w:rsidRPr="003B5EA4">
        <w:rPr>
          <w:bCs/>
        </w:rPr>
        <w:t>.</w:t>
      </w:r>
      <w:r w:rsidRPr="003B5EA4">
        <w:t xml:space="preserve"> En 2014, le FNUAP a fait sienne la politique relative aux voyages du PNUD, les deux organes partageant également le même module voyages du progiciel de gestion intégré (Atlas). Ils ont également en commun des accords à long terme avec leurs sociétés de gestion de voyages au siège et dans les bureaux de pays. Au niveau du terrain, le PAM a indiqué qu</w:t>
      </w:r>
      <w:r w:rsidR="00762E0A">
        <w:t>’</w:t>
      </w:r>
      <w:r w:rsidRPr="003B5EA4">
        <w:t>il considérait au regard des conditions générales de l</w:t>
      </w:r>
      <w:r w:rsidR="00762E0A">
        <w:t>’</w:t>
      </w:r>
      <w:r w:rsidRPr="003B5EA4">
        <w:t>ONU tout changement de politique relatif aux conditions de voyage en avion.</w:t>
      </w:r>
    </w:p>
    <w:p w:rsidR="009447C3" w:rsidRPr="003B5EA4" w:rsidRDefault="009447C3" w:rsidP="00BE5BDB">
      <w:pPr>
        <w:pStyle w:val="SingleTxtG"/>
      </w:pPr>
      <w:r w:rsidRPr="003B5EA4">
        <w:t>212.</w:t>
      </w:r>
      <w:r w:rsidRPr="003B5EA4">
        <w:tab/>
        <w:t>Les institutions spécialisées ont fait observer que l</w:t>
      </w:r>
      <w:r w:rsidR="00762E0A">
        <w:t>’</w:t>
      </w:r>
      <w:r w:rsidRPr="003B5EA4">
        <w:t>harmonisation nécessitait un niveau adéquat de volonté politique et de soutien de la part des États Membres. Elles ont relevé au nombre des entraves à l</w:t>
      </w:r>
      <w:r w:rsidR="00762E0A">
        <w:t>’</w:t>
      </w:r>
      <w:r w:rsidRPr="003B5EA4">
        <w:t>harmonisation de la gestion des voyages en avion à l</w:t>
      </w:r>
      <w:r w:rsidR="00762E0A">
        <w:t>’</w:t>
      </w:r>
      <w:r w:rsidRPr="003B5EA4">
        <w:t>échelle du système la diversité et les variations que présentaient les mandats, règles, politiques, pratiques, procédures opérationnelles, modèles d</w:t>
      </w:r>
      <w:r w:rsidR="00762E0A">
        <w:t>’</w:t>
      </w:r>
      <w:r w:rsidRPr="003B5EA4">
        <w:t>affaires, structures de financement et versions trop adaptées des progiciels de gestion intégré</w:t>
      </w:r>
      <w:r w:rsidR="007F46E1">
        <w:t>s</w:t>
      </w:r>
      <w:r w:rsidRPr="003B5EA4">
        <w:t xml:space="preserve">. Ces facteurs </w:t>
      </w:r>
      <w:r w:rsidRPr="003B5EA4">
        <w:lastRenderedPageBreak/>
        <w:t>expliquent le caractère parcellaire des efforts d</w:t>
      </w:r>
      <w:r w:rsidR="00762E0A">
        <w:t>’</w:t>
      </w:r>
      <w:r w:rsidRPr="003B5EA4">
        <w:t>harmonisation. L</w:t>
      </w:r>
      <w:r w:rsidR="00762E0A">
        <w:t>’</w:t>
      </w:r>
      <w:r w:rsidRPr="003B5EA4">
        <w:t>OIT et l</w:t>
      </w:r>
      <w:r w:rsidR="00762E0A">
        <w:t>’</w:t>
      </w:r>
      <w:r w:rsidRPr="003B5EA4">
        <w:t>ONUSIDA indiquent que leurs politiques en matière de voyage révisées tiennent compte des meilleures pratiques et des politiques en matière de voyages qui existent dans d</w:t>
      </w:r>
      <w:r w:rsidR="00762E0A">
        <w:t>’</w:t>
      </w:r>
      <w:r w:rsidRPr="003B5EA4">
        <w:t>autres organes des Nations Unies. Les cas suivants d</w:t>
      </w:r>
      <w:r w:rsidR="00762E0A">
        <w:t>’</w:t>
      </w:r>
      <w:r w:rsidRPr="003B5EA4">
        <w:t>harmonisation à caractère spécifique peuvent être relevés : adoption du principe de l</w:t>
      </w:r>
      <w:r w:rsidR="00762E0A">
        <w:t>’</w:t>
      </w:r>
      <w:r w:rsidRPr="003B5EA4">
        <w:t>itinéraire le plus économique en tant que principe directeur pour le choix des vols (UNESCO) ; paiement de l</w:t>
      </w:r>
      <w:r w:rsidR="00762E0A">
        <w:t>’</w:t>
      </w:r>
      <w:r w:rsidRPr="003B5EA4">
        <w:t>indemnité journalière de subsistance et des faux frais au départ et à l</w:t>
      </w:r>
      <w:r w:rsidR="00762E0A">
        <w:t>’</w:t>
      </w:r>
      <w:r w:rsidRPr="003B5EA4">
        <w:t>arrivée selon les règles de l</w:t>
      </w:r>
      <w:r w:rsidR="00762E0A">
        <w:t>’</w:t>
      </w:r>
      <w:r w:rsidRPr="003B5EA4">
        <w:t>ONU (UPU)</w:t>
      </w:r>
      <w:r w:rsidR="007959C4">
        <w:t> ;</w:t>
      </w:r>
      <w:r w:rsidRPr="003B5EA4">
        <w:t xml:space="preserve"> passage de </w:t>
      </w:r>
      <w:r w:rsidR="007F46E1">
        <w:t>six</w:t>
      </w:r>
      <w:r w:rsidRPr="003B5EA4">
        <w:t xml:space="preserve"> à </w:t>
      </w:r>
      <w:r w:rsidR="007F46E1">
        <w:t>neuf</w:t>
      </w:r>
      <w:r w:rsidRPr="003B5EA4">
        <w:t> heures du seuil de durée ouvrant droit à la classe affaires (OMPI et OMS)</w:t>
      </w:r>
      <w:r w:rsidR="002E7B10">
        <w:t> </w:t>
      </w:r>
      <w:r w:rsidRPr="003B5EA4">
        <w:t>; réduction de l</w:t>
      </w:r>
      <w:r w:rsidR="00762E0A">
        <w:t>’</w:t>
      </w:r>
      <w:r w:rsidRPr="003B5EA4">
        <w:t>indemnité de subsistance journalière à raison du temps de vol de 100 % à 50 % (OMPI) ; suppression de l</w:t>
      </w:r>
      <w:r w:rsidR="00762E0A">
        <w:t>’</w:t>
      </w:r>
      <w:r w:rsidRPr="003B5EA4">
        <w:t>indemnité journalière de subsistance supplémentaire payable aux fonctionnaires de haut rang (ONUDI).</w:t>
      </w:r>
    </w:p>
    <w:p w:rsidR="00BE5BDB" w:rsidRPr="003B5EA4" w:rsidRDefault="00065238" w:rsidP="00065238">
      <w:pPr>
        <w:pStyle w:val="SingleTxtG"/>
      </w:pPr>
      <w:r w:rsidRPr="003B5EA4">
        <w:t>213.</w:t>
      </w:r>
      <w:r w:rsidRPr="003B5EA4">
        <w:tab/>
        <w:t>Pour ce qui est de l</w:t>
      </w:r>
      <w:r w:rsidR="00762E0A">
        <w:t>’</w:t>
      </w:r>
      <w:r w:rsidRPr="003B5EA4">
        <w:t>avenir, les organismes des Nations Unies ont appelé à une plus grande coordination par le biais du Comité de haut niveau sur la gestion au sein du CCS. Il</w:t>
      </w:r>
      <w:r w:rsidR="00365188">
        <w:t>s</w:t>
      </w:r>
      <w:r w:rsidRPr="003B5EA4">
        <w:t xml:space="preserve"> souhaitent voir promouvoir l</w:t>
      </w:r>
      <w:r w:rsidR="00762E0A">
        <w:t>’</w:t>
      </w:r>
      <w:r w:rsidRPr="003B5EA4">
        <w:t>harmonisation de la gestion des voyages en avion sur les points suivants : a) une politique applicable concernant les conditions de voyage en avion ; b) la mise en commun des volumes de voyages pour faire valoir sa puissance d</w:t>
      </w:r>
      <w:r w:rsidR="00762E0A">
        <w:t>’</w:t>
      </w:r>
      <w:r w:rsidRPr="003B5EA4">
        <w:t>achat auprès des compagnies aériennes ; c) l</w:t>
      </w:r>
      <w:r w:rsidR="00762E0A">
        <w:t>’</w:t>
      </w:r>
      <w:r w:rsidRPr="003B5EA4">
        <w:t>utilisation de cartes de crédit d</w:t>
      </w:r>
      <w:r w:rsidR="00762E0A">
        <w:t>’</w:t>
      </w:r>
      <w:r w:rsidRPr="003B5EA4">
        <w:t>entreprise ; d) la sélection des compagnies aériennes en fonction de leur cote de sécurité ;</w:t>
      </w:r>
      <w:r w:rsidRPr="003B5EA4">
        <w:rPr>
          <w:bCs/>
        </w:rPr>
        <w:t xml:space="preserve"> e) le partage des sociétés de gestion de voyages</w:t>
      </w:r>
      <w:r w:rsidRPr="003B5EA4">
        <w:t>.</w:t>
      </w:r>
    </w:p>
    <w:p w:rsidR="00065238" w:rsidRPr="003B5EA4" w:rsidRDefault="00065238" w:rsidP="00065238">
      <w:pPr>
        <w:pStyle w:val="SingleTxtG"/>
      </w:pPr>
      <w:r w:rsidRPr="003B5EA4">
        <w:t>214.</w:t>
      </w:r>
      <w:r w:rsidRPr="003B5EA4">
        <w:tab/>
        <w:t>L</w:t>
      </w:r>
      <w:r w:rsidR="00762E0A">
        <w:t>’</w:t>
      </w:r>
      <w:r w:rsidRPr="003B5EA4">
        <w:t>accent doit également être mis sur les organismes qui ont une présence sur le terrain. Leurs politiques, règles et procédures en matière de voyages devraient être coordonnées à l</w:t>
      </w:r>
      <w:r w:rsidR="00762E0A">
        <w:t>’</w:t>
      </w:r>
      <w:r w:rsidRPr="003B5EA4">
        <w:t>échelle mondiale de sorte qu</w:t>
      </w:r>
      <w:r w:rsidR="00762E0A">
        <w:t>’</w:t>
      </w:r>
      <w:r w:rsidRPr="003B5EA4">
        <w:t>elles soient suivies et appliquées avec constance. À cet égard, l</w:t>
      </w:r>
      <w:r w:rsidR="00762E0A">
        <w:t>’</w:t>
      </w:r>
      <w:r w:rsidRPr="003B5EA4">
        <w:t>utilisation des modules voyages du progiciel de gestion intégré au siège comme sur le terrain facilitera les bonnes pratiques relatives aux voyages et fournira un tableau mondial des fonds que les organismes consacrent à ce poste.</w:t>
      </w:r>
    </w:p>
    <w:p w:rsidR="0091615C" w:rsidRPr="003B5EA4" w:rsidRDefault="0091615C" w:rsidP="0091615C">
      <w:pPr>
        <w:pStyle w:val="H1G"/>
      </w:pPr>
      <w:r w:rsidRPr="003B5EA4">
        <w:tab/>
        <w:t>C.</w:t>
      </w:r>
      <w:r w:rsidRPr="003B5EA4">
        <w:tab/>
        <w:t>Nécessité de promouvoir l</w:t>
      </w:r>
      <w:r w:rsidR="00762E0A">
        <w:t>’</w:t>
      </w:r>
      <w:r w:rsidRPr="003B5EA4">
        <w:t xml:space="preserve">harmonisation des conditions de voyage </w:t>
      </w:r>
      <w:r w:rsidRPr="003B5EA4">
        <w:br/>
        <w:t>en avion</w:t>
      </w:r>
    </w:p>
    <w:p w:rsidR="0091615C" w:rsidRPr="003B5EA4" w:rsidRDefault="0091615C" w:rsidP="0091615C">
      <w:pPr>
        <w:pStyle w:val="SingleTxtG"/>
      </w:pPr>
      <w:r w:rsidRPr="003B5EA4">
        <w:t>215.</w:t>
      </w:r>
      <w:r w:rsidRPr="003B5EA4">
        <w:tab/>
        <w:t>Étant donné que les voyages en avion et les dépenses connexes ont coûté plus de 4,01 milliards de dollars des États-Unis aux organismes des Nations Unies depuis 2012, d</w:t>
      </w:r>
      <w:r w:rsidR="00762E0A">
        <w:t>’</w:t>
      </w:r>
      <w:r w:rsidRPr="003B5EA4">
        <w:t>importantes économies devraient pouvoir être réalisées en examinant et en évaluant les variations dans l</w:t>
      </w:r>
      <w:r w:rsidR="00762E0A">
        <w:t>’</w:t>
      </w:r>
      <w:r w:rsidRPr="003B5EA4">
        <w:t>application actuelle des conditions de voyage en avion, aussi bien selon les différents niveaux et les différentes catégories de personnel que d</w:t>
      </w:r>
      <w:r w:rsidR="00762E0A">
        <w:t>’</w:t>
      </w:r>
      <w:r w:rsidRPr="003B5EA4">
        <w:t>un organisme à l</w:t>
      </w:r>
      <w:r w:rsidR="00762E0A">
        <w:t>’</w:t>
      </w:r>
      <w:r w:rsidRPr="003B5EA4">
        <w:t>autre, afin de relever les enseignements tirés, les bonnes pratiques et les possibilités d</w:t>
      </w:r>
      <w:r w:rsidR="00762E0A">
        <w:t>’</w:t>
      </w:r>
      <w:r w:rsidRPr="003B5EA4">
        <w:t>harmonisation des politiques, là où c</w:t>
      </w:r>
      <w:r w:rsidR="00762E0A">
        <w:t>’</w:t>
      </w:r>
      <w:r w:rsidRPr="003B5EA4">
        <w:t>est possible, dans le sens d</w:t>
      </w:r>
      <w:r w:rsidR="00762E0A">
        <w:t>’</w:t>
      </w:r>
      <w:r w:rsidRPr="003B5EA4">
        <w:t>une plus grande efficience et d</w:t>
      </w:r>
      <w:r w:rsidR="00762E0A">
        <w:t>’</w:t>
      </w:r>
      <w:r w:rsidRPr="003B5EA4">
        <w:t>une réduction des coûts dans le cadre de la gestion des voyages en avion. À cette fin, il faudrait que le CCS assure la coordination et la coopération entre les entités des Nations Unies, non seulement aux sièges, mais aussi aux lieux d</w:t>
      </w:r>
      <w:r w:rsidR="00762E0A">
        <w:t>’</w:t>
      </w:r>
      <w:r w:rsidRPr="003B5EA4">
        <w:t>affectation, afin de pouvoir réduire les disparités actuelles, susciter une plus grande concurrence parmi les fournisseurs et jouir d</w:t>
      </w:r>
      <w:r w:rsidR="00762E0A">
        <w:t>’</w:t>
      </w:r>
      <w:r w:rsidRPr="003B5EA4">
        <w:t>une puissance de négociation renforcée par un plus grand volume d</w:t>
      </w:r>
      <w:r w:rsidR="00762E0A">
        <w:t>’</w:t>
      </w:r>
      <w:r w:rsidRPr="003B5EA4">
        <w:t>activités de voyage.</w:t>
      </w:r>
    </w:p>
    <w:p w:rsidR="0091615C" w:rsidRPr="003B5EA4" w:rsidRDefault="0091615C" w:rsidP="0091615C">
      <w:pPr>
        <w:pStyle w:val="SingleTxtG"/>
        <w:rPr>
          <w:bCs/>
        </w:rPr>
      </w:pPr>
      <w:r w:rsidRPr="003B5EA4">
        <w:t>216.</w:t>
      </w:r>
      <w:r w:rsidRPr="003B5EA4">
        <w:tab/>
      </w:r>
      <w:r w:rsidRPr="003B5EA4">
        <w:rPr>
          <w:bCs/>
        </w:rPr>
        <w:t>Les disparités dans l</w:t>
      </w:r>
      <w:r w:rsidR="00762E0A">
        <w:rPr>
          <w:bCs/>
        </w:rPr>
        <w:t>’</w:t>
      </w:r>
      <w:r w:rsidRPr="003B5EA4">
        <w:rPr>
          <w:bCs/>
        </w:rPr>
        <w:t>application des conditions de voyage en avion entre certains organismes des Nations Unies sont illustrées dans le tableau 7, où figurent les conditions de voyage en avion couramment pratiquées par 22 organi</w:t>
      </w:r>
      <w:r w:rsidR="006A07EB">
        <w:rPr>
          <w:bCs/>
        </w:rPr>
        <w:t>smes</w:t>
      </w:r>
      <w:r w:rsidRPr="003B5EA4">
        <w:rPr>
          <w:bCs/>
        </w:rPr>
        <w:t>, appliquées en l</w:t>
      </w:r>
      <w:r w:rsidR="00762E0A">
        <w:rPr>
          <w:bCs/>
        </w:rPr>
        <w:t>’</w:t>
      </w:r>
      <w:r w:rsidRPr="003B5EA4">
        <w:rPr>
          <w:bCs/>
        </w:rPr>
        <w:t>occurrence au vol le plus direct entre New York et Rome</w:t>
      </w:r>
      <w:r w:rsidRPr="003B5EA4">
        <w:rPr>
          <w:rStyle w:val="Appelnotedebasdep"/>
        </w:rPr>
        <w:footnoteReference w:id="192"/>
      </w:r>
      <w:r w:rsidRPr="003B5EA4">
        <w:rPr>
          <w:bCs/>
        </w:rPr>
        <w:t>. Sur le vol d</w:t>
      </w:r>
      <w:r w:rsidR="00762E0A">
        <w:rPr>
          <w:bCs/>
        </w:rPr>
        <w:t>’</w:t>
      </w:r>
      <w:r w:rsidRPr="003B5EA4">
        <w:rPr>
          <w:bCs/>
        </w:rPr>
        <w:t>ouest en est d</w:t>
      </w:r>
      <w:r w:rsidR="00762E0A">
        <w:rPr>
          <w:bCs/>
        </w:rPr>
        <w:t>’</w:t>
      </w:r>
      <w:r w:rsidRPr="003B5EA4">
        <w:rPr>
          <w:bCs/>
        </w:rPr>
        <w:t>une durée de 8 h 35, certains fonctionnaires de haut rang ont droit à la première classe, d</w:t>
      </w:r>
      <w:r w:rsidR="00762E0A">
        <w:rPr>
          <w:bCs/>
        </w:rPr>
        <w:t>’</w:t>
      </w:r>
      <w:r w:rsidRPr="003B5EA4">
        <w:rPr>
          <w:bCs/>
        </w:rPr>
        <w:t>autres à la classe affaires, tandis que les fonctionnaires de moindre rang voyagent surtout en classe économique. Sur le vol d</w:t>
      </w:r>
      <w:r w:rsidR="00762E0A">
        <w:rPr>
          <w:bCs/>
        </w:rPr>
        <w:t>’</w:t>
      </w:r>
      <w:r w:rsidRPr="003B5EA4">
        <w:rPr>
          <w:bCs/>
        </w:rPr>
        <w:t>est en ouest d</w:t>
      </w:r>
      <w:r w:rsidR="00762E0A">
        <w:rPr>
          <w:bCs/>
        </w:rPr>
        <w:t>’</w:t>
      </w:r>
      <w:r w:rsidRPr="003B5EA4">
        <w:rPr>
          <w:bCs/>
        </w:rPr>
        <w:t>une durée de 9 h 35, la configuration des classes change radicalement, dès lors que pour tous les organismes sauf trois (FAO, ONUSIDA et UNESCO), les fonctionnaires de haut rang comme les autres de moindre rang se partagent la première classe et la classe affaires.</w:t>
      </w:r>
    </w:p>
    <w:p w:rsidR="00A86125" w:rsidRPr="00C04C24" w:rsidRDefault="00A86125" w:rsidP="00C04C24">
      <w:pPr>
        <w:pStyle w:val="Titre1"/>
        <w:spacing w:after="120"/>
        <w:rPr>
          <w:sz w:val="16"/>
          <w:szCs w:val="16"/>
        </w:rPr>
      </w:pPr>
      <w:r w:rsidRPr="003B5EA4">
        <w:lastRenderedPageBreak/>
        <w:t xml:space="preserve">Tableau 7 </w:t>
      </w:r>
      <w:r w:rsidRPr="003B5EA4">
        <w:br/>
      </w:r>
      <w:r w:rsidRPr="003B5EA4">
        <w:rPr>
          <w:b/>
        </w:rPr>
        <w:t>Variations des conditions de voyage en avion dans l</w:t>
      </w:r>
      <w:r w:rsidR="00762E0A">
        <w:rPr>
          <w:b/>
        </w:rPr>
        <w:t>’</w:t>
      </w:r>
      <w:r w:rsidRPr="003B5EA4">
        <w:rPr>
          <w:b/>
        </w:rPr>
        <w:t>hypothèse d</w:t>
      </w:r>
      <w:r w:rsidR="00762E0A">
        <w:rPr>
          <w:b/>
        </w:rPr>
        <w:t>’</w:t>
      </w:r>
      <w:r w:rsidRPr="003B5EA4">
        <w:rPr>
          <w:b/>
        </w:rPr>
        <w:t>un voyage aller</w:t>
      </w:r>
      <w:r w:rsidR="00ED681D" w:rsidRPr="003B5EA4">
        <w:rPr>
          <w:b/>
        </w:rPr>
        <w:t xml:space="preserve"> </w:t>
      </w:r>
      <w:r w:rsidRPr="003B5EA4">
        <w:rPr>
          <w:b/>
        </w:rPr>
        <w:t xml:space="preserve">retour </w:t>
      </w:r>
      <w:r w:rsidR="00C04C24">
        <w:rPr>
          <w:b/>
        </w:rPr>
        <w:br/>
      </w:r>
      <w:r w:rsidRPr="003B5EA4">
        <w:rPr>
          <w:b/>
        </w:rPr>
        <w:t xml:space="preserve">entre New York et Rome </w:t>
      </w:r>
      <w:r w:rsidR="00C04C24">
        <w:rPr>
          <w:b/>
        </w:rPr>
        <w:br/>
      </w:r>
      <w:r w:rsidRPr="00C04C24">
        <w:rPr>
          <w:sz w:val="16"/>
          <w:szCs w:val="16"/>
        </w:rPr>
        <w:t>(</w:t>
      </w:r>
      <w:r w:rsidR="00C04C24">
        <w:rPr>
          <w:sz w:val="16"/>
          <w:szCs w:val="16"/>
        </w:rPr>
        <w:t>I</w:t>
      </w:r>
      <w:r w:rsidRPr="00C04C24">
        <w:rPr>
          <w:sz w:val="16"/>
          <w:szCs w:val="16"/>
        </w:rPr>
        <w:t>tinéraire le plus direct et le plus économique)</w:t>
      </w:r>
    </w:p>
    <w:tbl>
      <w:tblPr>
        <w:tblW w:w="8504" w:type="dxa"/>
        <w:tblInd w:w="1134" w:type="dxa"/>
        <w:tblLayout w:type="fixed"/>
        <w:tblCellMar>
          <w:left w:w="0" w:type="dxa"/>
          <w:right w:w="0" w:type="dxa"/>
        </w:tblCellMar>
        <w:tblLook w:val="04A0" w:firstRow="1" w:lastRow="0" w:firstColumn="1" w:lastColumn="0" w:noHBand="0" w:noVBand="1"/>
      </w:tblPr>
      <w:tblGrid>
        <w:gridCol w:w="1701"/>
        <w:gridCol w:w="1843"/>
        <w:gridCol w:w="2782"/>
        <w:gridCol w:w="2178"/>
      </w:tblGrid>
      <w:tr w:rsidR="00203227" w:rsidRPr="003B5EA4" w:rsidTr="00C04C24">
        <w:trPr>
          <w:tblHeader/>
        </w:trPr>
        <w:tc>
          <w:tcPr>
            <w:tcW w:w="1701" w:type="dxa"/>
            <w:tcBorders>
              <w:top w:val="single" w:sz="4" w:space="0" w:color="auto"/>
              <w:bottom w:val="single" w:sz="12" w:space="0" w:color="auto"/>
            </w:tcBorders>
            <w:shd w:val="clear" w:color="auto" w:fill="auto"/>
            <w:vAlign w:val="bottom"/>
            <w:hideMark/>
          </w:tcPr>
          <w:p w:rsidR="00A86125" w:rsidRPr="003B5EA4" w:rsidRDefault="00A86125" w:rsidP="00DB2BB4">
            <w:pPr>
              <w:spacing w:before="80" w:after="80" w:line="200" w:lineRule="exact"/>
              <w:ind w:right="113"/>
              <w:rPr>
                <w:i/>
                <w:sz w:val="16"/>
              </w:rPr>
            </w:pPr>
          </w:p>
        </w:tc>
        <w:tc>
          <w:tcPr>
            <w:tcW w:w="1843" w:type="dxa"/>
            <w:tcBorders>
              <w:top w:val="single" w:sz="4" w:space="0" w:color="auto"/>
              <w:bottom w:val="single" w:sz="12" w:space="0" w:color="auto"/>
            </w:tcBorders>
            <w:shd w:val="clear" w:color="auto" w:fill="auto"/>
            <w:vAlign w:val="bottom"/>
            <w:hideMark/>
          </w:tcPr>
          <w:p w:rsidR="00A86125" w:rsidRPr="003B5EA4" w:rsidRDefault="00A86125" w:rsidP="00DB2BB4">
            <w:pPr>
              <w:spacing w:before="80" w:after="80" w:line="200" w:lineRule="exact"/>
              <w:ind w:right="113"/>
              <w:rPr>
                <w:i/>
                <w:sz w:val="16"/>
              </w:rPr>
            </w:pPr>
            <w:r w:rsidRPr="003B5EA4">
              <w:rPr>
                <w:i/>
                <w:sz w:val="16"/>
              </w:rPr>
              <w:t>Première classe</w:t>
            </w:r>
          </w:p>
        </w:tc>
        <w:tc>
          <w:tcPr>
            <w:tcW w:w="2782" w:type="dxa"/>
            <w:tcBorders>
              <w:top w:val="single" w:sz="4" w:space="0" w:color="auto"/>
              <w:bottom w:val="single" w:sz="12" w:space="0" w:color="auto"/>
            </w:tcBorders>
            <w:shd w:val="clear" w:color="auto" w:fill="auto"/>
            <w:vAlign w:val="bottom"/>
            <w:hideMark/>
          </w:tcPr>
          <w:p w:rsidR="00A86125" w:rsidRPr="003B5EA4" w:rsidRDefault="00A86125" w:rsidP="00DB2BB4">
            <w:pPr>
              <w:spacing w:before="80" w:after="80" w:line="200" w:lineRule="exact"/>
              <w:ind w:right="113"/>
              <w:rPr>
                <w:i/>
                <w:sz w:val="16"/>
              </w:rPr>
            </w:pPr>
            <w:r w:rsidRPr="003B5EA4">
              <w:rPr>
                <w:i/>
                <w:sz w:val="16"/>
              </w:rPr>
              <w:t>Classe affaires</w:t>
            </w:r>
          </w:p>
        </w:tc>
        <w:tc>
          <w:tcPr>
            <w:tcW w:w="2178" w:type="dxa"/>
            <w:tcBorders>
              <w:top w:val="single" w:sz="4" w:space="0" w:color="auto"/>
              <w:bottom w:val="single" w:sz="12" w:space="0" w:color="auto"/>
            </w:tcBorders>
            <w:shd w:val="clear" w:color="auto" w:fill="auto"/>
            <w:vAlign w:val="bottom"/>
            <w:hideMark/>
          </w:tcPr>
          <w:p w:rsidR="00A86125" w:rsidRPr="003B5EA4" w:rsidRDefault="00A86125" w:rsidP="00BB4A31">
            <w:pPr>
              <w:spacing w:before="80" w:after="80" w:line="200" w:lineRule="exact"/>
              <w:rPr>
                <w:i/>
                <w:sz w:val="16"/>
              </w:rPr>
            </w:pPr>
            <w:r w:rsidRPr="003B5EA4">
              <w:rPr>
                <w:i/>
                <w:sz w:val="16"/>
              </w:rPr>
              <w:t>Classe économique</w:t>
            </w:r>
          </w:p>
        </w:tc>
      </w:tr>
      <w:tr w:rsidR="00203227" w:rsidRPr="003B5EA4" w:rsidTr="00C04C24">
        <w:trPr>
          <w:trHeight w:hRule="exact" w:val="113"/>
        </w:trPr>
        <w:tc>
          <w:tcPr>
            <w:tcW w:w="1701" w:type="dxa"/>
            <w:tcBorders>
              <w:top w:val="single" w:sz="12" w:space="0" w:color="auto"/>
            </w:tcBorders>
            <w:shd w:val="clear" w:color="auto" w:fill="auto"/>
          </w:tcPr>
          <w:p w:rsidR="00DB2BB4" w:rsidRPr="003B5EA4" w:rsidRDefault="00DB2BB4" w:rsidP="00DB2BB4">
            <w:pPr>
              <w:spacing w:before="40" w:after="120"/>
              <w:ind w:right="113"/>
            </w:pPr>
          </w:p>
        </w:tc>
        <w:tc>
          <w:tcPr>
            <w:tcW w:w="1843" w:type="dxa"/>
            <w:tcBorders>
              <w:top w:val="single" w:sz="12" w:space="0" w:color="auto"/>
            </w:tcBorders>
            <w:shd w:val="clear" w:color="auto" w:fill="auto"/>
          </w:tcPr>
          <w:p w:rsidR="00DB2BB4" w:rsidRPr="003B5EA4" w:rsidRDefault="00DB2BB4" w:rsidP="00DB2BB4">
            <w:pPr>
              <w:spacing w:before="40" w:after="120"/>
              <w:ind w:right="113"/>
            </w:pPr>
          </w:p>
        </w:tc>
        <w:tc>
          <w:tcPr>
            <w:tcW w:w="2782" w:type="dxa"/>
            <w:tcBorders>
              <w:top w:val="single" w:sz="12" w:space="0" w:color="auto"/>
            </w:tcBorders>
            <w:shd w:val="clear" w:color="auto" w:fill="auto"/>
          </w:tcPr>
          <w:p w:rsidR="00DB2BB4" w:rsidRPr="003B5EA4" w:rsidRDefault="00DB2BB4" w:rsidP="00DB2BB4">
            <w:pPr>
              <w:spacing w:before="40" w:after="120"/>
              <w:ind w:right="113"/>
            </w:pPr>
          </w:p>
        </w:tc>
        <w:tc>
          <w:tcPr>
            <w:tcW w:w="2178" w:type="dxa"/>
            <w:tcBorders>
              <w:top w:val="single" w:sz="12" w:space="0" w:color="auto"/>
            </w:tcBorders>
            <w:shd w:val="clear" w:color="auto" w:fill="auto"/>
          </w:tcPr>
          <w:p w:rsidR="00DB2BB4" w:rsidRPr="003B5EA4" w:rsidRDefault="00DB2BB4" w:rsidP="00BB4A31">
            <w:pPr>
              <w:spacing w:before="40" w:after="120"/>
            </w:pPr>
          </w:p>
        </w:tc>
      </w:tr>
      <w:tr w:rsidR="00DB2BB4" w:rsidRPr="003B5EA4" w:rsidTr="00C04C24">
        <w:tc>
          <w:tcPr>
            <w:tcW w:w="1701" w:type="dxa"/>
            <w:shd w:val="clear" w:color="auto" w:fill="auto"/>
            <w:hideMark/>
          </w:tcPr>
          <w:p w:rsidR="00A86125" w:rsidRPr="00CE33FB" w:rsidRDefault="00A86125" w:rsidP="00ED681D">
            <w:pPr>
              <w:spacing w:before="40" w:after="120"/>
              <w:ind w:right="113"/>
              <w:rPr>
                <w:lang w:val="en-US"/>
              </w:rPr>
            </w:pPr>
            <w:r w:rsidRPr="00CE33FB">
              <w:rPr>
                <w:b/>
                <w:lang w:val="en-US"/>
              </w:rPr>
              <w:t>Direct :</w:t>
            </w:r>
            <w:r w:rsidR="004A17BD" w:rsidRPr="00CE33FB">
              <w:rPr>
                <w:b/>
                <w:lang w:val="en-US"/>
              </w:rPr>
              <w:br/>
            </w:r>
            <w:r w:rsidRPr="00CE33FB">
              <w:rPr>
                <w:lang w:val="en-US"/>
              </w:rPr>
              <w:t>New York-Rome</w:t>
            </w:r>
            <w:r w:rsidR="00ED681D" w:rsidRPr="00CE33FB">
              <w:rPr>
                <w:lang w:val="en-US"/>
              </w:rPr>
              <w:br/>
            </w:r>
            <w:r w:rsidR="00203227" w:rsidRPr="00CE33FB">
              <w:rPr>
                <w:lang w:val="en-US"/>
              </w:rPr>
              <w:t>8 h</w:t>
            </w:r>
            <w:r w:rsidR="00ED681D" w:rsidRPr="00CE33FB">
              <w:rPr>
                <w:lang w:val="en-US"/>
              </w:rPr>
              <w:t xml:space="preserve"> </w:t>
            </w:r>
            <w:r w:rsidRPr="00CE33FB">
              <w:rPr>
                <w:lang w:val="en-US"/>
              </w:rPr>
              <w:t>25</w:t>
            </w:r>
          </w:p>
        </w:tc>
        <w:tc>
          <w:tcPr>
            <w:tcW w:w="1843" w:type="dxa"/>
            <w:shd w:val="clear" w:color="auto" w:fill="auto"/>
            <w:hideMark/>
          </w:tcPr>
          <w:p w:rsidR="00A86125" w:rsidRPr="00CE33FB" w:rsidRDefault="00A86125" w:rsidP="00DB2BB4">
            <w:pPr>
              <w:spacing w:before="40" w:after="120"/>
              <w:ind w:right="113"/>
              <w:rPr>
                <w:lang w:val="en-US"/>
              </w:rPr>
            </w:pPr>
            <w:r w:rsidRPr="00CE33FB">
              <w:rPr>
                <w:lang w:val="en-US"/>
              </w:rPr>
              <w:t>AIEA (DG, 6 DGA), OMI (SG), OMM (SG), OMPI (DG), OMT (SG), ONU (SG, VSG, PAG), UIT (SG, VSG, 3 directeurs de bureau)</w:t>
            </w:r>
          </w:p>
        </w:tc>
        <w:tc>
          <w:tcPr>
            <w:tcW w:w="2782" w:type="dxa"/>
            <w:shd w:val="clear" w:color="auto" w:fill="auto"/>
            <w:hideMark/>
          </w:tcPr>
          <w:p w:rsidR="00A86125" w:rsidRPr="003B5EA4" w:rsidRDefault="00A86125" w:rsidP="0021692E">
            <w:pPr>
              <w:spacing w:before="40" w:after="120"/>
              <w:ind w:right="113"/>
            </w:pPr>
            <w:r w:rsidRPr="00D120EC">
              <w:rPr>
                <w:lang w:val="en-US"/>
              </w:rPr>
              <w:t>Fonctionnaires de haut rang : CCI*, FNUAP, HCR,</w:t>
            </w:r>
            <w:r w:rsidR="00365188" w:rsidRPr="00D120EC">
              <w:rPr>
                <w:lang w:val="en-US"/>
              </w:rPr>
              <w:t xml:space="preserve"> </w:t>
            </w:r>
            <w:r w:rsidRPr="00D120EC">
              <w:rPr>
                <w:lang w:val="en-US"/>
              </w:rPr>
              <w:t>OACI, OIT (DG), OMS (DG, DGA, DE, 6 DR), ONU (SGA, SSG), ONU</w:t>
            </w:r>
            <w:r w:rsidR="006767EA" w:rsidRPr="00D120EC">
              <w:rPr>
                <w:lang w:val="en-US"/>
              </w:rPr>
              <w:noBreakHyphen/>
            </w:r>
            <w:r w:rsidRPr="00D120EC">
              <w:rPr>
                <w:lang w:val="en-US"/>
              </w:rPr>
              <w:t>Femmes (DE, 2 DEA), ONUDC, ONUDI (D-2 et plus), ONUSIDA, PNUD (SGA, SSG), UNESCO, UNICEF, UNOPS (D</w:t>
            </w:r>
            <w:r w:rsidR="006767EA" w:rsidRPr="00D120EC">
              <w:rPr>
                <w:lang w:val="en-US"/>
              </w:rPr>
              <w:noBreakHyphen/>
            </w:r>
            <w:r w:rsidRPr="00D120EC">
              <w:rPr>
                <w:lang w:val="en-US"/>
              </w:rPr>
              <w:t xml:space="preserve">1 et plus), UNRWA. </w:t>
            </w:r>
            <w:r w:rsidRPr="003B5EA4">
              <w:t>Tous fonctionnaires de haut rang et autres : AIEA (sous les DGA), OMI (sous le SG)</w:t>
            </w:r>
          </w:p>
        </w:tc>
        <w:tc>
          <w:tcPr>
            <w:tcW w:w="2178" w:type="dxa"/>
            <w:shd w:val="clear" w:color="auto" w:fill="auto"/>
            <w:hideMark/>
          </w:tcPr>
          <w:p w:rsidR="00A86125" w:rsidRPr="003B5EA4" w:rsidRDefault="00A86125" w:rsidP="00BB4A31">
            <w:pPr>
              <w:spacing w:before="40" w:after="120"/>
            </w:pPr>
            <w:r w:rsidRPr="003B5EA4">
              <w:t>Fonctionnaires (D-2 et moins, à</w:t>
            </w:r>
            <w:r w:rsidR="006767EA" w:rsidRPr="003B5EA4">
              <w:t> </w:t>
            </w:r>
            <w:r w:rsidRPr="003B5EA4">
              <w:t>certaines exceptions, comme indiqué) : CCI*, FNUAP, HCR, OACI, OIT (DGA et moins), OMM (sous</w:t>
            </w:r>
            <w:r w:rsidR="009352AE" w:rsidRPr="003B5EA4">
              <w:t> </w:t>
            </w:r>
            <w:r w:rsidRPr="003B5EA4">
              <w:t>SG), OMPI, OMS, OMT, ONU, ONU-Femmes, ONUDC, ONUDI (sous D</w:t>
            </w:r>
            <w:r w:rsidR="00B42F77" w:rsidRPr="003B5EA4">
              <w:noBreakHyphen/>
            </w:r>
            <w:r w:rsidRPr="003B5EA4">
              <w:t>2), ONUSIDA, PAM, PNUD, UIT, UNESCO, UNICEF, UNOPS (sous</w:t>
            </w:r>
            <w:r w:rsidR="009352AE" w:rsidRPr="003B5EA4">
              <w:t> </w:t>
            </w:r>
            <w:r w:rsidRPr="003B5EA4">
              <w:t>D</w:t>
            </w:r>
            <w:r w:rsidR="00B42F77" w:rsidRPr="003B5EA4">
              <w:noBreakHyphen/>
            </w:r>
            <w:r w:rsidRPr="003B5EA4">
              <w:t xml:space="preserve">1), UNRWA. Tous fonctionnaires de haut rang et autres (D-2 et moins) : </w:t>
            </w:r>
            <w:r w:rsidR="006767EA" w:rsidRPr="003B5EA4">
              <w:t>FAO</w:t>
            </w:r>
          </w:p>
        </w:tc>
      </w:tr>
      <w:tr w:rsidR="00DB2BB4" w:rsidRPr="003B5EA4" w:rsidTr="00C04C24">
        <w:tc>
          <w:tcPr>
            <w:tcW w:w="1701" w:type="dxa"/>
            <w:shd w:val="clear" w:color="auto" w:fill="auto"/>
            <w:hideMark/>
          </w:tcPr>
          <w:p w:rsidR="00803B75" w:rsidRDefault="00A86125" w:rsidP="00DB2BB4">
            <w:pPr>
              <w:spacing w:before="40" w:after="120"/>
              <w:ind w:right="113"/>
              <w:rPr>
                <w:lang w:val="en-US"/>
              </w:rPr>
            </w:pPr>
            <w:r w:rsidRPr="00CE33FB">
              <w:rPr>
                <w:b/>
                <w:lang w:val="en-US"/>
              </w:rPr>
              <w:t>Direct :</w:t>
            </w:r>
            <w:r w:rsidR="004A17BD" w:rsidRPr="00CE33FB">
              <w:rPr>
                <w:b/>
                <w:lang w:val="en-US"/>
              </w:rPr>
              <w:br/>
            </w:r>
            <w:r w:rsidR="00203227" w:rsidRPr="00CE33FB">
              <w:rPr>
                <w:lang w:val="en-US"/>
              </w:rPr>
              <w:t>Rome-New York</w:t>
            </w:r>
            <w:r w:rsidR="00ED681D" w:rsidRPr="00CE33FB">
              <w:rPr>
                <w:lang w:val="en-US"/>
              </w:rPr>
              <w:br/>
            </w:r>
            <w:r w:rsidR="00203227" w:rsidRPr="00CE33FB">
              <w:rPr>
                <w:lang w:val="en-US"/>
              </w:rPr>
              <w:t>9 h</w:t>
            </w:r>
            <w:r w:rsidR="00ED681D" w:rsidRPr="00CE33FB">
              <w:rPr>
                <w:lang w:val="en-US"/>
              </w:rPr>
              <w:t> </w:t>
            </w:r>
            <w:r w:rsidRPr="00CE33FB">
              <w:rPr>
                <w:lang w:val="en-US"/>
              </w:rPr>
              <w:t>35</w:t>
            </w:r>
          </w:p>
          <w:p w:rsidR="00C04C24" w:rsidRPr="00032AFA" w:rsidRDefault="00C04C24" w:rsidP="00DB2BB4">
            <w:pPr>
              <w:spacing w:before="40" w:after="120"/>
              <w:ind w:right="113"/>
            </w:pPr>
            <w:r w:rsidRPr="00032AFA">
              <w:t>et</w:t>
            </w:r>
          </w:p>
          <w:p w:rsidR="00A86125" w:rsidRPr="003B5EA4" w:rsidRDefault="00A86125" w:rsidP="00ED681D">
            <w:pPr>
              <w:spacing w:before="40" w:after="120"/>
              <w:ind w:right="113"/>
            </w:pPr>
            <w:r w:rsidRPr="003B5EA4">
              <w:rPr>
                <w:b/>
              </w:rPr>
              <w:t>Économique :</w:t>
            </w:r>
            <w:r w:rsidR="00203227" w:rsidRPr="003B5EA4">
              <w:rPr>
                <w:b/>
              </w:rPr>
              <w:br/>
            </w:r>
            <w:r w:rsidRPr="003B5EA4">
              <w:t>Rome-New York</w:t>
            </w:r>
            <w:r w:rsidR="00203227" w:rsidRPr="003B5EA4">
              <w:br/>
            </w:r>
            <w:r w:rsidRPr="003B5EA4">
              <w:t>10 h</w:t>
            </w:r>
            <w:r w:rsidR="00ED681D" w:rsidRPr="003B5EA4">
              <w:t> </w:t>
            </w:r>
            <w:r w:rsidRPr="003B5EA4">
              <w:t>55</w:t>
            </w:r>
          </w:p>
        </w:tc>
        <w:tc>
          <w:tcPr>
            <w:tcW w:w="1843" w:type="dxa"/>
            <w:shd w:val="clear" w:color="auto" w:fill="auto"/>
            <w:hideMark/>
          </w:tcPr>
          <w:p w:rsidR="00A86125" w:rsidRPr="003B5EA4" w:rsidRDefault="00A86125" w:rsidP="00C04C24">
            <w:pPr>
              <w:spacing w:before="40" w:after="120"/>
              <w:ind w:right="113"/>
            </w:pPr>
            <w:r w:rsidRPr="003B5EA4">
              <w:t>Comme pour New York-Rome ci</w:t>
            </w:r>
            <w:r w:rsidR="00B42F77" w:rsidRPr="003B5EA4">
              <w:noBreakHyphen/>
            </w:r>
            <w:r w:rsidRPr="003B5EA4">
              <w:t>dessus</w:t>
            </w:r>
          </w:p>
        </w:tc>
        <w:tc>
          <w:tcPr>
            <w:tcW w:w="2782" w:type="dxa"/>
            <w:shd w:val="clear" w:color="auto" w:fill="auto"/>
            <w:hideMark/>
          </w:tcPr>
          <w:p w:rsidR="00A86125" w:rsidRPr="003B5EA4" w:rsidRDefault="00A86125" w:rsidP="00C04C24">
            <w:pPr>
              <w:spacing w:before="40" w:after="120"/>
              <w:ind w:right="113"/>
            </w:pPr>
            <w:r w:rsidRPr="003B5EA4">
              <w:t>Tous fonctionnaires de haut rang (sauf ceux figurant dans la colonne de gauche) et autres</w:t>
            </w:r>
            <w:r w:rsidR="00C04C24">
              <w:br/>
            </w:r>
            <w:r w:rsidRPr="003B5EA4">
              <w:t>(D-2 et moins) : AIEA, CCI*, FNUAP, HCR, OACI, OIT, OMI, OMM</w:t>
            </w:r>
            <w:r w:rsidR="0021692E">
              <w:t>,</w:t>
            </w:r>
            <w:r w:rsidRPr="003B5EA4">
              <w:t xml:space="preserve"> OMPI, OMS, OMT, ONU, ONU</w:t>
            </w:r>
            <w:r w:rsidR="0083651F" w:rsidRPr="003B5EA4">
              <w:noBreakHyphen/>
            </w:r>
            <w:r w:rsidRPr="003B5EA4">
              <w:t>Femmes, ONUDC, ONUDI, PAM, PNUD, UIT, UNICEF,</w:t>
            </w:r>
            <w:r w:rsidR="0021692E">
              <w:t xml:space="preserve"> </w:t>
            </w:r>
            <w:r w:rsidRPr="003B5EA4">
              <w:t>UNOPS, UNRWA. Fonctionnaires de haut rang seulement : ONUSIDA, UNESCO</w:t>
            </w:r>
          </w:p>
        </w:tc>
        <w:tc>
          <w:tcPr>
            <w:tcW w:w="2178" w:type="dxa"/>
            <w:shd w:val="clear" w:color="auto" w:fill="auto"/>
            <w:hideMark/>
          </w:tcPr>
          <w:p w:rsidR="00A86125" w:rsidRPr="003B5EA4" w:rsidRDefault="00A86125" w:rsidP="00BB4A31">
            <w:pPr>
              <w:spacing w:before="40" w:after="120"/>
            </w:pPr>
            <w:r w:rsidRPr="003B5EA4">
              <w:t>Fonctionnaires (D-2 et moins) : ONUSIDA, UNESCO. Tous fonctionnaires de haut rang et autres : FAO</w:t>
            </w:r>
          </w:p>
        </w:tc>
      </w:tr>
      <w:tr w:rsidR="00DB2BB4" w:rsidRPr="003B5EA4" w:rsidTr="00C04C24">
        <w:tc>
          <w:tcPr>
            <w:tcW w:w="1701" w:type="dxa"/>
            <w:tcBorders>
              <w:bottom w:val="single" w:sz="12" w:space="0" w:color="auto"/>
            </w:tcBorders>
            <w:shd w:val="clear" w:color="auto" w:fill="auto"/>
          </w:tcPr>
          <w:p w:rsidR="00A86125" w:rsidRPr="003B5EA4" w:rsidRDefault="00A86125" w:rsidP="00ED681D">
            <w:pPr>
              <w:spacing w:before="40" w:after="120"/>
              <w:ind w:right="113"/>
              <w:rPr>
                <w:b/>
              </w:rPr>
            </w:pPr>
            <w:r w:rsidRPr="003B5EA4">
              <w:rPr>
                <w:b/>
              </w:rPr>
              <w:t>Économique :</w:t>
            </w:r>
            <w:r w:rsidR="00203227" w:rsidRPr="003B5EA4">
              <w:br/>
            </w:r>
            <w:r w:rsidRPr="003B5EA4">
              <w:t>New York-Rome</w:t>
            </w:r>
            <w:r w:rsidR="00203227" w:rsidRPr="003B5EA4">
              <w:t xml:space="preserve"> </w:t>
            </w:r>
            <w:r w:rsidR="00203227" w:rsidRPr="003B5EA4">
              <w:br/>
            </w:r>
            <w:r w:rsidRPr="003B5EA4">
              <w:t>12 h</w:t>
            </w:r>
            <w:r w:rsidR="00ED681D" w:rsidRPr="003B5EA4">
              <w:t> </w:t>
            </w:r>
            <w:r w:rsidRPr="003B5EA4">
              <w:t>25</w:t>
            </w:r>
          </w:p>
        </w:tc>
        <w:tc>
          <w:tcPr>
            <w:tcW w:w="1843" w:type="dxa"/>
            <w:tcBorders>
              <w:bottom w:val="single" w:sz="12" w:space="0" w:color="auto"/>
            </w:tcBorders>
            <w:shd w:val="clear" w:color="auto" w:fill="auto"/>
          </w:tcPr>
          <w:p w:rsidR="00A86125" w:rsidRPr="003B5EA4" w:rsidRDefault="00A86125" w:rsidP="00DB2BB4">
            <w:pPr>
              <w:spacing w:before="40" w:after="120"/>
              <w:ind w:right="113"/>
            </w:pPr>
            <w:r w:rsidRPr="003B5EA4">
              <w:t>Comme c</w:t>
            </w:r>
            <w:r w:rsidR="006767EA" w:rsidRPr="003B5EA4">
              <w:t>i-dessus</w:t>
            </w:r>
          </w:p>
        </w:tc>
        <w:tc>
          <w:tcPr>
            <w:tcW w:w="2782" w:type="dxa"/>
            <w:tcBorders>
              <w:bottom w:val="single" w:sz="12" w:space="0" w:color="auto"/>
            </w:tcBorders>
            <w:shd w:val="clear" w:color="auto" w:fill="auto"/>
          </w:tcPr>
          <w:p w:rsidR="00A86125" w:rsidRPr="003B5EA4" w:rsidRDefault="00A86125" w:rsidP="00DB2BB4">
            <w:pPr>
              <w:spacing w:before="40" w:after="120"/>
              <w:ind w:right="113"/>
            </w:pPr>
            <w:r w:rsidRPr="003B5EA4">
              <w:t xml:space="preserve">Comme ci-dessus. Sont également inclus tous fonctionnaires de haut rang et autres de </w:t>
            </w:r>
            <w:r w:rsidR="006767EA" w:rsidRPr="003B5EA4">
              <w:t>la FAO</w:t>
            </w:r>
          </w:p>
        </w:tc>
        <w:tc>
          <w:tcPr>
            <w:tcW w:w="2178" w:type="dxa"/>
            <w:tcBorders>
              <w:bottom w:val="single" w:sz="12" w:space="0" w:color="auto"/>
            </w:tcBorders>
            <w:shd w:val="clear" w:color="auto" w:fill="auto"/>
          </w:tcPr>
          <w:p w:rsidR="00A86125" w:rsidRPr="003B5EA4" w:rsidRDefault="00A86125" w:rsidP="00BB4A31">
            <w:pPr>
              <w:spacing w:before="40" w:after="120"/>
              <w:rPr>
                <w:i/>
              </w:rPr>
            </w:pPr>
            <w:r w:rsidRPr="003B5EA4">
              <w:t>Fonctionnaires (D-2 et moins) : UNESCO (fonctionnaires D-2 et moins en classe économique « premium » : ONUSIDA)</w:t>
            </w:r>
          </w:p>
        </w:tc>
      </w:tr>
    </w:tbl>
    <w:p w:rsidR="00A86125" w:rsidRPr="002E7B10" w:rsidRDefault="0074388E" w:rsidP="002E7B10">
      <w:pPr>
        <w:pStyle w:val="SingleTxtG"/>
        <w:spacing w:before="120" w:after="0"/>
        <w:ind w:right="0" w:firstLine="170"/>
        <w:jc w:val="left"/>
        <w:rPr>
          <w:sz w:val="18"/>
          <w:szCs w:val="18"/>
        </w:rPr>
      </w:pPr>
      <w:r w:rsidRPr="002E7B10">
        <w:rPr>
          <w:i/>
          <w:sz w:val="18"/>
          <w:szCs w:val="18"/>
        </w:rPr>
        <w:t>Source</w:t>
      </w:r>
      <w:r w:rsidRPr="002E7B10">
        <w:rPr>
          <w:sz w:val="18"/>
          <w:szCs w:val="18"/>
        </w:rPr>
        <w:t> : Politiques et réponses des organismes au questionnaire.</w:t>
      </w:r>
    </w:p>
    <w:p w:rsidR="00865DB6" w:rsidRPr="002E7B10" w:rsidRDefault="00865DB6" w:rsidP="002E7B10">
      <w:pPr>
        <w:pStyle w:val="SingleTxtG"/>
        <w:spacing w:after="240"/>
        <w:ind w:right="0" w:firstLine="170"/>
        <w:jc w:val="left"/>
        <w:rPr>
          <w:sz w:val="18"/>
          <w:szCs w:val="18"/>
        </w:rPr>
      </w:pPr>
      <w:r w:rsidRPr="002E7B10">
        <w:rPr>
          <w:i/>
          <w:sz w:val="18"/>
          <w:szCs w:val="18"/>
        </w:rPr>
        <w:t>Abréviations</w:t>
      </w:r>
      <w:r w:rsidRPr="002E7B10">
        <w:rPr>
          <w:sz w:val="18"/>
          <w:szCs w:val="18"/>
        </w:rPr>
        <w:t> : DE, Directeur exécutif ; DEA, Directeur exécutif adjoint ; DG, Directeur général ; DGA, Directeur général adjoint ; DR, Directeur régional ; PAG, Président de l</w:t>
      </w:r>
      <w:r w:rsidR="00762E0A">
        <w:rPr>
          <w:sz w:val="18"/>
          <w:szCs w:val="18"/>
        </w:rPr>
        <w:t>’</w:t>
      </w:r>
      <w:r w:rsidRPr="002E7B10">
        <w:rPr>
          <w:sz w:val="18"/>
          <w:szCs w:val="18"/>
        </w:rPr>
        <w:t>Assemblée générale ; SG, Secrétaire général ; SGA, Secrétaire général adjoint</w:t>
      </w:r>
      <w:r w:rsidR="007959C4">
        <w:rPr>
          <w:sz w:val="18"/>
          <w:szCs w:val="18"/>
        </w:rPr>
        <w:t> ;</w:t>
      </w:r>
      <w:r w:rsidRPr="002E7B10">
        <w:rPr>
          <w:sz w:val="18"/>
          <w:szCs w:val="18"/>
        </w:rPr>
        <w:t xml:space="preserve"> SSG, Sous-Secrétaire général ; VSG, Vice-Secrétaire général.</w:t>
      </w:r>
    </w:p>
    <w:p w:rsidR="0074388E" w:rsidRPr="003B5EA4" w:rsidRDefault="0078047E" w:rsidP="0078047E">
      <w:pPr>
        <w:pStyle w:val="SingleTxtG"/>
      </w:pPr>
      <w:r w:rsidRPr="003B5EA4">
        <w:t>217.</w:t>
      </w:r>
      <w:r w:rsidRPr="003B5EA4">
        <w:tab/>
        <w:t>Pour ce qui est de l</w:t>
      </w:r>
      <w:r w:rsidR="00762E0A">
        <w:t>’</w:t>
      </w:r>
      <w:r w:rsidRPr="003B5EA4">
        <w:t>itinéraire le plus économique, c</w:t>
      </w:r>
      <w:r w:rsidR="00762E0A">
        <w:t>’</w:t>
      </w:r>
      <w:r w:rsidRPr="003B5EA4">
        <w:t xml:space="preserve">est-à-dire ne dépassant pas de plus de </w:t>
      </w:r>
      <w:r w:rsidR="00854D4A">
        <w:t>4</w:t>
      </w:r>
      <w:r w:rsidRPr="003B5EA4">
        <w:t> heures l</w:t>
      </w:r>
      <w:r w:rsidR="00762E0A">
        <w:t>’</w:t>
      </w:r>
      <w:r w:rsidRPr="003B5EA4">
        <w:t>itinéraire le plus direct, le vol d</w:t>
      </w:r>
      <w:r w:rsidR="00762E0A">
        <w:t>’</w:t>
      </w:r>
      <w:r w:rsidRPr="003B5EA4">
        <w:t>ouest en est d</w:t>
      </w:r>
      <w:r w:rsidR="00762E0A">
        <w:t>’</w:t>
      </w:r>
      <w:r w:rsidRPr="003B5EA4">
        <w:t>une durée de 10 h 55 permet aux haut</w:t>
      </w:r>
      <w:r w:rsidR="0063400D">
        <w:t>s</w:t>
      </w:r>
      <w:r w:rsidRPr="003B5EA4">
        <w:t xml:space="preserve"> fonctionnaires et aux fonctionnaire</w:t>
      </w:r>
      <w:r w:rsidR="00854D4A">
        <w:t>s</w:t>
      </w:r>
      <w:r w:rsidRPr="003B5EA4">
        <w:t xml:space="preserve"> de moindre rang de voyager en première classe ou en classe affaires dans le cas de 19 organismes, nombre qui passe à 20 pour le vol d</w:t>
      </w:r>
      <w:r w:rsidR="00762E0A">
        <w:t>’</w:t>
      </w:r>
      <w:r w:rsidRPr="003B5EA4">
        <w:t>est en ouest d</w:t>
      </w:r>
      <w:r w:rsidR="00762E0A">
        <w:t>’</w:t>
      </w:r>
      <w:r w:rsidRPr="003B5EA4">
        <w:t>une durée de 12 h 25, sur lequel les fonctionnaires de moindre rang de l</w:t>
      </w:r>
      <w:r w:rsidR="00762E0A">
        <w:t>’</w:t>
      </w:r>
      <w:r w:rsidRPr="003B5EA4">
        <w:t>UNESCO ont droit à la classe affaires et ceux de l</w:t>
      </w:r>
      <w:r w:rsidR="00762E0A">
        <w:t>’</w:t>
      </w:r>
      <w:r w:rsidRPr="003B5EA4">
        <w:t>ONUSIDA à la classe économique « premium ».</w:t>
      </w:r>
    </w:p>
    <w:p w:rsidR="0078047E" w:rsidRPr="003B5EA4" w:rsidRDefault="0078047E" w:rsidP="0078047E">
      <w:pPr>
        <w:pStyle w:val="SingleTxtG"/>
        <w:rPr>
          <w:bCs/>
        </w:rPr>
      </w:pPr>
      <w:r w:rsidRPr="003B5EA4">
        <w:t>218.</w:t>
      </w:r>
      <w:r w:rsidRPr="003B5EA4">
        <w:tab/>
      </w:r>
      <w:r w:rsidRPr="003B5EA4">
        <w:rPr>
          <w:bCs/>
        </w:rPr>
        <w:t>Le recours à quatre classes pour le même vol aller retour et les abondants surclassements dans une direction (est en ouest) par rapport à l</w:t>
      </w:r>
      <w:r w:rsidR="00762E0A">
        <w:rPr>
          <w:bCs/>
        </w:rPr>
        <w:t>’</w:t>
      </w:r>
      <w:r w:rsidRPr="003B5EA4">
        <w:rPr>
          <w:bCs/>
        </w:rPr>
        <w:t xml:space="preserve">autre (ouest en est), avec ce que cela implique de coûts supplémentaires, fait clairement ressortir la nécessité de </w:t>
      </w:r>
      <w:r w:rsidRPr="003B5EA4">
        <w:rPr>
          <w:bCs/>
        </w:rPr>
        <w:lastRenderedPageBreak/>
        <w:t>rationaliser davantage les prestations en fonction des catégories de fonctionnaires et de revoir les seuils de durée ouvrant droit à la classe affaires.</w:t>
      </w:r>
    </w:p>
    <w:p w:rsidR="0074388E" w:rsidRPr="003B5EA4" w:rsidRDefault="0078047E" w:rsidP="0078047E">
      <w:pPr>
        <w:pStyle w:val="SingleTxtG"/>
        <w:rPr>
          <w:bCs/>
        </w:rPr>
      </w:pPr>
      <w:r w:rsidRPr="003B5EA4">
        <w:rPr>
          <w:bCs/>
        </w:rPr>
        <w:t>219.</w:t>
      </w:r>
      <w:r w:rsidRPr="003B5EA4">
        <w:rPr>
          <w:bCs/>
        </w:rPr>
        <w:tab/>
        <w:t>Face à ces disparités, le CCS, fort de sa structure interinstitutionnelle officielle, du niveau d</w:t>
      </w:r>
      <w:r w:rsidR="00762E0A">
        <w:rPr>
          <w:bCs/>
        </w:rPr>
        <w:t>’</w:t>
      </w:r>
      <w:r w:rsidRPr="003B5EA4">
        <w:rPr>
          <w:bCs/>
        </w:rPr>
        <w:t>autorité déléguée dont il dispose et de son accès aux informations nécessaires, devrait entreprendre, à l</w:t>
      </w:r>
      <w:r w:rsidR="00762E0A">
        <w:rPr>
          <w:bCs/>
        </w:rPr>
        <w:t>’</w:t>
      </w:r>
      <w:r w:rsidRPr="003B5EA4">
        <w:rPr>
          <w:bCs/>
        </w:rPr>
        <w:t>échelle du système, un examen des conditions de voyage en avion et des coûts y afférents compte dûment tenu des spécificités des missions, mandats et structures concernés (selon qu</w:t>
      </w:r>
      <w:r w:rsidR="00762E0A">
        <w:rPr>
          <w:bCs/>
        </w:rPr>
        <w:t>’</w:t>
      </w:r>
      <w:r w:rsidRPr="003B5EA4">
        <w:rPr>
          <w:bCs/>
        </w:rPr>
        <w:t>il s</w:t>
      </w:r>
      <w:r w:rsidR="00762E0A">
        <w:rPr>
          <w:bCs/>
        </w:rPr>
        <w:t>’</w:t>
      </w:r>
      <w:r w:rsidRPr="003B5EA4">
        <w:rPr>
          <w:bCs/>
        </w:rPr>
        <w:t>agit d</w:t>
      </w:r>
      <w:r w:rsidR="00762E0A">
        <w:rPr>
          <w:bCs/>
        </w:rPr>
        <w:t>’</w:t>
      </w:r>
      <w:r w:rsidRPr="003B5EA4">
        <w:rPr>
          <w:bCs/>
        </w:rPr>
        <w:t>activités de siège ou de terrain, par exemple). Les conclusions et recommandations de cet examen pourraient contribuer à la réalisation d</w:t>
      </w:r>
      <w:r w:rsidR="00762E0A">
        <w:rPr>
          <w:bCs/>
        </w:rPr>
        <w:t>’</w:t>
      </w:r>
      <w:r w:rsidRPr="003B5EA4">
        <w:rPr>
          <w:bCs/>
        </w:rPr>
        <w:t>économies considérables à une époque où l</w:t>
      </w:r>
      <w:r w:rsidR="00762E0A">
        <w:rPr>
          <w:bCs/>
        </w:rPr>
        <w:t>’</w:t>
      </w:r>
      <w:r w:rsidRPr="003B5EA4">
        <w:rPr>
          <w:bCs/>
        </w:rPr>
        <w:t>incertitude financière se fait croissante pour les organismes des Nations Unies.</w:t>
      </w:r>
    </w:p>
    <w:p w:rsidR="0078047E" w:rsidRPr="003B5EA4" w:rsidRDefault="0078047E" w:rsidP="0078047E">
      <w:pPr>
        <w:pStyle w:val="SingleTxtG"/>
        <w:rPr>
          <w:bCs/>
        </w:rPr>
      </w:pPr>
      <w:r w:rsidRPr="003B5EA4">
        <w:rPr>
          <w:bCs/>
        </w:rPr>
        <w:t>220.</w:t>
      </w:r>
      <w:r w:rsidRPr="003B5EA4">
        <w:rPr>
          <w:bCs/>
        </w:rPr>
        <w:tab/>
        <w:t>Par conséquent, la mise en œuvre de la recommandation suivante devrait assurer une plus grande cohérence et une meilleure harmonisation de la gestion des voyages en avion au sein du système des Nations Unies.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78047E" w:rsidRPr="003B5EA4" w:rsidTr="00A630C8">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78047E" w:rsidRPr="003B5EA4" w:rsidRDefault="0078047E" w:rsidP="00A630C8"/>
        </w:tc>
      </w:tr>
      <w:tr w:rsidR="0078047E" w:rsidRPr="003B5EA4" w:rsidTr="00A630C8">
        <w:trPr>
          <w:jc w:val="center"/>
        </w:trPr>
        <w:tc>
          <w:tcPr>
            <w:tcW w:w="7653" w:type="dxa"/>
            <w:tcBorders>
              <w:left w:val="single" w:sz="4" w:space="0" w:color="auto"/>
              <w:bottom w:val="nil"/>
              <w:right w:val="single" w:sz="4" w:space="0" w:color="auto"/>
            </w:tcBorders>
            <w:shd w:val="clear" w:color="auto" w:fill="auto"/>
          </w:tcPr>
          <w:p w:rsidR="0078047E" w:rsidRPr="003B5EA4" w:rsidRDefault="0078047E" w:rsidP="00A630C8">
            <w:pPr>
              <w:spacing w:after="120"/>
              <w:jc w:val="both"/>
            </w:pPr>
            <w:r w:rsidRPr="003B5EA4">
              <w:rPr>
                <w:b/>
              </w:rPr>
              <w:t>Recommandation 7</w:t>
            </w:r>
          </w:p>
        </w:tc>
      </w:tr>
      <w:tr w:rsidR="0078047E" w:rsidRPr="003B5EA4" w:rsidTr="00A630C8">
        <w:trPr>
          <w:jc w:val="center"/>
        </w:trPr>
        <w:tc>
          <w:tcPr>
            <w:tcW w:w="7653" w:type="dxa"/>
            <w:tcBorders>
              <w:left w:val="single" w:sz="4" w:space="0" w:color="auto"/>
              <w:bottom w:val="nil"/>
              <w:right w:val="single" w:sz="4" w:space="0" w:color="auto"/>
            </w:tcBorders>
            <w:shd w:val="clear" w:color="auto" w:fill="auto"/>
          </w:tcPr>
          <w:p w:rsidR="0078047E" w:rsidRPr="003B5EA4" w:rsidRDefault="0078047E" w:rsidP="0078047E">
            <w:pPr>
              <w:spacing w:after="120"/>
              <w:ind w:firstLine="567"/>
              <w:jc w:val="both"/>
              <w:rPr>
                <w:b/>
              </w:rPr>
            </w:pPr>
            <w:r w:rsidRPr="003B5EA4">
              <w:rPr>
                <w:b/>
              </w:rPr>
              <w:t>L</w:t>
            </w:r>
            <w:r w:rsidR="00762E0A">
              <w:rPr>
                <w:b/>
              </w:rPr>
              <w:t>’</w:t>
            </w:r>
            <w:r w:rsidRPr="003B5EA4">
              <w:rPr>
                <w:b/>
              </w:rPr>
              <w:t>Assemblée générale devrait prier le Secrétaire général, en sa qualité de Président du Conseil des chefs de secrétariat des organismes des Nations Unies pour la coordination, de procéder à un examen des mesures visant à promouvoir l</w:t>
            </w:r>
            <w:r w:rsidR="00762E0A">
              <w:rPr>
                <w:b/>
              </w:rPr>
              <w:t>’</w:t>
            </w:r>
            <w:r w:rsidRPr="003B5EA4">
              <w:rPr>
                <w:b/>
              </w:rPr>
              <w:t>harmonisation des conditions de voyage en avion appliquées par l</w:t>
            </w:r>
            <w:r w:rsidR="00762E0A">
              <w:rPr>
                <w:b/>
              </w:rPr>
              <w:t>’</w:t>
            </w:r>
            <w:r w:rsidRPr="003B5EA4">
              <w:rPr>
                <w:b/>
              </w:rPr>
              <w:t>ensemble des organismes des Nations Unies, ainsi que des dépenses relatives aux voyages en avion à caractère officiel et statutaire, et de faire rapport des résultats à l</w:t>
            </w:r>
            <w:r w:rsidR="00762E0A">
              <w:rPr>
                <w:b/>
              </w:rPr>
              <w:t>’</w:t>
            </w:r>
            <w:r w:rsidRPr="003B5EA4">
              <w:rPr>
                <w:b/>
              </w:rPr>
              <w:t>Assemblée générale à la première partie de la reprise de sa soixante-treizième session.</w:t>
            </w:r>
          </w:p>
        </w:tc>
      </w:tr>
      <w:tr w:rsidR="0078047E" w:rsidRPr="003B5EA4" w:rsidTr="00A630C8">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78047E" w:rsidRPr="003B5EA4" w:rsidRDefault="0078047E" w:rsidP="00A630C8"/>
        </w:tc>
      </w:tr>
    </w:tbl>
    <w:p w:rsidR="0078047E" w:rsidRPr="003B5EA4" w:rsidRDefault="0078047E" w:rsidP="0078047E">
      <w:pPr>
        <w:pStyle w:val="H1G"/>
      </w:pPr>
      <w:r w:rsidRPr="003B5EA4">
        <w:tab/>
        <w:t>D.</w:t>
      </w:r>
      <w:r w:rsidRPr="003B5EA4">
        <w:tab/>
        <w:t>Aspects des politiques et des prestations susceptibles d</w:t>
      </w:r>
      <w:r w:rsidR="00762E0A">
        <w:t>’</w:t>
      </w:r>
      <w:r w:rsidRPr="003B5EA4">
        <w:t>être harmonisés</w:t>
      </w:r>
    </w:p>
    <w:p w:rsidR="00903DB7" w:rsidRPr="003B5EA4" w:rsidRDefault="00903DB7" w:rsidP="00220E2C">
      <w:pPr>
        <w:pStyle w:val="H23G"/>
      </w:pPr>
      <w:r w:rsidRPr="003B5EA4">
        <w:tab/>
      </w:r>
      <w:r w:rsidRPr="003B5EA4">
        <w:tab/>
      </w:r>
      <w:r w:rsidRPr="00220E2C">
        <w:t>Harmonisation</w:t>
      </w:r>
      <w:r w:rsidRPr="003B5EA4">
        <w:t xml:space="preserve"> des taux et méthodes de calcul de la somme forfaitaire</w:t>
      </w:r>
    </w:p>
    <w:p w:rsidR="0078047E" w:rsidRPr="003B5EA4" w:rsidRDefault="00903DB7" w:rsidP="00903DB7">
      <w:pPr>
        <w:pStyle w:val="SingleTxtG"/>
      </w:pPr>
      <w:r w:rsidRPr="003B5EA4">
        <w:t>221.</w:t>
      </w:r>
      <w:r w:rsidRPr="003B5EA4">
        <w:tab/>
        <w:t>La possibilité du versement forfaitaire est actuellement proposée par 23 organismes des Nations Unies</w:t>
      </w:r>
      <w:r w:rsidRPr="003B5EA4">
        <w:rPr>
          <w:rStyle w:val="Appelnotedebasdep"/>
        </w:rPr>
        <w:footnoteReference w:id="193"/>
      </w:r>
      <w:r w:rsidRPr="003B5EA4">
        <w:t xml:space="preserve">, pour des combinaisons variables de voyages statutaires (voir chap. VIII et </w:t>
      </w:r>
      <w:r w:rsidRPr="003B5EA4">
        <w:rPr>
          <w:szCs w:val="22"/>
        </w:rPr>
        <w:t>annexe X</w:t>
      </w:r>
      <w:r w:rsidRPr="003B5EA4">
        <w:t>). Elle a été cautionnée par une étude de faisabilité du BSCI</w:t>
      </w:r>
      <w:r w:rsidRPr="003B5EA4">
        <w:rPr>
          <w:rStyle w:val="Appelnotedebasdep"/>
        </w:rPr>
        <w:footnoteReference w:id="194"/>
      </w:r>
      <w:r w:rsidRPr="003B5EA4">
        <w:t xml:space="preserve"> qui en a reconnu l</w:t>
      </w:r>
      <w:r w:rsidR="00762E0A">
        <w:t>’</w:t>
      </w:r>
      <w:r w:rsidRPr="003B5EA4">
        <w:t>utilité pour alléger la charge administrative et financière que représentent les voyages statutaires. Il existe cependant des variations marquées, à l</w:t>
      </w:r>
      <w:r w:rsidR="00762E0A">
        <w:t>’</w:t>
      </w:r>
      <w:r w:rsidRPr="003B5EA4">
        <w:t>échelle du système, dans la façon de la calculer, qui peut se fonder sur des pourcentages et des catégories de tarifs aériens différents.</w:t>
      </w:r>
    </w:p>
    <w:p w:rsidR="00A630C8" w:rsidRPr="003B5EA4" w:rsidRDefault="00A630C8" w:rsidP="00903DB7">
      <w:pPr>
        <w:pStyle w:val="SingleTxtG"/>
      </w:pPr>
      <w:r w:rsidRPr="003B5EA4">
        <w:t>222.</w:t>
      </w:r>
      <w:r w:rsidRPr="003B5EA4">
        <w:tab/>
        <w:t>Actuellement, 20 organismes</w:t>
      </w:r>
      <w:r w:rsidRPr="003B5EA4">
        <w:rPr>
          <w:rStyle w:val="Appelnotedebasdep"/>
        </w:rPr>
        <w:footnoteReference w:id="195"/>
      </w:r>
      <w:r w:rsidRPr="003B5EA4">
        <w:t xml:space="preserve"> utilisent des variantes de la notion de « tarif économique comportant le moins de restrictions » et </w:t>
      </w:r>
      <w:r w:rsidR="0091486C">
        <w:t>5</w:t>
      </w:r>
      <w:r w:rsidRPr="003B5EA4">
        <w:rPr>
          <w:rStyle w:val="Appelnotedebasdep"/>
        </w:rPr>
        <w:footnoteReference w:id="196"/>
      </w:r>
      <w:r w:rsidRPr="003B5EA4">
        <w:t xml:space="preserve"> le coût d</w:t>
      </w:r>
      <w:r w:rsidR="00762E0A">
        <w:t>’</w:t>
      </w:r>
      <w:r w:rsidRPr="003B5EA4">
        <w:t>un billet d</w:t>
      </w:r>
      <w:r w:rsidR="00762E0A">
        <w:t>’</w:t>
      </w:r>
      <w:r w:rsidRPr="003B5EA4">
        <w:t>avion en classe économique au plein tarif pratiqué par l</w:t>
      </w:r>
      <w:r w:rsidR="00762E0A">
        <w:t>’</w:t>
      </w:r>
      <w:r w:rsidRPr="003B5EA4">
        <w:t>IATA (tarif flexible) comme base de calcul du montant dû au titre de la somme forfaitaire</w:t>
      </w:r>
      <w:r w:rsidRPr="003B5EA4">
        <w:rPr>
          <w:rStyle w:val="Appelnotedebasdep"/>
        </w:rPr>
        <w:footnoteReference w:id="197"/>
      </w:r>
      <w:r w:rsidRPr="003B5EA4">
        <w:t>, ce qui conduit à des montants différents, même lorsque le même pourcentage est appliqué</w:t>
      </w:r>
      <w:r w:rsidRPr="003B5EA4">
        <w:rPr>
          <w:rStyle w:val="Appelnotedebasdep"/>
        </w:rPr>
        <w:footnoteReference w:id="198"/>
      </w:r>
      <w:r w:rsidRPr="003B5EA4">
        <w:t>. À cela s</w:t>
      </w:r>
      <w:r w:rsidR="00762E0A">
        <w:t>’</w:t>
      </w:r>
      <w:r w:rsidRPr="003B5EA4">
        <w:t>ajoute que même si le calcul se fonde sur le tarif économique comportant le moins de restrictions, auquel est appliqué un pourcentage identique, il n</w:t>
      </w:r>
      <w:r w:rsidR="00762E0A">
        <w:t>’</w:t>
      </w:r>
      <w:r w:rsidRPr="003B5EA4">
        <w:t>y a pas de garantie que les résultats seront toujours les mêmes puisque des centaines de tarifs différents peuvent coexister pour le même itinéraire ou la même destination à des dates données. D</w:t>
      </w:r>
      <w:r w:rsidR="00762E0A">
        <w:t>’</w:t>
      </w:r>
      <w:r w:rsidRPr="003B5EA4">
        <w:t>où l</w:t>
      </w:r>
      <w:r w:rsidR="00762E0A">
        <w:t>’</w:t>
      </w:r>
      <w:r w:rsidRPr="003B5EA4">
        <w:t>examen minutieux, les compétences et la diligence requises de la part de l</w:t>
      </w:r>
      <w:r w:rsidR="00762E0A">
        <w:t>’</w:t>
      </w:r>
      <w:r w:rsidRPr="003B5EA4">
        <w:t>équipe des voyages chargée de la détermination correcte de cette prestation.</w:t>
      </w:r>
    </w:p>
    <w:p w:rsidR="00550794" w:rsidRPr="003B5EA4" w:rsidRDefault="00550794" w:rsidP="00903DB7">
      <w:pPr>
        <w:pStyle w:val="SingleTxtG"/>
      </w:pPr>
      <w:r w:rsidRPr="003B5EA4">
        <w:lastRenderedPageBreak/>
        <w:t>223.</w:t>
      </w:r>
      <w:r w:rsidRPr="003B5EA4">
        <w:tab/>
        <w:t>Ainsi, par exemple, lorsqu</w:t>
      </w:r>
      <w:r w:rsidR="00762E0A">
        <w:t>’</w:t>
      </w:r>
      <w:r w:rsidRPr="003B5EA4">
        <w:t>en 2012, le CCI a demandé aux organismes qui sont installés à Genève de lui fournir le coût que représenterait la somme forfaitaire au titre du congé dans les foyers d</w:t>
      </w:r>
      <w:r w:rsidR="00762E0A">
        <w:t>’</w:t>
      </w:r>
      <w:r w:rsidRPr="003B5EA4">
        <w:t>un fonctionnaire et de sa famille (soit deux adultes et deux enfants) à raison d</w:t>
      </w:r>
      <w:r w:rsidR="00762E0A">
        <w:t>’</w:t>
      </w:r>
      <w:r w:rsidRPr="003B5EA4">
        <w:t>un voyage de Genève à Beijing à des dates données, le montant obtenu par l</w:t>
      </w:r>
      <w:r w:rsidR="00762E0A">
        <w:t>’</w:t>
      </w:r>
      <w:r w:rsidRPr="003B5EA4">
        <w:t>OMM (23 866 dollars des États-Unis) s</w:t>
      </w:r>
      <w:r w:rsidR="00762E0A">
        <w:t>’</w:t>
      </w:r>
      <w:r w:rsidRPr="003B5EA4">
        <w:t>est avéré de 52 % supérieur à celui obtenu par l</w:t>
      </w:r>
      <w:r w:rsidR="00762E0A">
        <w:t>’</w:t>
      </w:r>
      <w:r w:rsidRPr="003B5EA4">
        <w:t>OMS (15 662 dollars des États-Unis), en dépit du fait que les deux organisations avaient utilisé la même méthode (tarif économique comportant le moins de restrictions) et le même pourcentage (75 %)</w:t>
      </w:r>
      <w:r w:rsidRPr="003B5EA4">
        <w:rPr>
          <w:rStyle w:val="Appelnotedebasdep"/>
        </w:rPr>
        <w:footnoteReference w:id="199"/>
      </w:r>
      <w:r w:rsidRPr="003B5EA4">
        <w:t>. L</w:t>
      </w:r>
      <w:r w:rsidR="00762E0A">
        <w:t>’</w:t>
      </w:r>
      <w:r w:rsidRPr="003B5EA4">
        <w:t>Inspectrice accueille favorablement, au nombre des démarches tendant à résoudre ces distorsions, le projet de mise en place d</w:t>
      </w:r>
      <w:r w:rsidR="00762E0A">
        <w:t>’</w:t>
      </w:r>
      <w:r w:rsidRPr="003B5EA4">
        <w:t>un dispositif de prestation de services centralisée au Secrétariat des Nations Unies, dans le cadre duquel il est proposé de créer une équipe mondiale chargée des versements forfaitaires qui s</w:t>
      </w:r>
      <w:r w:rsidR="00762E0A">
        <w:t>’</w:t>
      </w:r>
      <w:r w:rsidRPr="003B5EA4">
        <w:t>assurerait que les calculs de ces sommes sont corrects et cohérents dans l</w:t>
      </w:r>
      <w:r w:rsidR="00762E0A">
        <w:t>’</w:t>
      </w:r>
      <w:r w:rsidRPr="003B5EA4">
        <w:t>ensemble du Secrétariat. L</w:t>
      </w:r>
      <w:r w:rsidR="00762E0A">
        <w:t>’</w:t>
      </w:r>
      <w:r w:rsidRPr="003B5EA4">
        <w:t>inspectrice estime qu</w:t>
      </w:r>
      <w:r w:rsidR="00762E0A">
        <w:t>’</w:t>
      </w:r>
      <w:r w:rsidRPr="003B5EA4">
        <w:t>un examen approfondi devrait être entrepris par le BSCI à l</w:t>
      </w:r>
      <w:r w:rsidR="00762E0A">
        <w:t>’</w:t>
      </w:r>
      <w:r w:rsidRPr="003B5EA4">
        <w:t>échelle du système en vue de l</w:t>
      </w:r>
      <w:r w:rsidR="00762E0A">
        <w:t>’</w:t>
      </w:r>
      <w:r w:rsidRPr="003B5EA4">
        <w:t>harmonisation de ces prestations</w:t>
      </w:r>
      <w:r w:rsidRPr="003B5EA4">
        <w:rPr>
          <w:rStyle w:val="Appelnotedebasdep"/>
        </w:rPr>
        <w:footnoteReference w:id="200"/>
      </w:r>
      <w:r w:rsidRPr="003B5EA4">
        <w:t>.</w:t>
      </w:r>
    </w:p>
    <w:p w:rsidR="00550794" w:rsidRPr="003B5EA4" w:rsidRDefault="00550794" w:rsidP="00550794">
      <w:pPr>
        <w:pStyle w:val="SingleTxtG"/>
      </w:pPr>
      <w:r w:rsidRPr="003B5EA4">
        <w:t>224.</w:t>
      </w:r>
      <w:r w:rsidRPr="003B5EA4">
        <w:tab/>
        <w:t>L</w:t>
      </w:r>
      <w:r w:rsidR="00762E0A">
        <w:t>’</w:t>
      </w:r>
      <w:r w:rsidRPr="003B5EA4">
        <w:t>examen a permis de constater que certaines organisations avaient réduit le pourcentage applicable au calcul de la somme forfaitaire ces dernières années, afin d</w:t>
      </w:r>
      <w:r w:rsidR="00762E0A">
        <w:t>’</w:t>
      </w:r>
      <w:r w:rsidRPr="003B5EA4">
        <w:t>en réduire le coût</w:t>
      </w:r>
      <w:r w:rsidRPr="003B5EA4">
        <w:rPr>
          <w:rStyle w:val="Appelnotedebasdep"/>
        </w:rPr>
        <w:footnoteReference w:id="201"/>
      </w:r>
      <w:r w:rsidRPr="003B5EA4">
        <w:t>, mais que des écarts considérables persistent à l</w:t>
      </w:r>
      <w:r w:rsidR="00762E0A">
        <w:t>’</w:t>
      </w:r>
      <w:r w:rsidRPr="003B5EA4">
        <w:t>échelle du système. Pour les 20 organismes qui recourent au tarif économique comportant le moins de restrictions, les pourcentages varient considérablement : 55 % à l</w:t>
      </w:r>
      <w:r w:rsidR="00762E0A">
        <w:t>’</w:t>
      </w:r>
      <w:r w:rsidRPr="003B5EA4">
        <w:t>OACI, 65 % à l</w:t>
      </w:r>
      <w:r w:rsidR="00762E0A">
        <w:t>’</w:t>
      </w:r>
      <w:r w:rsidRPr="003B5EA4">
        <w:t>AIEA et l</w:t>
      </w:r>
      <w:r w:rsidR="00762E0A">
        <w:t>’</w:t>
      </w:r>
      <w:r w:rsidRPr="003B5EA4">
        <w:t xml:space="preserve">UPU, et 70 % dans </w:t>
      </w:r>
      <w:r w:rsidR="0091486C">
        <w:t>8</w:t>
      </w:r>
      <w:r w:rsidRPr="003B5EA4">
        <w:t xml:space="preserve"> organismes</w:t>
      </w:r>
      <w:r w:rsidRPr="003B5EA4">
        <w:rPr>
          <w:rStyle w:val="Appelnotedebasdep"/>
        </w:rPr>
        <w:footnoteReference w:id="202"/>
      </w:r>
      <w:r w:rsidRPr="003B5EA4">
        <w:t xml:space="preserve">, 75 % dans </w:t>
      </w:r>
      <w:r w:rsidR="0091486C">
        <w:t>7</w:t>
      </w:r>
      <w:r w:rsidRPr="003B5EA4">
        <w:t xml:space="preserve"> organismes</w:t>
      </w:r>
      <w:r w:rsidRPr="003B5EA4">
        <w:rPr>
          <w:rStyle w:val="Appelnotedebasdep"/>
        </w:rPr>
        <w:footnoteReference w:id="203"/>
      </w:r>
      <w:r w:rsidRPr="003B5EA4">
        <w:t xml:space="preserve"> et 80 % à l</w:t>
      </w:r>
      <w:r w:rsidR="00762E0A">
        <w:t>’</w:t>
      </w:r>
      <w:r w:rsidRPr="003B5EA4">
        <w:t>UIT et à l</w:t>
      </w:r>
      <w:r w:rsidR="00762E0A">
        <w:t>’</w:t>
      </w:r>
      <w:r w:rsidRPr="003B5EA4">
        <w:t xml:space="preserve">OMPI. Pour les </w:t>
      </w:r>
      <w:r w:rsidR="003434FB">
        <w:t>5</w:t>
      </w:r>
      <w:r w:rsidRPr="003B5EA4">
        <w:t xml:space="preserve"> organismes recourant au plein tarif économique de l</w:t>
      </w:r>
      <w:r w:rsidR="00762E0A">
        <w:t>’</w:t>
      </w:r>
      <w:r w:rsidRPr="003B5EA4">
        <w:t>IATA, le pourcentage varie également de façon significative : 50 % à l</w:t>
      </w:r>
      <w:r w:rsidR="00762E0A">
        <w:t>’</w:t>
      </w:r>
      <w:r w:rsidRPr="003B5EA4">
        <w:t xml:space="preserve">UNESCO, 70 % au PAM, 75 % </w:t>
      </w:r>
      <w:r w:rsidR="003434FB">
        <w:t xml:space="preserve">à la </w:t>
      </w:r>
      <w:r w:rsidRPr="003B5EA4">
        <w:t>FAO et à l</w:t>
      </w:r>
      <w:r w:rsidR="00762E0A">
        <w:t>’</w:t>
      </w:r>
      <w:r w:rsidRPr="003B5EA4">
        <w:t>OMI, et 80 % à l</w:t>
      </w:r>
      <w:r w:rsidR="00762E0A">
        <w:t>’</w:t>
      </w:r>
      <w:r w:rsidRPr="003B5EA4">
        <w:t>OIT.</w:t>
      </w:r>
    </w:p>
    <w:p w:rsidR="00550794" w:rsidRPr="003B5EA4" w:rsidRDefault="00550794" w:rsidP="00550794">
      <w:pPr>
        <w:pStyle w:val="SingleTxtG"/>
      </w:pPr>
      <w:r w:rsidRPr="003B5EA4">
        <w:t>225.</w:t>
      </w:r>
      <w:r w:rsidRPr="003B5EA4">
        <w:tab/>
        <w:t>Le fait de ne pas utiliser les mêmes pourcentages et méthodes pour calculer la somme forfaitaire, ainsi que les distorsions qui surviennent quand est utilisée la même méthode, ont conduit à des situations où des fonctionnaires en poste dans la même ville ne reçoivent pas les mêmes montants au titre d</w:t>
      </w:r>
      <w:r w:rsidR="00762E0A">
        <w:t>’</w:t>
      </w:r>
      <w:r w:rsidRPr="003B5EA4">
        <w:t>un congé dans les foyers à la même destination et aux mêmes dates. Des représentants d</w:t>
      </w:r>
      <w:r w:rsidR="00762E0A">
        <w:t>’</w:t>
      </w:r>
      <w:r w:rsidRPr="003B5EA4">
        <w:t>organismes des Nations Unies interrogés ont estimé que ces pratiques étaient sources de frustration, de déception et de confusion parmi les fonctionnaires et qu</w:t>
      </w:r>
      <w:r w:rsidR="00762E0A">
        <w:t>’</w:t>
      </w:r>
      <w:r w:rsidRPr="003B5EA4">
        <w:t>elles affaiblissaient en définitive le régime commun des Nations Unies en créant des disparités, selon qu</w:t>
      </w:r>
      <w:r w:rsidR="00762E0A">
        <w:t>’</w:t>
      </w:r>
      <w:r w:rsidRPr="003B5EA4">
        <w:t>on se place dans un organisme ou un autre, entre les prestations effectives dues à des fonctionnaires de même grade.</w:t>
      </w:r>
    </w:p>
    <w:p w:rsidR="00550794" w:rsidRPr="003B5EA4" w:rsidRDefault="00550794" w:rsidP="00550794">
      <w:pPr>
        <w:pStyle w:val="SingleTxtG"/>
      </w:pPr>
      <w:r w:rsidRPr="003B5EA4">
        <w:t>226.</w:t>
      </w:r>
      <w:r w:rsidRPr="003B5EA4">
        <w:tab/>
        <w:t>Étant donné le rôle que joue la CFPI dans la détermination de l</w:t>
      </w:r>
      <w:r w:rsidR="00762E0A">
        <w:t>’</w:t>
      </w:r>
      <w:r w:rsidRPr="003B5EA4">
        <w:t>indemnité journalière de subsistance et d</w:t>
      </w:r>
      <w:r w:rsidR="00762E0A">
        <w:t>’</w:t>
      </w:r>
      <w:r w:rsidRPr="003B5EA4">
        <w:t>autres prestations dans tous les lieux d</w:t>
      </w:r>
      <w:r w:rsidR="00762E0A">
        <w:t>’</w:t>
      </w:r>
      <w:r w:rsidRPr="003B5EA4">
        <w:t>affectation du système, l</w:t>
      </w:r>
      <w:r w:rsidR="00762E0A">
        <w:t>’</w:t>
      </w:r>
      <w:r w:rsidRPr="003B5EA4">
        <w:t>Inspectrice estime que la Commission est la mieux placée pour entreprendre un examen du régime de la somme forfaitaire. Elle a elle-même reconnu la pertinence de son rôle dans l</w:t>
      </w:r>
      <w:r w:rsidR="00762E0A">
        <w:t>’</w:t>
      </w:r>
      <w:r w:rsidRPr="003B5EA4">
        <w:t>harmonisation des droits à congé à l</w:t>
      </w:r>
      <w:r w:rsidR="00762E0A">
        <w:t>’</w:t>
      </w:r>
      <w:r w:rsidRPr="003B5EA4">
        <w:t>échelle du système, lorsqu</w:t>
      </w:r>
      <w:r w:rsidR="00762E0A">
        <w:t>’</w:t>
      </w:r>
      <w:r w:rsidRPr="003B5EA4">
        <w:t>en 2007, elle a décidé « que, dans son rôle de coordination et de régulation des pratiques concernant les droits à congé, elle devait essentiellement s</w:t>
      </w:r>
      <w:r w:rsidR="00762E0A">
        <w:t>’</w:t>
      </w:r>
      <w:r w:rsidRPr="003B5EA4">
        <w:t>attacher à garantir une politique cohérente des organisations appliquant le régime commun pour ce qui est des droits à congé indispensables au maintien de mesures d</w:t>
      </w:r>
      <w:r w:rsidR="00762E0A">
        <w:t>’</w:t>
      </w:r>
      <w:r w:rsidRPr="003B5EA4">
        <w:t>incitation harmonisées pour le recrutement, à la promotion de la mobilité du personnel et à l</w:t>
      </w:r>
      <w:r w:rsidR="00762E0A">
        <w:t>’</w:t>
      </w:r>
      <w:r w:rsidRPr="003B5EA4">
        <w:t>application de conditions d</w:t>
      </w:r>
      <w:r w:rsidR="00762E0A">
        <w:t>’</w:t>
      </w:r>
      <w:r w:rsidRPr="003B5EA4">
        <w:t>emploi homogènes entre les organisations dont le personnel était en poste dans le même lieu d</w:t>
      </w:r>
      <w:r w:rsidR="00762E0A">
        <w:t>’</w:t>
      </w:r>
      <w:r w:rsidRPr="003B5EA4">
        <w:t>affectation »</w:t>
      </w:r>
      <w:r w:rsidRPr="003B5EA4">
        <w:rPr>
          <w:rStyle w:val="Appelnotedebasdep"/>
        </w:rPr>
        <w:footnoteReference w:id="204"/>
      </w:r>
      <w:r w:rsidRPr="003B5EA4">
        <w:t>.</w:t>
      </w:r>
    </w:p>
    <w:p w:rsidR="00550794" w:rsidRPr="003B5EA4" w:rsidRDefault="00550794" w:rsidP="00550794">
      <w:pPr>
        <w:pStyle w:val="SingleTxtG"/>
      </w:pPr>
      <w:r w:rsidRPr="003B5EA4">
        <w:t>227.</w:t>
      </w:r>
      <w:r w:rsidRPr="003B5EA4">
        <w:tab/>
      </w:r>
      <w:r w:rsidRPr="003B5EA4">
        <w:rPr>
          <w:bCs/>
        </w:rPr>
        <w:t>La mise en œuvre de la recommandation suivante devrait assurer une plus grande cohérence et une meilleure harmonisation dans l</w:t>
      </w:r>
      <w:r w:rsidR="00762E0A">
        <w:rPr>
          <w:bCs/>
        </w:rPr>
        <w:t>’</w:t>
      </w:r>
      <w:r w:rsidRPr="003B5EA4">
        <w:rPr>
          <w:bCs/>
        </w:rPr>
        <w:t>application de la somme forfaitaire au titre des voyages statutaires</w:t>
      </w:r>
      <w:r w:rsidRPr="003B5EA4">
        <w: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D4BE2" w:rsidRPr="003B5EA4" w:rsidTr="004E7ECB">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FD4BE2" w:rsidRPr="003B5EA4" w:rsidRDefault="00FD4BE2" w:rsidP="00654656">
            <w:pPr>
              <w:keepNext/>
            </w:pPr>
          </w:p>
        </w:tc>
      </w:tr>
      <w:tr w:rsidR="00FD4BE2" w:rsidRPr="003B5EA4" w:rsidTr="004E7ECB">
        <w:trPr>
          <w:jc w:val="center"/>
        </w:trPr>
        <w:tc>
          <w:tcPr>
            <w:tcW w:w="7653" w:type="dxa"/>
            <w:tcBorders>
              <w:left w:val="single" w:sz="4" w:space="0" w:color="auto"/>
              <w:bottom w:val="nil"/>
              <w:right w:val="single" w:sz="4" w:space="0" w:color="auto"/>
            </w:tcBorders>
            <w:shd w:val="clear" w:color="auto" w:fill="auto"/>
          </w:tcPr>
          <w:p w:rsidR="00FD4BE2" w:rsidRPr="003B5EA4" w:rsidRDefault="00FD4BE2" w:rsidP="00654656">
            <w:pPr>
              <w:keepNext/>
              <w:spacing w:after="120"/>
              <w:jc w:val="both"/>
            </w:pPr>
            <w:r w:rsidRPr="003B5EA4">
              <w:rPr>
                <w:b/>
              </w:rPr>
              <w:t>Recommandation 8</w:t>
            </w:r>
          </w:p>
        </w:tc>
      </w:tr>
      <w:tr w:rsidR="00FD4BE2" w:rsidRPr="003B5EA4" w:rsidTr="004E7ECB">
        <w:trPr>
          <w:jc w:val="center"/>
        </w:trPr>
        <w:tc>
          <w:tcPr>
            <w:tcW w:w="7653" w:type="dxa"/>
            <w:tcBorders>
              <w:left w:val="single" w:sz="4" w:space="0" w:color="auto"/>
              <w:bottom w:val="nil"/>
              <w:right w:val="single" w:sz="4" w:space="0" w:color="auto"/>
            </w:tcBorders>
            <w:shd w:val="clear" w:color="auto" w:fill="auto"/>
          </w:tcPr>
          <w:p w:rsidR="00FD4BE2" w:rsidRPr="003B5EA4" w:rsidRDefault="00FD4BE2" w:rsidP="00654656">
            <w:pPr>
              <w:keepNext/>
              <w:spacing w:after="120"/>
              <w:ind w:firstLine="567"/>
              <w:jc w:val="both"/>
            </w:pPr>
            <w:r w:rsidRPr="003B5EA4">
              <w:rPr>
                <w:b/>
                <w:bCs/>
              </w:rPr>
              <w:t>L</w:t>
            </w:r>
            <w:r w:rsidR="00762E0A">
              <w:rPr>
                <w:b/>
                <w:bCs/>
              </w:rPr>
              <w:t>’</w:t>
            </w:r>
            <w:r w:rsidRPr="003B5EA4">
              <w:rPr>
                <w:b/>
                <w:bCs/>
              </w:rPr>
              <w:t xml:space="preserve">Assemblée générale devrait prier la </w:t>
            </w:r>
            <w:r w:rsidRPr="003B5EA4">
              <w:rPr>
                <w:b/>
              </w:rPr>
              <w:t>Commission de la fonction publique internationale</w:t>
            </w:r>
            <w:r w:rsidRPr="003B5EA4">
              <w:rPr>
                <w:b/>
                <w:bCs/>
              </w:rPr>
              <w:t xml:space="preserve"> d</w:t>
            </w:r>
            <w:r w:rsidR="00762E0A">
              <w:rPr>
                <w:b/>
                <w:bCs/>
              </w:rPr>
              <w:t>’</w:t>
            </w:r>
            <w:r w:rsidRPr="003B5EA4">
              <w:rPr>
                <w:b/>
                <w:bCs/>
              </w:rPr>
              <w:t>entreprendre à l</w:t>
            </w:r>
            <w:r w:rsidR="00762E0A">
              <w:rPr>
                <w:b/>
                <w:bCs/>
              </w:rPr>
              <w:t>’</w:t>
            </w:r>
            <w:r w:rsidRPr="003B5EA4">
              <w:rPr>
                <w:b/>
                <w:bCs/>
              </w:rPr>
              <w:t>échelle du système un examen de la somme forfaitaire accordée au titre des voyages statutaires dans l</w:t>
            </w:r>
            <w:r w:rsidR="00762E0A">
              <w:rPr>
                <w:b/>
                <w:bCs/>
              </w:rPr>
              <w:t>’</w:t>
            </w:r>
            <w:r w:rsidRPr="003B5EA4">
              <w:rPr>
                <w:b/>
                <w:bCs/>
              </w:rPr>
              <w:t>optique d</w:t>
            </w:r>
            <w:r w:rsidR="00762E0A">
              <w:rPr>
                <w:b/>
                <w:bCs/>
              </w:rPr>
              <w:t>’</w:t>
            </w:r>
            <w:r w:rsidRPr="003B5EA4">
              <w:rPr>
                <w:b/>
                <w:bCs/>
              </w:rPr>
              <w:t>en arrêter d</w:t>
            </w:r>
            <w:r w:rsidR="00762E0A">
              <w:rPr>
                <w:b/>
                <w:bCs/>
              </w:rPr>
              <w:t>’</w:t>
            </w:r>
            <w:r w:rsidRPr="003B5EA4">
              <w:rPr>
                <w:b/>
                <w:bCs/>
              </w:rPr>
              <w:t>ici à</w:t>
            </w:r>
            <w:r w:rsidR="00B63DD8">
              <w:rPr>
                <w:b/>
                <w:bCs/>
              </w:rPr>
              <w:t> </w:t>
            </w:r>
            <w:r w:rsidRPr="003B5EA4">
              <w:rPr>
                <w:b/>
                <w:bCs/>
              </w:rPr>
              <w:t>2019 une méthode et un pourcentage de calcul communs favorisant une plus grande harmonisation, minimisant le risque de distorsion et assurant un traitement équitable et juste des fonctionnaires relevant du régime commun.</w:t>
            </w:r>
          </w:p>
        </w:tc>
      </w:tr>
      <w:tr w:rsidR="00FD4BE2" w:rsidRPr="003B5EA4" w:rsidTr="004E7ECB">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FD4BE2" w:rsidRPr="003B5EA4" w:rsidRDefault="00FD4BE2" w:rsidP="00654656">
            <w:pPr>
              <w:keepNext/>
            </w:pPr>
          </w:p>
        </w:tc>
      </w:tr>
    </w:tbl>
    <w:p w:rsidR="00550794" w:rsidRPr="003B5EA4" w:rsidRDefault="004E7ECB" w:rsidP="00762E28">
      <w:pPr>
        <w:pStyle w:val="H23G"/>
        <w:spacing w:before="200" w:after="100"/>
      </w:pPr>
      <w:r w:rsidRPr="003B5EA4">
        <w:tab/>
      </w:r>
      <w:r w:rsidRPr="003B5EA4">
        <w:tab/>
      </w:r>
      <w:r w:rsidRPr="00220E2C">
        <w:t>Harmonisation</w:t>
      </w:r>
      <w:r w:rsidRPr="003B5EA4">
        <w:t xml:space="preserve"> des processus de paiement des indemnités journalières de subsistance</w:t>
      </w:r>
    </w:p>
    <w:p w:rsidR="004E7ECB" w:rsidRPr="003B5EA4" w:rsidRDefault="004E7ECB" w:rsidP="004E7ECB">
      <w:pPr>
        <w:pStyle w:val="SingleTxtG"/>
      </w:pPr>
      <w:r w:rsidRPr="003B5EA4">
        <w:t>228.</w:t>
      </w:r>
      <w:r w:rsidRPr="003B5EA4">
        <w:tab/>
        <w:t>Bien que les taux d</w:t>
      </w:r>
      <w:r w:rsidR="00762E0A">
        <w:t>’</w:t>
      </w:r>
      <w:r w:rsidRPr="003B5EA4">
        <w:t xml:space="preserve">indemnité journalière de subsistance soient calculés et </w:t>
      </w:r>
      <w:r w:rsidRPr="00762E28">
        <w:rPr>
          <w:spacing w:val="-2"/>
        </w:rPr>
        <w:t>promulgués par la CFPI pour tous les lieux d</w:t>
      </w:r>
      <w:r w:rsidR="00762E0A" w:rsidRPr="00762E28">
        <w:rPr>
          <w:spacing w:val="-2"/>
        </w:rPr>
        <w:t>’</w:t>
      </w:r>
      <w:r w:rsidRPr="00762E28">
        <w:rPr>
          <w:spacing w:val="-2"/>
        </w:rPr>
        <w:t>affectation, et qu</w:t>
      </w:r>
      <w:r w:rsidR="00762E0A" w:rsidRPr="00762E28">
        <w:rPr>
          <w:spacing w:val="-2"/>
        </w:rPr>
        <w:t>’</w:t>
      </w:r>
      <w:r w:rsidRPr="00762E28">
        <w:rPr>
          <w:spacing w:val="-2"/>
        </w:rPr>
        <w:t>ils soient appliqués par tous les organismes relevant du régime commun, l</w:t>
      </w:r>
      <w:r w:rsidR="00762E0A" w:rsidRPr="00762E28">
        <w:rPr>
          <w:spacing w:val="-2"/>
        </w:rPr>
        <w:t>’</w:t>
      </w:r>
      <w:r w:rsidRPr="00762E28">
        <w:rPr>
          <w:spacing w:val="-2"/>
        </w:rPr>
        <w:t>examen du CCI et les renseignements pris par la Commission consultative pour les question administratives et budgétaires ont établi que les diverses organisations avaient des modalités de mise en œuvre différentes adaptées</w:t>
      </w:r>
      <w:r w:rsidRPr="003B5EA4">
        <w:t xml:space="preserve"> aux cas qui se présentaient (voir annexe XI)</w:t>
      </w:r>
      <w:r w:rsidRPr="003B5EA4">
        <w:rPr>
          <w:rStyle w:val="Appelnotedebasdep"/>
        </w:rPr>
        <w:footnoteReference w:id="205"/>
      </w:r>
      <w:r w:rsidRPr="003B5EA4">
        <w:t>. Ainsi, bien que la plupart des organismes ne versent pas l</w:t>
      </w:r>
      <w:r w:rsidR="00762E0A">
        <w:t>’</w:t>
      </w:r>
      <w:r w:rsidRPr="003B5EA4">
        <w:t>indemnité journalière de subsistance correspondant à la nuit passée en avion dans le cadre d</w:t>
      </w:r>
      <w:r w:rsidR="00762E0A">
        <w:t>’</w:t>
      </w:r>
      <w:r w:rsidRPr="003B5EA4">
        <w:t>un voyage officiel, au motif que le voyageur n</w:t>
      </w:r>
      <w:r w:rsidR="00762E0A">
        <w:t>’</w:t>
      </w:r>
      <w:r w:rsidRPr="003B5EA4">
        <w:t>engage aucune dépense pendant la durée du vol, cette politique ne règle pas la situation du voyageur qui arrive à destination au milieu de la nuit et doit se loger, ou de celui qui se trouve entre deux lieux de mission.</w:t>
      </w:r>
    </w:p>
    <w:p w:rsidR="004E7ECB" w:rsidRPr="003B5EA4" w:rsidRDefault="004E7ECB" w:rsidP="004E7ECB">
      <w:pPr>
        <w:pStyle w:val="SingleTxtG"/>
        <w:rPr>
          <w:b/>
        </w:rPr>
      </w:pPr>
      <w:r w:rsidRPr="003B5EA4">
        <w:t>229.</w:t>
      </w:r>
      <w:r w:rsidRPr="003B5EA4">
        <w:tab/>
      </w:r>
      <w:r w:rsidRPr="003B5EA4">
        <w:rPr>
          <w:b/>
        </w:rPr>
        <w:t>Afin d</w:t>
      </w:r>
      <w:r w:rsidR="00762E0A">
        <w:rPr>
          <w:b/>
        </w:rPr>
        <w:t>’</w:t>
      </w:r>
      <w:r w:rsidRPr="003B5EA4">
        <w:rPr>
          <w:b/>
        </w:rPr>
        <w:t>assurer la sûreté et la sécurité des voyageurs, l</w:t>
      </w:r>
      <w:r w:rsidR="00762E0A">
        <w:rPr>
          <w:b/>
        </w:rPr>
        <w:t>’</w:t>
      </w:r>
      <w:r w:rsidRPr="003B5EA4">
        <w:rPr>
          <w:b/>
        </w:rPr>
        <w:t>Inspectrice encourage tous les organismes des Nations Unies à mettre en œuvre la pratique adoptée par le HCR selon laquelle le voyageur qui arrive à destination avant 6 heures a droit au versement de l</w:t>
      </w:r>
      <w:r w:rsidR="00762E0A">
        <w:rPr>
          <w:b/>
        </w:rPr>
        <w:t>’</w:t>
      </w:r>
      <w:r w:rsidRPr="003B5EA4">
        <w:rPr>
          <w:b/>
        </w:rPr>
        <w:t>indemnité journalière de subsistance au taux de 50 % sur présentation du reçu établi par l</w:t>
      </w:r>
      <w:r w:rsidR="00762E0A">
        <w:rPr>
          <w:b/>
        </w:rPr>
        <w:t>’</w:t>
      </w:r>
      <w:r w:rsidRPr="003B5EA4">
        <w:rPr>
          <w:b/>
        </w:rPr>
        <w:t>hôtel. À l</w:t>
      </w:r>
      <w:r w:rsidR="00762E0A">
        <w:rPr>
          <w:b/>
        </w:rPr>
        <w:t>’</w:t>
      </w:r>
      <w:r w:rsidRPr="003B5EA4">
        <w:rPr>
          <w:b/>
        </w:rPr>
        <w:t>OMS, l</w:t>
      </w:r>
      <w:r w:rsidR="00762E0A">
        <w:rPr>
          <w:b/>
        </w:rPr>
        <w:t>’</w:t>
      </w:r>
      <w:r w:rsidRPr="003B5EA4">
        <w:rPr>
          <w:b/>
        </w:rPr>
        <w:t>indemnité journalière de subsistance est versée au taux de 50 % dans le cas des vols en classe économique dont le départ a lieu avant minuit et l</w:t>
      </w:r>
      <w:r w:rsidR="00762E0A">
        <w:rPr>
          <w:b/>
        </w:rPr>
        <w:t>’</w:t>
      </w:r>
      <w:r w:rsidRPr="003B5EA4">
        <w:rPr>
          <w:b/>
        </w:rPr>
        <w:t>arrivée après minuit, tandis que pour les vols en classe affaires arrivant avant 6 heures, le prix effectif du logement à l</w:t>
      </w:r>
      <w:r w:rsidR="00762E0A">
        <w:rPr>
          <w:b/>
        </w:rPr>
        <w:t>’</w:t>
      </w:r>
      <w:r w:rsidRPr="003B5EA4">
        <w:rPr>
          <w:b/>
        </w:rPr>
        <w:t>hôtel est remboursé.</w:t>
      </w:r>
    </w:p>
    <w:p w:rsidR="004E7ECB" w:rsidRPr="003B5EA4" w:rsidRDefault="004E7ECB" w:rsidP="004E7ECB">
      <w:pPr>
        <w:pStyle w:val="SingleTxtG"/>
      </w:pPr>
      <w:r w:rsidRPr="003B5EA4">
        <w:t>230.</w:t>
      </w:r>
      <w:r w:rsidRPr="003B5EA4">
        <w:tab/>
        <w:t>L</w:t>
      </w:r>
      <w:r w:rsidR="00762E0A">
        <w:t>’</w:t>
      </w:r>
      <w:r w:rsidRPr="003B5EA4">
        <w:t>examen du CCI a également relevé des cas où les organismes ne versaient pas 100 % de l</w:t>
      </w:r>
      <w:r w:rsidR="00762E0A">
        <w:t>’</w:t>
      </w:r>
      <w:r w:rsidRPr="003B5EA4">
        <w:t>indemnité journalière de subsistance et des faux frais au départ et à l</w:t>
      </w:r>
      <w:r w:rsidR="00762E0A">
        <w:t>’</w:t>
      </w:r>
      <w:r w:rsidRPr="003B5EA4">
        <w:t>arrivé aux fonctionnaires et non-fonctionnaires en voyage officiel. Le CCI*, par exemple, ne verse que 75 % de l</w:t>
      </w:r>
      <w:r w:rsidR="00762E0A">
        <w:t>’</w:t>
      </w:r>
      <w:r w:rsidRPr="003B5EA4">
        <w:t>indemnité journalière de subsistance préalablement au voyage des non</w:t>
      </w:r>
      <w:r w:rsidR="006D153B">
        <w:noBreakHyphen/>
      </w:r>
      <w:r w:rsidRPr="003B5EA4">
        <w:t>fonctionnaires, tandis que l</w:t>
      </w:r>
      <w:r w:rsidR="00762E0A">
        <w:t>’</w:t>
      </w:r>
      <w:r w:rsidRPr="003B5EA4">
        <w:t>OMI n</w:t>
      </w:r>
      <w:r w:rsidR="00762E0A">
        <w:t>’</w:t>
      </w:r>
      <w:r w:rsidRPr="003B5EA4">
        <w:t>en verse que 90 % aux fonctionnaires comme aux non</w:t>
      </w:r>
      <w:r w:rsidR="006D153B">
        <w:noBreakHyphen/>
      </w:r>
      <w:r w:rsidRPr="003B5EA4">
        <w:t>fonctionnaires.</w:t>
      </w:r>
      <w:r w:rsidRPr="003B5EA4">
        <w:rPr>
          <w:b/>
        </w:rPr>
        <w:t xml:space="preserve"> </w:t>
      </w:r>
      <w:r w:rsidRPr="003B5EA4">
        <w:t xml:space="preserve">Il a été rapporté au CCI que cette façon de procéder accroissait la charge de travail représentée par le traitement des demandes de remboursement des frais de voyage, augmentait les frais de transactions bancaires </w:t>
      </w:r>
      <w:r w:rsidR="006D153B">
        <w:t>− </w:t>
      </w:r>
      <w:r w:rsidRPr="003B5EA4">
        <w:t>souvent disproportionnés </w:t>
      </w:r>
      <w:r w:rsidR="006D153B">
        <w:t>−</w:t>
      </w:r>
      <w:r w:rsidRPr="003B5EA4">
        <w:t xml:space="preserve"> encourus par les organismes en les faisant porter sur deux paiements au lieu d</w:t>
      </w:r>
      <w:r w:rsidR="00762E0A">
        <w:t>’</w:t>
      </w:r>
      <w:r w:rsidRPr="003B5EA4">
        <w:t>un, et faisait peser une charge injuste sur le voyageur qui risquait de se trouver contraint de payer de sa poche des dépenses occasionnées par le travail qu</w:t>
      </w:r>
      <w:r w:rsidR="00762E0A">
        <w:t>’</w:t>
      </w:r>
      <w:r w:rsidRPr="003B5EA4">
        <w:t>il effectue pour l</w:t>
      </w:r>
      <w:r w:rsidR="00762E0A">
        <w:t>’</w:t>
      </w:r>
      <w:r w:rsidRPr="003B5EA4">
        <w:t>organisme et d</w:t>
      </w:r>
      <w:r w:rsidR="00762E0A">
        <w:t>’</w:t>
      </w:r>
      <w:r w:rsidRPr="003B5EA4">
        <w:t>avoir aussi à s</w:t>
      </w:r>
      <w:r w:rsidR="00762E0A">
        <w:t>’</w:t>
      </w:r>
      <w:r w:rsidRPr="003B5EA4">
        <w:t>acquitter de frais de transactions bancaires.</w:t>
      </w:r>
    </w:p>
    <w:p w:rsidR="004E7ECB" w:rsidRPr="003B5EA4" w:rsidRDefault="004E7ECB" w:rsidP="004E7ECB">
      <w:pPr>
        <w:pStyle w:val="SingleTxtG"/>
        <w:rPr>
          <w:b/>
        </w:rPr>
      </w:pPr>
      <w:r w:rsidRPr="003B5EA4">
        <w:t>231.</w:t>
      </w:r>
      <w:r w:rsidRPr="003B5EA4">
        <w:tab/>
      </w:r>
      <w:r w:rsidRPr="003B5EA4">
        <w:rPr>
          <w:b/>
        </w:rPr>
        <w:t>À cet égard, l</w:t>
      </w:r>
      <w:r w:rsidR="00762E0A">
        <w:rPr>
          <w:b/>
        </w:rPr>
        <w:t>’</w:t>
      </w:r>
      <w:r w:rsidRPr="003B5EA4">
        <w:rPr>
          <w:b/>
        </w:rPr>
        <w:t>Inspectrice rappelle la recommandation 9 figurant dans le rapport JIU/REP/2004/10, par laquelle le CCI recommande aux chefs de secrétariat des organismes qui ne le faisaient pas encore de payer d</w:t>
      </w:r>
      <w:r w:rsidR="00762E0A">
        <w:rPr>
          <w:b/>
        </w:rPr>
        <w:t>’</w:t>
      </w:r>
      <w:r w:rsidRPr="003B5EA4">
        <w:rPr>
          <w:b/>
        </w:rPr>
        <w:t>avance le montant intégral de l</w:t>
      </w:r>
      <w:r w:rsidR="00762E0A">
        <w:rPr>
          <w:b/>
        </w:rPr>
        <w:t>’</w:t>
      </w:r>
      <w:r w:rsidRPr="003B5EA4">
        <w:rPr>
          <w:b/>
        </w:rPr>
        <w:t>indemnité journalière de subsistance et des faux frais au départ et à l</w:t>
      </w:r>
      <w:r w:rsidR="00762E0A">
        <w:rPr>
          <w:b/>
        </w:rPr>
        <w:t>’</w:t>
      </w:r>
      <w:r w:rsidRPr="003B5EA4">
        <w:rPr>
          <w:b/>
        </w:rPr>
        <w:t>arrivée afin de réduire la charge administrative.</w:t>
      </w:r>
    </w:p>
    <w:p w:rsidR="004E7ECB" w:rsidRPr="003B5EA4" w:rsidRDefault="004E7ECB" w:rsidP="00762E28">
      <w:pPr>
        <w:pStyle w:val="H23G"/>
        <w:spacing w:before="200" w:after="100"/>
      </w:pPr>
      <w:r w:rsidRPr="003B5EA4">
        <w:tab/>
      </w:r>
      <w:r w:rsidRPr="003B5EA4">
        <w:tab/>
        <w:t>Suppression des escales et harmonisation des périodes de repos</w:t>
      </w:r>
    </w:p>
    <w:p w:rsidR="004E7ECB" w:rsidRPr="003B5EA4" w:rsidRDefault="004E7ECB" w:rsidP="004E7ECB">
      <w:pPr>
        <w:pStyle w:val="SingleTxtG"/>
      </w:pPr>
      <w:r w:rsidRPr="003B5EA4">
        <w:t>232.</w:t>
      </w:r>
      <w:r w:rsidRPr="003B5EA4">
        <w:tab/>
      </w:r>
      <w:r w:rsidRPr="003B5EA4">
        <w:rPr>
          <w:bCs/>
        </w:rPr>
        <w:t>Il y a plus de vingt ans, le CCI avait appelé à la suppression des escales et à leur remplacement par un temps de repos plus long à l</w:t>
      </w:r>
      <w:r w:rsidR="00762E0A">
        <w:rPr>
          <w:bCs/>
        </w:rPr>
        <w:t>’</w:t>
      </w:r>
      <w:r w:rsidRPr="003B5EA4">
        <w:rPr>
          <w:bCs/>
        </w:rPr>
        <w:t>arrivée, étant donné que les escales avaient perdu leur justification au fil des ans et constituaient « une façon obsolète et coûteuse de voyager »</w:t>
      </w:r>
      <w:r w:rsidRPr="003B5EA4">
        <w:rPr>
          <w:rStyle w:val="Appelnotedebasdep"/>
        </w:rPr>
        <w:footnoteReference w:id="206"/>
      </w:r>
      <w:r w:rsidRPr="003B5EA4">
        <w:rPr>
          <w:bCs/>
        </w:rPr>
        <w:t>. Compte tenu des améliorations importantes qui ont été apportées au voyage en classe affaires ces dernières décennies, un vol long-courrier dans cette classe est susceptible d</w:t>
      </w:r>
      <w:r w:rsidR="00762E0A">
        <w:rPr>
          <w:bCs/>
        </w:rPr>
        <w:t>’</w:t>
      </w:r>
      <w:r w:rsidRPr="003B5EA4">
        <w:rPr>
          <w:bCs/>
        </w:rPr>
        <w:t>amener le voyageur à sa destination dans un meilleur état de repos que s</w:t>
      </w:r>
      <w:r w:rsidR="00762E0A">
        <w:rPr>
          <w:bCs/>
        </w:rPr>
        <w:t>’</w:t>
      </w:r>
      <w:r w:rsidRPr="003B5EA4">
        <w:rPr>
          <w:bCs/>
        </w:rPr>
        <w:t xml:space="preserve">il </w:t>
      </w:r>
      <w:r w:rsidRPr="003B5EA4">
        <w:rPr>
          <w:bCs/>
        </w:rPr>
        <w:lastRenderedPageBreak/>
        <w:t>avait observé une escale</w:t>
      </w:r>
      <w:r w:rsidRPr="003B5EA4">
        <w:t xml:space="preserve"> qui l</w:t>
      </w:r>
      <w:r w:rsidR="00762E0A">
        <w:t>’</w:t>
      </w:r>
      <w:r w:rsidRPr="003B5EA4">
        <w:t>aurait exposé à des risques de sécurité supplémentaires et soumis aux fastidieuses formalités d</w:t>
      </w:r>
      <w:r w:rsidR="00762E0A">
        <w:t>’</w:t>
      </w:r>
      <w:r w:rsidRPr="003B5EA4">
        <w:t xml:space="preserve">immigration et de douane qui sont de rigueur dans les </w:t>
      </w:r>
      <w:r w:rsidRPr="00654656">
        <w:rPr>
          <w:spacing w:val="-2"/>
        </w:rPr>
        <w:t>aéroports du monde aujourd</w:t>
      </w:r>
      <w:r w:rsidR="00762E0A" w:rsidRPr="00654656">
        <w:rPr>
          <w:spacing w:val="-2"/>
        </w:rPr>
        <w:t>’</w:t>
      </w:r>
      <w:r w:rsidRPr="00654656">
        <w:rPr>
          <w:spacing w:val="-2"/>
        </w:rPr>
        <w:t>hui, en raison des préoccupations accrues en matière de sécurité.</w:t>
      </w:r>
    </w:p>
    <w:p w:rsidR="004E7ECB" w:rsidRPr="003B5EA4" w:rsidRDefault="004E7ECB" w:rsidP="004E7ECB">
      <w:pPr>
        <w:pStyle w:val="SingleTxtG"/>
      </w:pPr>
      <w:r w:rsidRPr="003B5EA4">
        <w:t>233.</w:t>
      </w:r>
      <w:r w:rsidRPr="003B5EA4">
        <w:tab/>
        <w:t>L</w:t>
      </w:r>
      <w:r w:rsidR="00762E0A">
        <w:t>’</w:t>
      </w:r>
      <w:r w:rsidRPr="003B5EA4">
        <w:t>Inspectrice juge regrettable que vingt-deux ans après la publication de la recommandation en question, 12 organismes des Nations Unies maintiennent des dispositions prévoyant l</w:t>
      </w:r>
      <w:r w:rsidR="00762E0A">
        <w:t>’</w:t>
      </w:r>
      <w:r w:rsidRPr="003B5EA4">
        <w:t>organisation d</w:t>
      </w:r>
      <w:r w:rsidR="00762E0A">
        <w:t>’</w:t>
      </w:r>
      <w:r w:rsidRPr="003B5EA4">
        <w:t>une ou deux escales (voir annexe XII)</w:t>
      </w:r>
      <w:r w:rsidRPr="003B5EA4">
        <w:rPr>
          <w:rStyle w:val="Appelnotedebasdep"/>
        </w:rPr>
        <w:footnoteReference w:id="207"/>
      </w:r>
      <w:r w:rsidRPr="003B5EA4">
        <w:t>.</w:t>
      </w:r>
      <w:r w:rsidRPr="003B5EA4">
        <w:rPr>
          <w:bCs/>
        </w:rPr>
        <w:t xml:space="preserve"> </w:t>
      </w:r>
      <w:r w:rsidRPr="003B5EA4">
        <w:rPr>
          <w:b/>
        </w:rPr>
        <w:t>L</w:t>
      </w:r>
      <w:r w:rsidR="00762E0A">
        <w:rPr>
          <w:b/>
        </w:rPr>
        <w:t>’</w:t>
      </w:r>
      <w:r w:rsidRPr="003B5EA4">
        <w:rPr>
          <w:b/>
        </w:rPr>
        <w:t>Inspectrice est d</w:t>
      </w:r>
      <w:r w:rsidR="00762E0A">
        <w:rPr>
          <w:b/>
        </w:rPr>
        <w:t>’</w:t>
      </w:r>
      <w:r w:rsidRPr="003B5EA4">
        <w:rPr>
          <w:b/>
        </w:rPr>
        <w:t>avis que les escales devraient être supprimées en tant que prestation normale par tous les organismes des Nations Unies et ne devraient être accordées qu</w:t>
      </w:r>
      <w:r w:rsidR="00762E0A">
        <w:rPr>
          <w:b/>
        </w:rPr>
        <w:t>’</w:t>
      </w:r>
      <w:r w:rsidRPr="003B5EA4">
        <w:rPr>
          <w:b/>
        </w:rPr>
        <w:t>à titre exceptionnel, pour des raisons médicales, sous réserve de l</w:t>
      </w:r>
      <w:r w:rsidR="00762E0A">
        <w:rPr>
          <w:b/>
        </w:rPr>
        <w:t>’</w:t>
      </w:r>
      <w:r w:rsidRPr="003B5EA4">
        <w:rPr>
          <w:b/>
        </w:rPr>
        <w:t>avis favorable du conseiller médical de l</w:t>
      </w:r>
      <w:r w:rsidR="00762E0A">
        <w:rPr>
          <w:b/>
        </w:rPr>
        <w:t>’</w:t>
      </w:r>
      <w:r w:rsidRPr="003B5EA4">
        <w:rPr>
          <w:b/>
        </w:rPr>
        <w:t>organisme. Les organismes qui maintiennent la pratique des escales devraient faire rapport annuellement à leurs organes délibérants des coûts supplémentaires qu</w:t>
      </w:r>
      <w:r w:rsidR="00762E0A">
        <w:rPr>
          <w:b/>
        </w:rPr>
        <w:t>’</w:t>
      </w:r>
      <w:r w:rsidRPr="003B5EA4">
        <w:rPr>
          <w:b/>
        </w:rPr>
        <w:t>elle occasionne</w:t>
      </w:r>
      <w:r w:rsidRPr="003B5EA4">
        <w:t>.</w:t>
      </w:r>
    </w:p>
    <w:p w:rsidR="004E7ECB" w:rsidRPr="003B5EA4" w:rsidRDefault="004E7ECB" w:rsidP="004E7ECB">
      <w:pPr>
        <w:pStyle w:val="SingleTxtG"/>
        <w:rPr>
          <w:bCs/>
        </w:rPr>
      </w:pPr>
      <w:r w:rsidRPr="003B5EA4">
        <w:t>234.</w:t>
      </w:r>
      <w:r w:rsidRPr="003B5EA4">
        <w:tab/>
      </w:r>
      <w:r w:rsidRPr="003B5EA4">
        <w:rPr>
          <w:bCs/>
        </w:rPr>
        <w:t>Pour ce qui est des périodes de repos (voir annexe XII), il ressort de l</w:t>
      </w:r>
      <w:r w:rsidR="00762E0A">
        <w:rPr>
          <w:bCs/>
        </w:rPr>
        <w:t>’</w:t>
      </w:r>
      <w:r w:rsidRPr="003B5EA4">
        <w:rPr>
          <w:bCs/>
        </w:rPr>
        <w:t xml:space="preserve">examen du CCI que </w:t>
      </w:r>
      <w:r w:rsidR="006D153B">
        <w:rPr>
          <w:bCs/>
        </w:rPr>
        <w:t>7</w:t>
      </w:r>
      <w:r w:rsidRPr="003B5EA4">
        <w:rPr>
          <w:bCs/>
        </w:rPr>
        <w:t xml:space="preserve"> organismes</w:t>
      </w:r>
      <w:r w:rsidRPr="003B5EA4">
        <w:rPr>
          <w:rStyle w:val="Appelnotedebasdep"/>
        </w:rPr>
        <w:footnoteReference w:id="208"/>
      </w:r>
      <w:r w:rsidRPr="003B5EA4">
        <w:rPr>
          <w:bCs/>
        </w:rPr>
        <w:t xml:space="preserve"> accordent une période de repos de </w:t>
      </w:r>
      <w:r w:rsidR="007563A8">
        <w:rPr>
          <w:bCs/>
        </w:rPr>
        <w:t>12</w:t>
      </w:r>
      <w:r w:rsidRPr="003B5EA4">
        <w:rPr>
          <w:bCs/>
        </w:rPr>
        <w:t> heures à l</w:t>
      </w:r>
      <w:r w:rsidR="00762E0A">
        <w:rPr>
          <w:bCs/>
        </w:rPr>
        <w:t>’</w:t>
      </w:r>
      <w:r w:rsidRPr="003B5EA4">
        <w:rPr>
          <w:bCs/>
        </w:rPr>
        <w:t>issue d</w:t>
      </w:r>
      <w:r w:rsidR="00762E0A">
        <w:rPr>
          <w:bCs/>
        </w:rPr>
        <w:t>’</w:t>
      </w:r>
      <w:r w:rsidRPr="003B5EA4">
        <w:rPr>
          <w:bCs/>
        </w:rPr>
        <w:t xml:space="preserve">un voyage qui a duré plus de </w:t>
      </w:r>
      <w:r w:rsidR="007563A8">
        <w:rPr>
          <w:bCs/>
        </w:rPr>
        <w:t>6</w:t>
      </w:r>
      <w:r w:rsidRPr="003B5EA4">
        <w:rPr>
          <w:bCs/>
        </w:rPr>
        <w:t> heures, sans égard au nombre total d</w:t>
      </w:r>
      <w:r w:rsidR="00762E0A">
        <w:rPr>
          <w:bCs/>
        </w:rPr>
        <w:t>’</w:t>
      </w:r>
      <w:r w:rsidRPr="003B5EA4">
        <w:rPr>
          <w:bCs/>
        </w:rPr>
        <w:t>heures dépassant ce seuil. En outre, un temps de repos de 24 heures est accordé à l</w:t>
      </w:r>
      <w:r w:rsidR="00762E0A">
        <w:rPr>
          <w:bCs/>
        </w:rPr>
        <w:t>’</w:t>
      </w:r>
      <w:r w:rsidRPr="003B5EA4">
        <w:rPr>
          <w:bCs/>
        </w:rPr>
        <w:t>issue d</w:t>
      </w:r>
      <w:r w:rsidR="00762E0A">
        <w:rPr>
          <w:bCs/>
        </w:rPr>
        <w:t>’</w:t>
      </w:r>
      <w:r w:rsidRPr="003B5EA4">
        <w:rPr>
          <w:bCs/>
        </w:rPr>
        <w:t>un voyage de plus de 10 heures par 13 organismes</w:t>
      </w:r>
      <w:r w:rsidRPr="003B5EA4">
        <w:rPr>
          <w:rStyle w:val="Appelnotedebasdep"/>
        </w:rPr>
        <w:footnoteReference w:id="209"/>
      </w:r>
      <w:r w:rsidRPr="003B5EA4">
        <w:rPr>
          <w:bCs/>
        </w:rPr>
        <w:t>, et à l</w:t>
      </w:r>
      <w:r w:rsidR="00762E0A">
        <w:rPr>
          <w:bCs/>
        </w:rPr>
        <w:t>’</w:t>
      </w:r>
      <w:r w:rsidRPr="003B5EA4">
        <w:rPr>
          <w:bCs/>
        </w:rPr>
        <w:t>issue d</w:t>
      </w:r>
      <w:r w:rsidR="00762E0A">
        <w:rPr>
          <w:bCs/>
        </w:rPr>
        <w:t>’</w:t>
      </w:r>
      <w:r w:rsidRPr="003B5EA4">
        <w:rPr>
          <w:bCs/>
        </w:rPr>
        <w:t>un voyage de plus de 12 heures par 5 organismes</w:t>
      </w:r>
      <w:r w:rsidRPr="003B5EA4">
        <w:rPr>
          <w:rStyle w:val="Appelnotedebasdep"/>
        </w:rPr>
        <w:footnoteReference w:id="210"/>
      </w:r>
      <w:r w:rsidRPr="003B5EA4">
        <w:rPr>
          <w:bCs/>
        </w:rPr>
        <w:t>. Seule l</w:t>
      </w:r>
      <w:r w:rsidR="00762E0A">
        <w:rPr>
          <w:bCs/>
        </w:rPr>
        <w:t>’</w:t>
      </w:r>
      <w:r w:rsidRPr="003B5EA4">
        <w:rPr>
          <w:bCs/>
        </w:rPr>
        <w:t>UNESCO accorde un temps de repos maximum de 48 heures lorsque la durée totale du voyage dépasse 16 heures.</w:t>
      </w:r>
    </w:p>
    <w:p w:rsidR="004E7ECB" w:rsidRPr="003B5EA4" w:rsidRDefault="004E7ECB" w:rsidP="004E7ECB">
      <w:pPr>
        <w:pStyle w:val="SingleTxtG"/>
        <w:rPr>
          <w:b/>
          <w:bCs/>
        </w:rPr>
      </w:pPr>
      <w:r w:rsidRPr="003B5EA4">
        <w:rPr>
          <w:bCs/>
        </w:rPr>
        <w:t>235.</w:t>
      </w:r>
      <w:r w:rsidRPr="003B5EA4">
        <w:rPr>
          <w:bCs/>
        </w:rPr>
        <w:tab/>
        <w:t>Dès lors que chaque organisme a la responsabilité de préserver la santé et le bien</w:t>
      </w:r>
      <w:r w:rsidR="005A0496">
        <w:rPr>
          <w:bCs/>
        </w:rPr>
        <w:noBreakHyphen/>
      </w:r>
      <w:r w:rsidRPr="003B5EA4">
        <w:rPr>
          <w:bCs/>
        </w:rPr>
        <w:t>être de ses fonctionnaires lorsqu</w:t>
      </w:r>
      <w:r w:rsidR="00762E0A">
        <w:rPr>
          <w:bCs/>
        </w:rPr>
        <w:t>’</w:t>
      </w:r>
      <w:r w:rsidRPr="003B5EA4">
        <w:rPr>
          <w:bCs/>
        </w:rPr>
        <w:t>ils effectuent un voyage officiel, il est dans l</w:t>
      </w:r>
      <w:r w:rsidR="00762E0A">
        <w:rPr>
          <w:bCs/>
        </w:rPr>
        <w:t>’</w:t>
      </w:r>
      <w:r w:rsidRPr="003B5EA4">
        <w:rPr>
          <w:bCs/>
        </w:rPr>
        <w:t>intérêt de l</w:t>
      </w:r>
      <w:r w:rsidR="00762E0A">
        <w:rPr>
          <w:bCs/>
        </w:rPr>
        <w:t>’</w:t>
      </w:r>
      <w:r w:rsidRPr="003B5EA4">
        <w:rPr>
          <w:bCs/>
        </w:rPr>
        <w:t xml:space="preserve">entité concernée de veiller à ce que le voyageur soit tout à fait reposé et au mieux de sa productivité pour accomplir sa mission. À cet égard, </w:t>
      </w:r>
      <w:r w:rsidRPr="003B5EA4">
        <w:rPr>
          <w:b/>
          <w:bCs/>
        </w:rPr>
        <w:t xml:space="preserve">les chefs de secrétariat des organismes des Nations Unies devraient examiner la politique de leur organisme en </w:t>
      </w:r>
      <w:r w:rsidRPr="003F58A7">
        <w:rPr>
          <w:b/>
          <w:bCs/>
          <w:spacing w:val="-2"/>
        </w:rPr>
        <w:t>matière de voyages afin de s</w:t>
      </w:r>
      <w:r w:rsidR="00762E0A" w:rsidRPr="003F58A7">
        <w:rPr>
          <w:b/>
          <w:bCs/>
          <w:spacing w:val="-2"/>
        </w:rPr>
        <w:t>’</w:t>
      </w:r>
      <w:r w:rsidRPr="003F58A7">
        <w:rPr>
          <w:b/>
          <w:bCs/>
          <w:spacing w:val="-2"/>
        </w:rPr>
        <w:t>assurer qu</w:t>
      </w:r>
      <w:r w:rsidR="00762E0A" w:rsidRPr="003F58A7">
        <w:rPr>
          <w:b/>
          <w:bCs/>
          <w:spacing w:val="-2"/>
        </w:rPr>
        <w:t>’</w:t>
      </w:r>
      <w:r w:rsidRPr="003F58A7">
        <w:rPr>
          <w:b/>
          <w:bCs/>
          <w:spacing w:val="-2"/>
        </w:rPr>
        <w:t xml:space="preserve">une période de repos adéquate est garantie aux fonctionnaires qui effectuent des voyages officiels de plus de </w:t>
      </w:r>
      <w:r w:rsidR="004E1725" w:rsidRPr="003F58A7">
        <w:rPr>
          <w:b/>
          <w:bCs/>
          <w:spacing w:val="-2"/>
        </w:rPr>
        <w:t>dix</w:t>
      </w:r>
      <w:r w:rsidRPr="003F58A7">
        <w:rPr>
          <w:b/>
          <w:bCs/>
          <w:spacing w:val="-2"/>
        </w:rPr>
        <w:t> heures en classe économique.</w:t>
      </w:r>
    </w:p>
    <w:p w:rsidR="004E7ECB" w:rsidRPr="003B5EA4" w:rsidRDefault="004E7ECB" w:rsidP="00762E28">
      <w:pPr>
        <w:pStyle w:val="H1G"/>
        <w:spacing w:before="320" w:after="200"/>
      </w:pPr>
      <w:r w:rsidRPr="003B5EA4">
        <w:tab/>
        <w:t>E.</w:t>
      </w:r>
      <w:r w:rsidRPr="003B5EA4">
        <w:tab/>
        <w:t>Renforcer la mise en commun des connaissances au sein des organismes et parmi ceux-ci</w:t>
      </w:r>
    </w:p>
    <w:p w:rsidR="004E7ECB" w:rsidRPr="003B5EA4" w:rsidRDefault="004E7ECB" w:rsidP="004E7ECB">
      <w:pPr>
        <w:pStyle w:val="SingleTxtG"/>
      </w:pPr>
      <w:r w:rsidRPr="003B5EA4">
        <w:t>236.</w:t>
      </w:r>
      <w:r w:rsidRPr="003B5EA4">
        <w:tab/>
        <w:t>Établi en 2004, le Réseau interinstitutions Voyages réunit plus de 70 organisations internationales avec pour but de renforcer la coordination et le réseautage interinstitutions à l</w:t>
      </w:r>
      <w:r w:rsidR="00762E0A">
        <w:t>’</w:t>
      </w:r>
      <w:r w:rsidRPr="003B5EA4">
        <w:t>échelle mondiale concernant les politiques et procédures en matière de voyages, et de tenir un forum annuel consacré à la mise en commun d</w:t>
      </w:r>
      <w:r w:rsidR="00762E0A">
        <w:t>’</w:t>
      </w:r>
      <w:r w:rsidRPr="003B5EA4">
        <w:t>idées, de ressources et de meilleures pratiques en matière de gestion des voyages</w:t>
      </w:r>
      <w:r w:rsidRPr="003B5EA4">
        <w:rPr>
          <w:rStyle w:val="Appelnotedebasdep"/>
        </w:rPr>
        <w:footnoteReference w:id="211"/>
      </w:r>
      <w:r w:rsidRPr="003B5EA4">
        <w:t>. Le rôle du réseau a été validé par le CCS qui, en 2010, a appelé les chefs de secrétariat à en tirer parti pour harmoniser les politiques et pratiques en matière de voyages</w:t>
      </w:r>
      <w:r w:rsidRPr="003B5EA4">
        <w:rPr>
          <w:rStyle w:val="Appelnotedebasdep"/>
        </w:rPr>
        <w:footnoteReference w:id="212"/>
      </w:r>
      <w:r w:rsidRPr="003B5EA4">
        <w:t>, ainsi que par la Cinquième Commission qui, en 2011, a appelé à la promotion d</w:t>
      </w:r>
      <w:r w:rsidR="00762E0A">
        <w:t>’</w:t>
      </w:r>
      <w:r w:rsidRPr="003B5EA4">
        <w:t>une meilleure coordination à l</w:t>
      </w:r>
      <w:r w:rsidR="00762E0A">
        <w:t>’</w:t>
      </w:r>
      <w:r w:rsidRPr="003B5EA4">
        <w:t>échelle du système des Nations Unies en matière de voyages en avion, notamment en tirant parti des expériences du Réseau interinstitutions Voyages</w:t>
      </w:r>
      <w:r w:rsidRPr="003B5EA4">
        <w:rPr>
          <w:rStyle w:val="Appelnotedebasdep"/>
        </w:rPr>
        <w:footnoteReference w:id="213"/>
      </w:r>
      <w:r w:rsidRPr="003B5EA4">
        <w:t>.</w:t>
      </w:r>
    </w:p>
    <w:p w:rsidR="00CC73D4" w:rsidRPr="003B5EA4" w:rsidRDefault="00CC73D4" w:rsidP="004E7ECB">
      <w:pPr>
        <w:pStyle w:val="SingleTxtG"/>
      </w:pPr>
      <w:r w:rsidRPr="003B5EA4">
        <w:t>237.</w:t>
      </w:r>
      <w:r w:rsidRPr="003B5EA4">
        <w:tab/>
        <w:t>Ayant examiné les rapports annuels établis par le Réseau interinstitutions Voyages pour la période de 2013 à 2016, l</w:t>
      </w:r>
      <w:r w:rsidR="00762E0A">
        <w:t>’</w:t>
      </w:r>
      <w:r w:rsidRPr="003B5EA4">
        <w:t xml:space="preserve">Inspectrice convient avec les organisations participantes du CCI ayant assisté au forum informel que le réseau joue un rôle des plus importants en permettant la mise en commun des tendances et évolutions en matière de voyages en avion dans les organisations internationales, et elle encourage tous les gestionnaires de voyages à </w:t>
      </w:r>
      <w:r w:rsidRPr="003B5EA4">
        <w:lastRenderedPageBreak/>
        <w:t>prendre une part active à ce forum. L</w:t>
      </w:r>
      <w:r w:rsidR="00762E0A">
        <w:t>’</w:t>
      </w:r>
      <w:r w:rsidRPr="003B5EA4">
        <w:t>Inspectrice salue également les accords conclus par les institutions aux fins de la création et de l</w:t>
      </w:r>
      <w:r w:rsidR="00762E0A">
        <w:t>’</w:t>
      </w:r>
      <w:r w:rsidRPr="003B5EA4">
        <w:t>entretien d</w:t>
      </w:r>
      <w:r w:rsidR="00762E0A">
        <w:t>’</w:t>
      </w:r>
      <w:r w:rsidRPr="003B5EA4">
        <w:t>une base de données faisant office de centre documentaire pour toutes les prestations de voyages, qui faciliterait la mise en commun des politiques et pratiques en la matière, tout en favorisant la conservation et la transmission des connaissances sur la gestion des voyages en avion</w:t>
      </w:r>
      <w:r w:rsidRPr="003B5EA4">
        <w:rPr>
          <w:rStyle w:val="Appelnotedebasdep"/>
        </w:rPr>
        <w:footnoteReference w:id="214"/>
      </w:r>
      <w:r w:rsidRPr="003B5EA4">
        <w:t>.</w:t>
      </w:r>
    </w:p>
    <w:p w:rsidR="00CC73D4" w:rsidRPr="003B5EA4" w:rsidRDefault="00CC73D4" w:rsidP="004E7ECB">
      <w:pPr>
        <w:pStyle w:val="SingleTxtG"/>
      </w:pPr>
      <w:r w:rsidRPr="003B5EA4">
        <w:t>238.</w:t>
      </w:r>
      <w:r w:rsidRPr="003B5EA4">
        <w:tab/>
        <w:t>L</w:t>
      </w:r>
      <w:r w:rsidR="00762E0A">
        <w:t>’</w:t>
      </w:r>
      <w:r w:rsidRPr="003B5EA4">
        <w:t>Inspectrice estime que la lacune qui subsiste dans le système des Nations Unies en ce qui concerne la mise en commun des pratiques et la coordination en matière de gestion des voyages en avion pourrait être comblée en créant un organe consultatif interinstitutions officiel sur les voyages réunissant des hauts fonctionnaires ayant une connaissance approfondie des politiques en matière de voyages en avion auxquels les chefs de secrétariat ont délégué le pouvoir de prendre au noms de leurs organismes des décisions relatives à ces politiques. Une fois établi, un tel organe pourra décider d</w:t>
      </w:r>
      <w:r w:rsidR="00762E0A">
        <w:t>’</w:t>
      </w:r>
      <w:r w:rsidRPr="003B5EA4">
        <w:t>inviter aux fins de consultation des parties prenantes du secteur du transport aérien.</w:t>
      </w:r>
    </w:p>
    <w:p w:rsidR="00CC73D4" w:rsidRPr="003B5EA4" w:rsidRDefault="00CC73D4" w:rsidP="004E7ECB">
      <w:pPr>
        <w:pStyle w:val="SingleTxtG"/>
      </w:pPr>
      <w:r w:rsidRPr="003B5EA4">
        <w:t>239.</w:t>
      </w:r>
      <w:r w:rsidRPr="003B5EA4">
        <w:tab/>
        <w:t>Une telle action serait également dans l</w:t>
      </w:r>
      <w:r w:rsidR="00762E0A">
        <w:t>’</w:t>
      </w:r>
      <w:r w:rsidRPr="003B5EA4">
        <w:t>esprit d</w:t>
      </w:r>
      <w:r w:rsidR="00762E0A">
        <w:t>’</w:t>
      </w:r>
      <w:r w:rsidRPr="003B5EA4">
        <w:t>une recommandation antérieure du CCI, par laquelle celui-ci appelait à l</w:t>
      </w:r>
      <w:r w:rsidR="00762E0A">
        <w:t>’</w:t>
      </w:r>
      <w:r w:rsidRPr="003B5EA4">
        <w:t>établissement, avec la participation de tous les bureaux directement concernés, d</w:t>
      </w:r>
      <w:r w:rsidR="00762E0A">
        <w:t>’</w:t>
      </w:r>
      <w:r w:rsidRPr="003B5EA4">
        <w:t xml:space="preserve">un comité consultatif chargé de faire appliquer la </w:t>
      </w:r>
      <w:r w:rsidRPr="003F58A7">
        <w:rPr>
          <w:spacing w:val="-2"/>
        </w:rPr>
        <w:t>politique des voyages de l</w:t>
      </w:r>
      <w:r w:rsidR="00762E0A" w:rsidRPr="003F58A7">
        <w:rPr>
          <w:spacing w:val="-2"/>
        </w:rPr>
        <w:t>’</w:t>
      </w:r>
      <w:r w:rsidRPr="003F58A7">
        <w:rPr>
          <w:spacing w:val="-2"/>
        </w:rPr>
        <w:t>ONU ainsi que de conseiller et d</w:t>
      </w:r>
      <w:r w:rsidR="00762E0A" w:rsidRPr="003F58A7">
        <w:rPr>
          <w:spacing w:val="-2"/>
        </w:rPr>
        <w:t>’</w:t>
      </w:r>
      <w:r w:rsidRPr="003F58A7">
        <w:rPr>
          <w:spacing w:val="-2"/>
        </w:rPr>
        <w:t>aider les groupes des voyages</w:t>
      </w:r>
      <w:r w:rsidRPr="003F58A7">
        <w:rPr>
          <w:rStyle w:val="Appelnotedebasdep"/>
          <w:spacing w:val="-2"/>
        </w:rPr>
        <w:footnoteReference w:id="215"/>
      </w:r>
      <w:r w:rsidRPr="003F58A7">
        <w:rPr>
          <w:spacing w:val="-2"/>
        </w:rPr>
        <w:t>.</w:t>
      </w:r>
    </w:p>
    <w:p w:rsidR="00CC73D4" w:rsidRPr="003B5EA4" w:rsidRDefault="00CC73D4" w:rsidP="00CC73D4">
      <w:pPr>
        <w:pStyle w:val="SingleTxtG"/>
      </w:pPr>
      <w:r w:rsidRPr="003B5EA4">
        <w:t>240.</w:t>
      </w:r>
      <w:r w:rsidRPr="003B5EA4">
        <w:tab/>
        <w:t>La mise en œuvre de la recommandation suivant</w:t>
      </w:r>
      <w:r w:rsidR="005A0496">
        <w:t>e</w:t>
      </w:r>
      <w:r w:rsidRPr="003B5EA4">
        <w:t xml:space="preserve"> devrait renforcer la coordination, la coopération et la mise en commun des meilleures pratiques en </w:t>
      </w:r>
      <w:r w:rsidR="00713888">
        <w:t>matière de gestion des voyages</w:t>
      </w:r>
      <w:r w:rsidRPr="003B5EA4">
        <w:t xml:space="preserve"> à l</w:t>
      </w:r>
      <w:r w:rsidR="00762E0A">
        <w:t>’</w:t>
      </w:r>
      <w:r w:rsidRPr="003B5EA4">
        <w:t>échelle du système des Nations Unies.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C73D4" w:rsidRPr="003B5EA4" w:rsidTr="00CC73D4">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CC73D4" w:rsidRPr="003B5EA4" w:rsidRDefault="00CC73D4" w:rsidP="00CC73D4"/>
        </w:tc>
      </w:tr>
      <w:tr w:rsidR="00CC73D4" w:rsidRPr="003B5EA4" w:rsidTr="00CC73D4">
        <w:trPr>
          <w:jc w:val="center"/>
        </w:trPr>
        <w:tc>
          <w:tcPr>
            <w:tcW w:w="7653" w:type="dxa"/>
            <w:tcBorders>
              <w:left w:val="single" w:sz="4" w:space="0" w:color="auto"/>
              <w:bottom w:val="nil"/>
              <w:right w:val="single" w:sz="4" w:space="0" w:color="auto"/>
            </w:tcBorders>
            <w:shd w:val="clear" w:color="auto" w:fill="auto"/>
          </w:tcPr>
          <w:p w:rsidR="00CC73D4" w:rsidRPr="003B5EA4" w:rsidRDefault="00CC73D4" w:rsidP="00CC73D4">
            <w:pPr>
              <w:spacing w:after="120"/>
              <w:jc w:val="both"/>
            </w:pPr>
            <w:r w:rsidRPr="003B5EA4">
              <w:rPr>
                <w:b/>
              </w:rPr>
              <w:t>Recommandation 9</w:t>
            </w:r>
          </w:p>
        </w:tc>
      </w:tr>
      <w:tr w:rsidR="00CC73D4" w:rsidRPr="003B5EA4" w:rsidTr="00CC73D4">
        <w:trPr>
          <w:jc w:val="center"/>
        </w:trPr>
        <w:tc>
          <w:tcPr>
            <w:tcW w:w="7653" w:type="dxa"/>
            <w:tcBorders>
              <w:left w:val="single" w:sz="4" w:space="0" w:color="auto"/>
              <w:bottom w:val="nil"/>
              <w:right w:val="single" w:sz="4" w:space="0" w:color="auto"/>
            </w:tcBorders>
            <w:shd w:val="clear" w:color="auto" w:fill="auto"/>
          </w:tcPr>
          <w:p w:rsidR="00CC73D4" w:rsidRPr="003B5EA4" w:rsidRDefault="00CC73D4" w:rsidP="00CC73D4">
            <w:pPr>
              <w:spacing w:after="120"/>
              <w:ind w:firstLine="567"/>
              <w:jc w:val="both"/>
            </w:pPr>
            <w:r w:rsidRPr="003B5EA4">
              <w:rPr>
                <w:b/>
              </w:rPr>
              <w:t>L</w:t>
            </w:r>
            <w:r w:rsidR="00762E0A">
              <w:rPr>
                <w:b/>
              </w:rPr>
              <w:t>’</w:t>
            </w:r>
            <w:r w:rsidRPr="003B5EA4">
              <w:rPr>
                <w:b/>
              </w:rPr>
              <w:t>Assemblée générale devrait prier le Secrétaire général, en sa qualité de Président du Conseil des chefs de secrétariat des organismes des Nations Unies pour la coordination, de soumettre à son examen, à la première partie de la reprise de sa soixante-treizième session, une proposition visant à créer un comité consultatif officiel sur les questions relatives aux voyages.</w:t>
            </w:r>
          </w:p>
        </w:tc>
      </w:tr>
      <w:tr w:rsidR="00CC73D4" w:rsidRPr="003B5EA4" w:rsidTr="00CC73D4">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CC73D4" w:rsidRPr="003B5EA4" w:rsidRDefault="00CC73D4" w:rsidP="00CC73D4"/>
        </w:tc>
      </w:tr>
    </w:tbl>
    <w:p w:rsidR="00CC73D4" w:rsidRPr="003B5EA4" w:rsidRDefault="00CC73D4" w:rsidP="00CC73D4">
      <w:pPr>
        <w:pStyle w:val="SingleTxtG"/>
        <w:spacing w:before="120"/>
        <w:rPr>
          <w:b/>
        </w:rPr>
      </w:pPr>
      <w:r w:rsidRPr="003B5EA4">
        <w:t>241.</w:t>
      </w:r>
      <w:r w:rsidRPr="003B5EA4">
        <w:tab/>
        <w:t>L</w:t>
      </w:r>
      <w:r w:rsidR="00762E0A">
        <w:t>’</w:t>
      </w:r>
      <w:r w:rsidRPr="003B5EA4">
        <w:t>Inspectrice se félicite de l</w:t>
      </w:r>
      <w:r w:rsidR="00762E0A">
        <w:t>’</w:t>
      </w:r>
      <w:r w:rsidRPr="003B5EA4">
        <w:t>initiative du Secrétariat de l</w:t>
      </w:r>
      <w:r w:rsidR="00762E0A">
        <w:t>’</w:t>
      </w:r>
      <w:r w:rsidRPr="003B5EA4">
        <w:t>ONU d</w:t>
      </w:r>
      <w:r w:rsidR="00762E0A">
        <w:t>’</w:t>
      </w:r>
      <w:r w:rsidRPr="003B5EA4">
        <w:t>établir un forum des voyages par le biais du réseau Unite Connections qui permet au référent processus en matière de politique des voyages de communiquer à tous les gestionnaires des voyages les pratiques relatives à la mise en œuvre de cette politique, d</w:t>
      </w:r>
      <w:r w:rsidR="00762E0A">
        <w:t>’</w:t>
      </w:r>
      <w:r w:rsidRPr="003B5EA4">
        <w:t>avoir des échanges de vues sur des questions s</w:t>
      </w:r>
      <w:r w:rsidR="00762E0A">
        <w:t>’</w:t>
      </w:r>
      <w:r w:rsidRPr="003B5EA4">
        <w:t>y rapportant et de donner et recevoir des éléments d</w:t>
      </w:r>
      <w:r w:rsidR="00762E0A">
        <w:t>’</w:t>
      </w:r>
      <w:r w:rsidRPr="003B5EA4">
        <w:t>orientation à son sujet</w:t>
      </w:r>
      <w:r w:rsidRPr="003B5EA4">
        <w:rPr>
          <w:rStyle w:val="Appelnotedebasdep"/>
        </w:rPr>
        <w:footnoteReference w:id="216"/>
      </w:r>
      <w:r w:rsidRPr="003B5EA4">
        <w:t>. Il est recommandé qu</w:t>
      </w:r>
      <w:r w:rsidR="00762E0A">
        <w:t>’</w:t>
      </w:r>
      <w:r w:rsidRPr="003B5EA4">
        <w:t>une plateforme similaire soit créée par tous les organismes présents sur le terrain</w:t>
      </w:r>
      <w:r w:rsidRPr="003B5EA4">
        <w:rPr>
          <w:b/>
        </w:rPr>
        <w:t>.</w:t>
      </w:r>
    </w:p>
    <w:p w:rsidR="00CC73D4" w:rsidRPr="003B5EA4" w:rsidRDefault="00CC73D4" w:rsidP="00CC73D4">
      <w:pPr>
        <w:pStyle w:val="SingleTxtG"/>
      </w:pPr>
      <w:r w:rsidRPr="003B5EA4">
        <w:t>242.</w:t>
      </w:r>
      <w:r w:rsidRPr="003B5EA4">
        <w:tab/>
        <w:t>Pour ce qui concerne l</w:t>
      </w:r>
      <w:r w:rsidR="00762E0A">
        <w:t>’</w:t>
      </w:r>
      <w:r w:rsidRPr="003B5EA4">
        <w:t>avenir, l</w:t>
      </w:r>
      <w:r w:rsidR="00762E0A">
        <w:t>’</w:t>
      </w:r>
      <w:r w:rsidRPr="003B5EA4">
        <w:t>harmonisation de la gestion des voyages à l</w:t>
      </w:r>
      <w:r w:rsidR="00762E0A">
        <w:t>’</w:t>
      </w:r>
      <w:r w:rsidRPr="003B5EA4">
        <w:t>échelle du système ne nécessitera pas seulement des actions individuelles de la part de chaque organisme, mais aussi des actions menées collectivement, de façon collaborative, par tous les organismes, notamment en tirant parti des plateformes et mécanismes de coordination interinstitutions existants.</w:t>
      </w:r>
    </w:p>
    <w:p w:rsidR="00BD2862" w:rsidRPr="003B5EA4" w:rsidRDefault="00CC73D4" w:rsidP="00BC205D">
      <w:pPr>
        <w:pStyle w:val="SingleTxtG"/>
      </w:pPr>
      <w:r w:rsidRPr="003B5EA4">
        <w:t>243.</w:t>
      </w:r>
      <w:r w:rsidRPr="003B5EA4">
        <w:tab/>
        <w:t>L</w:t>
      </w:r>
      <w:r w:rsidR="00762E0A">
        <w:t>’</w:t>
      </w:r>
      <w:r w:rsidRPr="003B5EA4">
        <w:t>Inspectrice est d</w:t>
      </w:r>
      <w:r w:rsidR="00762E0A">
        <w:t>’</w:t>
      </w:r>
      <w:r w:rsidRPr="003B5EA4">
        <w:t>avis que la mise en œuvre des recommandations et mesures présentées dans le présent rapport pourrait conduire à l</w:t>
      </w:r>
      <w:r w:rsidR="00762E0A">
        <w:t>’</w:t>
      </w:r>
      <w:r w:rsidRPr="003B5EA4">
        <w:t>harmonisation des questions relatives aux voyages en avion à l</w:t>
      </w:r>
      <w:r w:rsidR="00762E0A">
        <w:t>’</w:t>
      </w:r>
      <w:r w:rsidRPr="003B5EA4">
        <w:t>échelle du système tout entier et, partant, à d</w:t>
      </w:r>
      <w:r w:rsidR="00762E0A">
        <w:t>’</w:t>
      </w:r>
      <w:r w:rsidRPr="003B5EA4">
        <w:t>importants gains d</w:t>
      </w:r>
      <w:r w:rsidR="00762E0A">
        <w:t>’</w:t>
      </w:r>
      <w:r w:rsidRPr="003B5EA4">
        <w:t xml:space="preserve">efficience et de considérables économies à court et </w:t>
      </w:r>
      <w:r w:rsidR="005A0496">
        <w:t xml:space="preserve">à </w:t>
      </w:r>
      <w:r w:rsidRPr="003B5EA4">
        <w:t>moyen terme. En outre, l</w:t>
      </w:r>
      <w:r w:rsidR="00762E0A">
        <w:t>’</w:t>
      </w:r>
      <w:r w:rsidRPr="003B5EA4">
        <w:t>Inspectrice</w:t>
      </w:r>
      <w:r w:rsidRPr="00BD2862">
        <w:t xml:space="preserve"> </w:t>
      </w:r>
      <w:r w:rsidRPr="003B5EA4">
        <w:rPr>
          <w:b/>
        </w:rPr>
        <w:t>encourage tous les organismes des Nations Unies à continuer de mettre en commun les données d</w:t>
      </w:r>
      <w:r w:rsidR="00762E0A">
        <w:rPr>
          <w:b/>
        </w:rPr>
        <w:t>’</w:t>
      </w:r>
      <w:r w:rsidRPr="003B5EA4">
        <w:rPr>
          <w:b/>
        </w:rPr>
        <w:t>expérience, connaissances, meilleures pratiques et enseignements qu</w:t>
      </w:r>
      <w:r w:rsidR="00762E0A">
        <w:rPr>
          <w:b/>
        </w:rPr>
        <w:t>’</w:t>
      </w:r>
      <w:r w:rsidRPr="003B5EA4">
        <w:rPr>
          <w:b/>
        </w:rPr>
        <w:t>ils ont acquis, en vue de renforcer encore la coordination et de développer plus avant leurs synergie, coopération, efficacité et efficience, sans préjudice des mandats des uns et des autres</w:t>
      </w:r>
      <w:r w:rsidRPr="003B5EA4">
        <w:t>.</w:t>
      </w:r>
    </w:p>
    <w:p w:rsidR="00A71526" w:rsidRPr="003B5EA4" w:rsidRDefault="00A71526" w:rsidP="00CC73D4">
      <w:pPr>
        <w:pStyle w:val="SingleTxtG"/>
        <w:sectPr w:rsidR="00A71526" w:rsidRPr="003B5EA4" w:rsidSect="0094122B">
          <w:headerReference w:type="even" r:id="rId34"/>
          <w:headerReference w:type="default" r:id="rId35"/>
          <w:footerReference w:type="even" r:id="rId36"/>
          <w:footerReference w:type="default" r:id="rId37"/>
          <w:endnotePr>
            <w:numFmt w:val="decimal"/>
          </w:endnotePr>
          <w:pgSz w:w="11906" w:h="16838" w:code="9"/>
          <w:pgMar w:top="1417" w:right="1134" w:bottom="1134" w:left="1134" w:header="850" w:footer="567" w:gutter="0"/>
          <w:cols w:space="708"/>
          <w:docGrid w:linePitch="360"/>
        </w:sectPr>
      </w:pPr>
    </w:p>
    <w:p w:rsidR="00CC73D4" w:rsidRPr="003B5EA4" w:rsidRDefault="00A71526" w:rsidP="00A71526">
      <w:pPr>
        <w:pStyle w:val="HChG"/>
      </w:pPr>
      <w:r w:rsidRPr="003B5EA4">
        <w:lastRenderedPageBreak/>
        <w:t>Annexe I</w:t>
      </w:r>
    </w:p>
    <w:p w:rsidR="00CB3BD7" w:rsidRPr="003B5EA4" w:rsidRDefault="00CB3BD7" w:rsidP="00CB3BD7">
      <w:pPr>
        <w:pStyle w:val="HChG"/>
      </w:pPr>
      <w:r w:rsidRPr="003B5EA4">
        <w:tab/>
      </w:r>
      <w:r w:rsidRPr="003B5EA4">
        <w:tab/>
        <w:t>Dépenses au titre des voyages en avion et des prestations connexes en proportion des dépenses totales de chaque organi</w:t>
      </w:r>
      <w:r w:rsidR="00FA28F4">
        <w:t xml:space="preserve">sme pour la période </w:t>
      </w:r>
      <w:r w:rsidRPr="003B5EA4">
        <w:t>2012-2015 (budget ordinaire et sources extrabudgétaires)</w:t>
      </w:r>
    </w:p>
    <w:tbl>
      <w:tblPr>
        <w:tblW w:w="13777" w:type="dxa"/>
        <w:tblInd w:w="283" w:type="dxa"/>
        <w:tblLayout w:type="fixed"/>
        <w:tblCellMar>
          <w:left w:w="0" w:type="dxa"/>
          <w:right w:w="0" w:type="dxa"/>
        </w:tblCellMar>
        <w:tblLook w:val="04A0" w:firstRow="1" w:lastRow="0" w:firstColumn="1" w:lastColumn="0" w:noHBand="0" w:noVBand="1"/>
      </w:tblPr>
      <w:tblGrid>
        <w:gridCol w:w="1345"/>
        <w:gridCol w:w="647"/>
        <w:gridCol w:w="2552"/>
        <w:gridCol w:w="2622"/>
        <w:gridCol w:w="2580"/>
        <w:gridCol w:w="1517"/>
        <w:gridCol w:w="2514"/>
      </w:tblGrid>
      <w:tr w:rsidR="00CB3BD7" w:rsidRPr="003B5EA4" w:rsidTr="00F2483D">
        <w:trPr>
          <w:tblHeader/>
        </w:trPr>
        <w:tc>
          <w:tcPr>
            <w:tcW w:w="1345" w:type="dxa"/>
            <w:tcBorders>
              <w:top w:val="single" w:sz="4" w:space="0" w:color="auto"/>
              <w:bottom w:val="single" w:sz="4" w:space="0" w:color="auto"/>
            </w:tcBorders>
            <w:shd w:val="clear" w:color="auto" w:fill="auto"/>
            <w:vAlign w:val="bottom"/>
            <w:hideMark/>
          </w:tcPr>
          <w:p w:rsidR="00CB3BD7" w:rsidRPr="003B5EA4" w:rsidRDefault="00CB3BD7" w:rsidP="00F97AEF">
            <w:pPr>
              <w:suppressAutoHyphens w:val="0"/>
              <w:spacing w:before="80" w:after="80" w:line="200" w:lineRule="exact"/>
              <w:rPr>
                <w:i/>
                <w:sz w:val="16"/>
              </w:rPr>
            </w:pPr>
            <w:bookmarkStart w:id="1" w:name="RANGE!A1:I106"/>
            <w:r w:rsidRPr="003B5EA4">
              <w:rPr>
                <w:i/>
                <w:sz w:val="16"/>
              </w:rPr>
              <w:t>Organi</w:t>
            </w:r>
            <w:bookmarkEnd w:id="1"/>
            <w:r w:rsidR="00F97AEF" w:rsidRPr="003B5EA4">
              <w:rPr>
                <w:i/>
                <w:sz w:val="16"/>
              </w:rPr>
              <w:t>sme</w:t>
            </w:r>
          </w:p>
        </w:tc>
        <w:tc>
          <w:tcPr>
            <w:tcW w:w="647" w:type="dxa"/>
            <w:tcBorders>
              <w:top w:val="single" w:sz="4" w:space="0" w:color="auto"/>
              <w:bottom w:val="single" w:sz="4" w:space="0" w:color="auto"/>
            </w:tcBorders>
            <w:shd w:val="clear" w:color="auto" w:fill="auto"/>
            <w:vAlign w:val="bottom"/>
            <w:hideMark/>
          </w:tcPr>
          <w:p w:rsidR="00CB3BD7" w:rsidRPr="003B5EA4" w:rsidRDefault="00F97AEF" w:rsidP="00F97AEF">
            <w:pPr>
              <w:suppressAutoHyphens w:val="0"/>
              <w:spacing w:before="80" w:after="80" w:line="200" w:lineRule="exact"/>
              <w:jc w:val="right"/>
              <w:rPr>
                <w:i/>
                <w:sz w:val="16"/>
              </w:rPr>
            </w:pPr>
            <w:r w:rsidRPr="003B5EA4">
              <w:rPr>
                <w:i/>
                <w:sz w:val="16"/>
              </w:rPr>
              <w:t>Année</w:t>
            </w:r>
          </w:p>
        </w:tc>
        <w:tc>
          <w:tcPr>
            <w:tcW w:w="2552" w:type="dxa"/>
            <w:tcBorders>
              <w:top w:val="single" w:sz="4" w:space="0" w:color="auto"/>
              <w:bottom w:val="single" w:sz="4" w:space="0" w:color="auto"/>
            </w:tcBorders>
            <w:shd w:val="clear" w:color="auto" w:fill="auto"/>
            <w:vAlign w:val="bottom"/>
            <w:hideMark/>
          </w:tcPr>
          <w:p w:rsidR="00CB3BD7" w:rsidRPr="003B5EA4" w:rsidRDefault="00F97AEF" w:rsidP="00795961">
            <w:pPr>
              <w:suppressAutoHyphens w:val="0"/>
              <w:spacing w:before="80" w:after="80" w:line="200" w:lineRule="exact"/>
              <w:jc w:val="right"/>
              <w:rPr>
                <w:i/>
                <w:sz w:val="16"/>
                <w:szCs w:val="16"/>
              </w:rPr>
            </w:pPr>
            <w:r w:rsidRPr="003B5EA4">
              <w:rPr>
                <w:i/>
                <w:sz w:val="16"/>
                <w:szCs w:val="16"/>
              </w:rPr>
              <w:t>Dépenses totales au titre des voyages en avion et des prestations connexes</w:t>
            </w:r>
            <w:r w:rsidR="002A27C6" w:rsidRPr="003B5EA4">
              <w:rPr>
                <w:i/>
                <w:sz w:val="16"/>
                <w:szCs w:val="16"/>
              </w:rPr>
              <w:t> :</w:t>
            </w:r>
            <w:r w:rsidRPr="003B5EA4">
              <w:rPr>
                <w:i/>
                <w:sz w:val="16"/>
                <w:szCs w:val="16"/>
              </w:rPr>
              <w:t xml:space="preserve"> fonctionnaires et non-fonctionnaires</w:t>
            </w:r>
            <w:r w:rsidR="002A27C6" w:rsidRPr="003B5EA4">
              <w:rPr>
                <w:i/>
                <w:sz w:val="16"/>
                <w:szCs w:val="16"/>
              </w:rPr>
              <w:t xml:space="preserve"> </w:t>
            </w:r>
            <w:r w:rsidRPr="003B5EA4">
              <w:rPr>
                <w:i/>
                <w:sz w:val="16"/>
                <w:szCs w:val="16"/>
              </w:rPr>
              <w:t>(</w:t>
            </w:r>
            <w:r w:rsidR="00795961" w:rsidRPr="003B5EA4">
              <w:rPr>
                <w:i/>
                <w:sz w:val="16"/>
                <w:szCs w:val="16"/>
              </w:rPr>
              <w:t>d</w:t>
            </w:r>
            <w:r w:rsidRPr="003B5EA4">
              <w:rPr>
                <w:i/>
                <w:sz w:val="16"/>
                <w:szCs w:val="16"/>
              </w:rPr>
              <w:t>ollars É.-U.)</w:t>
            </w:r>
            <w:r w:rsidR="003A77C0" w:rsidRPr="003A77C0">
              <w:rPr>
                <w:sz w:val="16"/>
                <w:szCs w:val="16"/>
                <w:vertAlign w:val="superscript"/>
              </w:rPr>
              <w:t>a</w:t>
            </w:r>
          </w:p>
        </w:tc>
        <w:tc>
          <w:tcPr>
            <w:tcW w:w="2622" w:type="dxa"/>
            <w:tcBorders>
              <w:top w:val="single" w:sz="4" w:space="0" w:color="auto"/>
              <w:bottom w:val="single" w:sz="4" w:space="0" w:color="auto"/>
            </w:tcBorders>
            <w:shd w:val="clear" w:color="auto" w:fill="auto"/>
            <w:vAlign w:val="bottom"/>
          </w:tcPr>
          <w:p w:rsidR="00CB3BD7" w:rsidRPr="003B5EA4" w:rsidRDefault="002A27C6" w:rsidP="002500AE">
            <w:pPr>
              <w:suppressAutoHyphens w:val="0"/>
              <w:spacing w:before="80" w:after="80" w:line="200" w:lineRule="exact"/>
              <w:jc w:val="right"/>
              <w:rPr>
                <w:i/>
                <w:sz w:val="16"/>
              </w:rPr>
            </w:pPr>
            <w:r w:rsidRPr="003B5EA4">
              <w:rPr>
                <w:i/>
                <w:sz w:val="16"/>
              </w:rPr>
              <w:t>Dépenses totales au titre des voyages</w:t>
            </w:r>
            <w:r w:rsidR="0041732E" w:rsidRPr="003B5EA4">
              <w:rPr>
                <w:i/>
                <w:sz w:val="16"/>
              </w:rPr>
              <w:br/>
            </w:r>
            <w:r w:rsidRPr="003B5EA4">
              <w:rPr>
                <w:i/>
                <w:sz w:val="16"/>
              </w:rPr>
              <w:t>en avion et des prestations connexes : fonctionnaires</w:t>
            </w:r>
            <w:r w:rsidR="003A77C0">
              <w:rPr>
                <w:i/>
                <w:sz w:val="16"/>
              </w:rPr>
              <w:t xml:space="preserve"> </w:t>
            </w:r>
            <w:r w:rsidR="00795961" w:rsidRPr="003B5EA4">
              <w:rPr>
                <w:i/>
                <w:sz w:val="16"/>
              </w:rPr>
              <w:t>(</w:t>
            </w:r>
            <w:r w:rsidRPr="003B5EA4">
              <w:rPr>
                <w:i/>
                <w:sz w:val="16"/>
              </w:rPr>
              <w:t>dollars É.-U.)</w:t>
            </w:r>
          </w:p>
        </w:tc>
        <w:tc>
          <w:tcPr>
            <w:tcW w:w="2580" w:type="dxa"/>
            <w:tcBorders>
              <w:top w:val="single" w:sz="4" w:space="0" w:color="auto"/>
              <w:bottom w:val="single" w:sz="4" w:space="0" w:color="auto"/>
            </w:tcBorders>
            <w:shd w:val="clear" w:color="auto" w:fill="auto"/>
            <w:vAlign w:val="bottom"/>
          </w:tcPr>
          <w:p w:rsidR="00CB3BD7" w:rsidRPr="003B5EA4" w:rsidRDefault="00795961" w:rsidP="002500AE">
            <w:pPr>
              <w:suppressAutoHyphens w:val="0"/>
              <w:spacing w:before="80" w:after="80" w:line="200" w:lineRule="exact"/>
              <w:jc w:val="right"/>
              <w:rPr>
                <w:i/>
                <w:sz w:val="16"/>
              </w:rPr>
            </w:pPr>
            <w:r w:rsidRPr="003B5EA4">
              <w:rPr>
                <w:i/>
                <w:sz w:val="16"/>
              </w:rPr>
              <w:t>Dépenses totales au titre des voyages</w:t>
            </w:r>
            <w:r w:rsidR="0028277F" w:rsidRPr="003B5EA4">
              <w:rPr>
                <w:i/>
                <w:sz w:val="16"/>
              </w:rPr>
              <w:br/>
            </w:r>
            <w:r w:rsidRPr="003B5EA4">
              <w:rPr>
                <w:i/>
                <w:sz w:val="16"/>
              </w:rPr>
              <w:t>en avion et des prestations connexes : non-fonctionnaires</w:t>
            </w:r>
            <w:r w:rsidR="00F503D4" w:rsidRPr="003B5EA4">
              <w:rPr>
                <w:i/>
                <w:sz w:val="16"/>
              </w:rPr>
              <w:t xml:space="preserve"> </w:t>
            </w:r>
            <w:r w:rsidRPr="003B5EA4">
              <w:rPr>
                <w:i/>
                <w:sz w:val="16"/>
              </w:rPr>
              <w:t>(dollars É.-U.)</w:t>
            </w:r>
          </w:p>
        </w:tc>
        <w:tc>
          <w:tcPr>
            <w:tcW w:w="1517" w:type="dxa"/>
            <w:tcBorders>
              <w:top w:val="single" w:sz="4" w:space="0" w:color="auto"/>
              <w:bottom w:val="single" w:sz="4" w:space="0" w:color="auto"/>
            </w:tcBorders>
            <w:shd w:val="clear" w:color="auto" w:fill="auto"/>
            <w:vAlign w:val="bottom"/>
            <w:hideMark/>
          </w:tcPr>
          <w:p w:rsidR="00CB3BD7" w:rsidRPr="003B5EA4" w:rsidRDefault="00F503D4" w:rsidP="00F503D4">
            <w:pPr>
              <w:suppressAutoHyphens w:val="0"/>
              <w:spacing w:before="80" w:after="80" w:line="200" w:lineRule="exact"/>
              <w:jc w:val="right"/>
              <w:rPr>
                <w:i/>
                <w:sz w:val="16"/>
              </w:rPr>
            </w:pPr>
            <w:r w:rsidRPr="003B5EA4">
              <w:rPr>
                <w:i/>
                <w:sz w:val="16"/>
              </w:rPr>
              <w:t xml:space="preserve">Dépenses totales </w:t>
            </w:r>
            <w:r w:rsidRPr="003B5EA4">
              <w:rPr>
                <w:i/>
                <w:sz w:val="16"/>
              </w:rPr>
              <w:br/>
              <w:t>de chaque organisme (dollars É.-U.)</w:t>
            </w:r>
            <w:r w:rsidR="00CB3BD7" w:rsidRPr="003B5EA4">
              <w:rPr>
                <w:sz w:val="16"/>
                <w:vertAlign w:val="superscript"/>
              </w:rPr>
              <w:t>b</w:t>
            </w:r>
          </w:p>
        </w:tc>
        <w:tc>
          <w:tcPr>
            <w:tcW w:w="2514" w:type="dxa"/>
            <w:tcBorders>
              <w:top w:val="single" w:sz="4" w:space="0" w:color="auto"/>
              <w:bottom w:val="single" w:sz="4" w:space="0" w:color="auto"/>
            </w:tcBorders>
            <w:shd w:val="clear" w:color="auto" w:fill="auto"/>
            <w:vAlign w:val="bottom"/>
            <w:hideMark/>
          </w:tcPr>
          <w:p w:rsidR="00CB3BD7" w:rsidRPr="003B5EA4" w:rsidRDefault="00F503D4" w:rsidP="00CB3BD7">
            <w:pPr>
              <w:suppressAutoHyphens w:val="0"/>
              <w:spacing w:before="80" w:after="80" w:line="200" w:lineRule="exact"/>
              <w:jc w:val="right"/>
              <w:rPr>
                <w:i/>
                <w:sz w:val="16"/>
              </w:rPr>
            </w:pPr>
            <w:r w:rsidRPr="003B5EA4">
              <w:rPr>
                <w:i/>
                <w:sz w:val="16"/>
              </w:rPr>
              <w:t xml:space="preserve">Dépenses totales au titre des voyages </w:t>
            </w:r>
            <w:r w:rsidRPr="003B5EA4">
              <w:rPr>
                <w:i/>
                <w:sz w:val="16"/>
              </w:rPr>
              <w:br/>
              <w:t xml:space="preserve">en avion et des prestations connexes </w:t>
            </w:r>
            <w:r w:rsidRPr="003B5EA4">
              <w:rPr>
                <w:i/>
                <w:sz w:val="16"/>
              </w:rPr>
              <w:br/>
              <w:t xml:space="preserve">en pourcentage des dépenses totales </w:t>
            </w:r>
            <w:r w:rsidR="007C15EA" w:rsidRPr="003B5EA4">
              <w:rPr>
                <w:i/>
                <w:sz w:val="16"/>
              </w:rPr>
              <w:br/>
            </w:r>
            <w:r w:rsidRPr="003B5EA4">
              <w:rPr>
                <w:i/>
                <w:sz w:val="16"/>
              </w:rPr>
              <w:t>de chaque organisme</w:t>
            </w:r>
          </w:p>
        </w:tc>
      </w:tr>
      <w:tr w:rsidR="0028277F" w:rsidRPr="003B5EA4" w:rsidTr="00F2483D">
        <w:tc>
          <w:tcPr>
            <w:tcW w:w="1345" w:type="dxa"/>
            <w:vMerge w:val="restart"/>
            <w:shd w:val="clear" w:color="auto" w:fill="auto"/>
            <w:noWrap/>
          </w:tcPr>
          <w:p w:rsidR="00CE3812" w:rsidRPr="003B5EA4" w:rsidRDefault="00CE3812" w:rsidP="009958AA">
            <w:pPr>
              <w:suppressAutoHyphens w:val="0"/>
              <w:spacing w:before="40" w:after="40" w:line="220" w:lineRule="exact"/>
              <w:rPr>
                <w:sz w:val="18"/>
              </w:rPr>
            </w:pPr>
            <w:r w:rsidRPr="003B5EA4">
              <w:rPr>
                <w:sz w:val="18"/>
              </w:rPr>
              <w:t>AIEA</w:t>
            </w:r>
            <w:r w:rsidRPr="003B5EA4">
              <w:rPr>
                <w:i/>
                <w:sz w:val="18"/>
                <w:vertAlign w:val="superscript"/>
              </w:rPr>
              <w:t>c</w:t>
            </w:r>
            <w:r w:rsidRPr="003B5EA4">
              <w:rPr>
                <w:sz w:val="18"/>
                <w:vertAlign w:val="superscript"/>
              </w:rPr>
              <w:t xml:space="preserve">, </w:t>
            </w:r>
            <w:r w:rsidRPr="003B5EA4">
              <w:rPr>
                <w:i/>
                <w:sz w:val="18"/>
                <w:vertAlign w:val="superscript"/>
              </w:rPr>
              <w:t>d</w:t>
            </w:r>
          </w:p>
        </w:tc>
        <w:tc>
          <w:tcPr>
            <w:tcW w:w="647" w:type="dxa"/>
            <w:tcBorders>
              <w:top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68 186 740</w:t>
            </w:r>
          </w:p>
        </w:tc>
        <w:tc>
          <w:tcPr>
            <w:tcW w:w="2622" w:type="dxa"/>
            <w:tcBorders>
              <w:top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27 825 735</w:t>
            </w:r>
          </w:p>
        </w:tc>
        <w:tc>
          <w:tcPr>
            <w:tcW w:w="2580" w:type="dxa"/>
            <w:tcBorders>
              <w:top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40 361 005</w:t>
            </w:r>
          </w:p>
        </w:tc>
        <w:tc>
          <w:tcPr>
            <w:tcW w:w="1517" w:type="dxa"/>
            <w:tcBorders>
              <w:top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591 756 000</w:t>
            </w:r>
          </w:p>
        </w:tc>
        <w:tc>
          <w:tcPr>
            <w:tcW w:w="2514" w:type="dxa"/>
            <w:tcBorders>
              <w:top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11,52 %</w:t>
            </w:r>
          </w:p>
        </w:tc>
      </w:tr>
      <w:tr w:rsidR="0028277F" w:rsidRPr="003B5EA4" w:rsidTr="00F2483D">
        <w:tc>
          <w:tcPr>
            <w:tcW w:w="1345" w:type="dxa"/>
            <w:vMerge/>
            <w:shd w:val="clear" w:color="auto" w:fill="auto"/>
            <w:noWrap/>
          </w:tcPr>
          <w:p w:rsidR="00CE3812" w:rsidRPr="003B5EA4" w:rsidRDefault="00CE3812" w:rsidP="009958AA">
            <w:pPr>
              <w:suppressAutoHyphens w:val="0"/>
              <w:spacing w:before="40" w:after="40" w:line="220" w:lineRule="exact"/>
              <w:rPr>
                <w:sz w:val="18"/>
              </w:rPr>
            </w:pPr>
          </w:p>
        </w:tc>
        <w:tc>
          <w:tcPr>
            <w:tcW w:w="647"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73 225 977</w:t>
            </w:r>
          </w:p>
        </w:tc>
        <w:tc>
          <w:tcPr>
            <w:tcW w:w="2622"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28 651 305</w:t>
            </w:r>
          </w:p>
        </w:tc>
        <w:tc>
          <w:tcPr>
            <w:tcW w:w="2580"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44 574 672</w:t>
            </w:r>
          </w:p>
        </w:tc>
        <w:tc>
          <w:tcPr>
            <w:tcW w:w="1517"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606 003 000</w:t>
            </w:r>
          </w:p>
        </w:tc>
        <w:tc>
          <w:tcPr>
            <w:tcW w:w="2514"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12,08 %</w:t>
            </w:r>
          </w:p>
        </w:tc>
      </w:tr>
      <w:tr w:rsidR="0028277F" w:rsidRPr="003B5EA4" w:rsidTr="00F2483D">
        <w:tc>
          <w:tcPr>
            <w:tcW w:w="1345" w:type="dxa"/>
            <w:vMerge/>
            <w:shd w:val="clear" w:color="auto" w:fill="auto"/>
            <w:noWrap/>
          </w:tcPr>
          <w:p w:rsidR="00CE3812" w:rsidRPr="003B5EA4" w:rsidRDefault="00CE3812" w:rsidP="009958AA">
            <w:pPr>
              <w:suppressAutoHyphens w:val="0"/>
              <w:spacing w:before="40" w:after="40" w:line="220" w:lineRule="exact"/>
              <w:rPr>
                <w:sz w:val="18"/>
              </w:rPr>
            </w:pPr>
          </w:p>
        </w:tc>
        <w:tc>
          <w:tcPr>
            <w:tcW w:w="647"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71 899 375</w:t>
            </w:r>
          </w:p>
        </w:tc>
        <w:tc>
          <w:tcPr>
            <w:tcW w:w="2622"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27 443 707</w:t>
            </w:r>
          </w:p>
        </w:tc>
        <w:tc>
          <w:tcPr>
            <w:tcW w:w="2580"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44 455 669</w:t>
            </w:r>
          </w:p>
        </w:tc>
        <w:tc>
          <w:tcPr>
            <w:tcW w:w="1517"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578 573 000</w:t>
            </w:r>
          </w:p>
        </w:tc>
        <w:tc>
          <w:tcPr>
            <w:tcW w:w="2514" w:type="dxa"/>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12,43 %</w:t>
            </w:r>
          </w:p>
        </w:tc>
      </w:tr>
      <w:tr w:rsidR="0028277F" w:rsidRPr="003B5EA4" w:rsidTr="00F2483D">
        <w:tc>
          <w:tcPr>
            <w:tcW w:w="1345" w:type="dxa"/>
            <w:vMerge/>
            <w:shd w:val="clear" w:color="auto" w:fill="auto"/>
            <w:noWrap/>
          </w:tcPr>
          <w:p w:rsidR="00CE3812" w:rsidRPr="003B5EA4" w:rsidRDefault="00CE3812" w:rsidP="009958AA">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69 268 778</w:t>
            </w:r>
          </w:p>
        </w:tc>
        <w:tc>
          <w:tcPr>
            <w:tcW w:w="2622" w:type="dxa"/>
            <w:tcBorders>
              <w:bottom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24 696 327</w:t>
            </w:r>
          </w:p>
        </w:tc>
        <w:tc>
          <w:tcPr>
            <w:tcW w:w="2580" w:type="dxa"/>
            <w:tcBorders>
              <w:bottom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44 572 451</w:t>
            </w:r>
          </w:p>
        </w:tc>
        <w:tc>
          <w:tcPr>
            <w:tcW w:w="1517" w:type="dxa"/>
            <w:tcBorders>
              <w:bottom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570 544 000</w:t>
            </w:r>
          </w:p>
        </w:tc>
        <w:tc>
          <w:tcPr>
            <w:tcW w:w="2514" w:type="dxa"/>
            <w:tcBorders>
              <w:bottom w:val="single" w:sz="4" w:space="0" w:color="auto"/>
            </w:tcBorders>
            <w:shd w:val="clear" w:color="auto" w:fill="auto"/>
            <w:noWrap/>
            <w:vAlign w:val="bottom"/>
          </w:tcPr>
          <w:p w:rsidR="00CE3812" w:rsidRPr="003B5EA4" w:rsidRDefault="00CE3812" w:rsidP="009958AA">
            <w:pPr>
              <w:suppressAutoHyphens w:val="0"/>
              <w:spacing w:before="40" w:after="40" w:line="220" w:lineRule="exact"/>
              <w:jc w:val="right"/>
              <w:rPr>
                <w:sz w:val="18"/>
              </w:rPr>
            </w:pPr>
            <w:r w:rsidRPr="003B5EA4">
              <w:rPr>
                <w:sz w:val="18"/>
              </w:rPr>
              <w:t>12,14 %</w:t>
            </w:r>
          </w:p>
        </w:tc>
      </w:tr>
      <w:tr w:rsidR="0028277F" w:rsidRPr="003B5EA4" w:rsidTr="00F2483D">
        <w:tc>
          <w:tcPr>
            <w:tcW w:w="1345" w:type="dxa"/>
            <w:vMerge/>
            <w:shd w:val="clear" w:color="auto" w:fill="auto"/>
            <w:noWrap/>
          </w:tcPr>
          <w:p w:rsidR="00CE3812" w:rsidRPr="003B5EA4" w:rsidRDefault="00CE3812" w:rsidP="009958AA">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E3812" w:rsidRPr="003B5EA4" w:rsidRDefault="00CE3812" w:rsidP="009958AA">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E3812" w:rsidRPr="003B5EA4" w:rsidRDefault="00CE3812" w:rsidP="009958AA">
            <w:pPr>
              <w:suppressAutoHyphens w:val="0"/>
              <w:spacing w:before="80" w:after="80" w:line="220" w:lineRule="exact"/>
              <w:jc w:val="right"/>
              <w:rPr>
                <w:b/>
                <w:sz w:val="18"/>
              </w:rPr>
            </w:pPr>
            <w:r w:rsidRPr="003B5EA4">
              <w:rPr>
                <w:b/>
                <w:sz w:val="18"/>
              </w:rPr>
              <w:t>282 580 870</w:t>
            </w:r>
          </w:p>
        </w:tc>
        <w:tc>
          <w:tcPr>
            <w:tcW w:w="2622" w:type="dxa"/>
            <w:tcBorders>
              <w:top w:val="single" w:sz="4" w:space="0" w:color="auto"/>
              <w:bottom w:val="single" w:sz="4" w:space="0" w:color="auto"/>
            </w:tcBorders>
            <w:shd w:val="clear" w:color="auto" w:fill="auto"/>
            <w:noWrap/>
            <w:vAlign w:val="bottom"/>
          </w:tcPr>
          <w:p w:rsidR="00CE3812" w:rsidRPr="003B5EA4" w:rsidRDefault="00CE3812" w:rsidP="009958AA">
            <w:pPr>
              <w:suppressAutoHyphens w:val="0"/>
              <w:spacing w:before="80" w:after="80" w:line="220" w:lineRule="exact"/>
              <w:jc w:val="right"/>
              <w:rPr>
                <w:b/>
                <w:sz w:val="18"/>
              </w:rPr>
            </w:pPr>
            <w:r w:rsidRPr="003B5EA4">
              <w:rPr>
                <w:b/>
                <w:sz w:val="18"/>
              </w:rPr>
              <w:t>108 617 075</w:t>
            </w:r>
          </w:p>
        </w:tc>
        <w:tc>
          <w:tcPr>
            <w:tcW w:w="2580" w:type="dxa"/>
            <w:tcBorders>
              <w:top w:val="single" w:sz="4" w:space="0" w:color="auto"/>
              <w:bottom w:val="single" w:sz="4" w:space="0" w:color="auto"/>
            </w:tcBorders>
            <w:shd w:val="clear" w:color="auto" w:fill="auto"/>
            <w:noWrap/>
            <w:vAlign w:val="bottom"/>
          </w:tcPr>
          <w:p w:rsidR="00CE3812" w:rsidRPr="003B5EA4" w:rsidRDefault="00CE3812" w:rsidP="009958AA">
            <w:pPr>
              <w:suppressAutoHyphens w:val="0"/>
              <w:spacing w:before="80" w:after="80" w:line="220" w:lineRule="exact"/>
              <w:jc w:val="right"/>
              <w:rPr>
                <w:b/>
                <w:sz w:val="18"/>
              </w:rPr>
            </w:pPr>
            <w:r w:rsidRPr="003B5EA4">
              <w:rPr>
                <w:b/>
                <w:sz w:val="18"/>
              </w:rPr>
              <w:t>173 963 796</w:t>
            </w:r>
          </w:p>
        </w:tc>
        <w:tc>
          <w:tcPr>
            <w:tcW w:w="1517" w:type="dxa"/>
            <w:tcBorders>
              <w:top w:val="single" w:sz="4" w:space="0" w:color="auto"/>
              <w:bottom w:val="single" w:sz="4" w:space="0" w:color="auto"/>
            </w:tcBorders>
            <w:shd w:val="clear" w:color="auto" w:fill="auto"/>
            <w:noWrap/>
            <w:vAlign w:val="bottom"/>
          </w:tcPr>
          <w:p w:rsidR="00CE3812" w:rsidRPr="003B5EA4" w:rsidRDefault="00CE3812" w:rsidP="009958AA">
            <w:pPr>
              <w:suppressAutoHyphens w:val="0"/>
              <w:spacing w:before="80" w:after="80" w:line="220" w:lineRule="exact"/>
              <w:jc w:val="right"/>
              <w:rPr>
                <w:b/>
                <w:sz w:val="18"/>
              </w:rPr>
            </w:pPr>
            <w:r w:rsidRPr="003B5EA4">
              <w:rPr>
                <w:b/>
                <w:sz w:val="18"/>
              </w:rPr>
              <w:t>2 346 876 000</w:t>
            </w:r>
          </w:p>
        </w:tc>
        <w:tc>
          <w:tcPr>
            <w:tcW w:w="2514" w:type="dxa"/>
            <w:tcBorders>
              <w:top w:val="single" w:sz="4" w:space="0" w:color="auto"/>
              <w:bottom w:val="single" w:sz="4" w:space="0" w:color="auto"/>
            </w:tcBorders>
            <w:shd w:val="clear" w:color="auto" w:fill="auto"/>
            <w:noWrap/>
            <w:vAlign w:val="bottom"/>
          </w:tcPr>
          <w:p w:rsidR="00CE3812" w:rsidRPr="003B5EA4" w:rsidRDefault="00CE3812" w:rsidP="009958AA">
            <w:pPr>
              <w:suppressAutoHyphens w:val="0"/>
              <w:spacing w:before="80" w:after="80" w:line="220" w:lineRule="exact"/>
              <w:jc w:val="right"/>
              <w:rPr>
                <w:b/>
                <w:sz w:val="18"/>
              </w:rPr>
            </w:pPr>
            <w:r w:rsidRPr="003B5EA4">
              <w:rPr>
                <w:b/>
                <w:sz w:val="18"/>
              </w:rPr>
              <w:t>12,04 %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CCI</w:t>
            </w:r>
            <w:r w:rsidR="00D17480" w:rsidRPr="003B5EA4">
              <w:rPr>
                <w:sz w:val="18"/>
              </w:rPr>
              <w:t>*</w:t>
            </w:r>
            <w:r w:rsidRPr="003B5EA4">
              <w:rPr>
                <w:i/>
                <w:sz w:val="18"/>
                <w:vertAlign w:val="superscript"/>
              </w:rPr>
              <w:t>f</w:t>
            </w:r>
            <w:r w:rsidR="00F97AEF" w:rsidRPr="003B5EA4">
              <w:rPr>
                <w:sz w:val="18"/>
                <w:vertAlign w:val="superscript"/>
              </w:rPr>
              <w:t>,</w:t>
            </w:r>
            <w:r w:rsidRPr="003B5EA4">
              <w:rPr>
                <w:i/>
                <w:sz w:val="18"/>
                <w:vertAlign w:val="superscript"/>
              </w:rPr>
              <w:t xml:space="preserve"> g</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4 032 562</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2 116 064</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1 916 498</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76 227 000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5,29</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3 967 366</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2 238 975</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1 728 391</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79 353 000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5,00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4 506 480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2 541 388</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1 965 093</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101 872 000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4,42</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4 537 770</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2 595 670</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1 942 101</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102 654 000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4,42</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17 044 178</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9 492 097</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7 552 082</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360 106 000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4,73</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FAO</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115 950 000</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40 430 000</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75 520 000</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1 343 398 000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8,63</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115 630 000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37 470 000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78 160 000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1 379 994 000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8,38</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115 370 000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33 500 000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81 870 000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1 245 513 000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9,26</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113 200 000</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31 120 000</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82 080 000</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1 219 235 000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9,28</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460 150 000</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142 520 000</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317 630 000</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5 188 140 000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8,87</w:t>
            </w:r>
            <w:r w:rsidR="00947206" w:rsidRPr="003B5EA4">
              <w:rPr>
                <w:b/>
                <w:sz w:val="18"/>
              </w:rPr>
              <w:t> %</w:t>
            </w:r>
          </w:p>
        </w:tc>
      </w:tr>
      <w:tr w:rsidR="0028277F" w:rsidRPr="003B5EA4" w:rsidTr="00F2483D">
        <w:tc>
          <w:tcPr>
            <w:tcW w:w="1345" w:type="dxa"/>
            <w:vMerge w:val="restart"/>
            <w:shd w:val="clear" w:color="auto" w:fill="auto"/>
            <w:noWrap/>
          </w:tcPr>
          <w:p w:rsidR="008C6D65" w:rsidRPr="003B5EA4" w:rsidRDefault="008C6D65" w:rsidP="009958AA">
            <w:pPr>
              <w:suppressAutoHyphens w:val="0"/>
              <w:spacing w:before="40" w:after="40" w:line="220" w:lineRule="exact"/>
              <w:rPr>
                <w:sz w:val="18"/>
              </w:rPr>
            </w:pPr>
            <w:r w:rsidRPr="003B5EA4">
              <w:rPr>
                <w:sz w:val="18"/>
              </w:rPr>
              <w:t>FNUAP</w:t>
            </w:r>
            <w:r w:rsidRPr="003B5EA4">
              <w:rPr>
                <w:i/>
                <w:sz w:val="18"/>
                <w:vertAlign w:val="superscript"/>
              </w:rPr>
              <w:t>j</w:t>
            </w:r>
          </w:p>
        </w:tc>
        <w:tc>
          <w:tcPr>
            <w:tcW w:w="647" w:type="dxa"/>
            <w:tcBorders>
              <w:top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78 850 000</w:t>
            </w:r>
          </w:p>
        </w:tc>
        <w:tc>
          <w:tcPr>
            <w:tcW w:w="2622" w:type="dxa"/>
            <w:tcBorders>
              <w:top w:val="single" w:sz="4" w:space="0" w:color="auto"/>
            </w:tcBorders>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810 711 000</w:t>
            </w:r>
          </w:p>
        </w:tc>
        <w:tc>
          <w:tcPr>
            <w:tcW w:w="2514" w:type="dxa"/>
            <w:tcBorders>
              <w:top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9,73 %</w:t>
            </w:r>
          </w:p>
        </w:tc>
      </w:tr>
      <w:tr w:rsidR="0028277F" w:rsidRPr="003B5EA4" w:rsidTr="00F2483D">
        <w:tc>
          <w:tcPr>
            <w:tcW w:w="1345" w:type="dxa"/>
            <w:vMerge/>
            <w:shd w:val="clear" w:color="auto" w:fill="auto"/>
            <w:noWrap/>
          </w:tcPr>
          <w:p w:rsidR="008C6D65" w:rsidRPr="003B5EA4" w:rsidRDefault="008C6D65" w:rsidP="009958AA">
            <w:pPr>
              <w:suppressAutoHyphens w:val="0"/>
              <w:spacing w:before="40" w:after="40" w:line="220" w:lineRule="exact"/>
              <w:rPr>
                <w:sz w:val="18"/>
              </w:rPr>
            </w:pPr>
          </w:p>
        </w:tc>
        <w:tc>
          <w:tcPr>
            <w:tcW w:w="647"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85 256 000</w:t>
            </w:r>
          </w:p>
        </w:tc>
        <w:tc>
          <w:tcPr>
            <w:tcW w:w="2622" w:type="dxa"/>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2580" w:type="dxa"/>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913 340 000</w:t>
            </w:r>
          </w:p>
        </w:tc>
        <w:tc>
          <w:tcPr>
            <w:tcW w:w="2514"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9,33 %</w:t>
            </w:r>
          </w:p>
        </w:tc>
      </w:tr>
      <w:tr w:rsidR="0028277F" w:rsidRPr="003B5EA4" w:rsidTr="00F2483D">
        <w:tc>
          <w:tcPr>
            <w:tcW w:w="1345" w:type="dxa"/>
            <w:vMerge/>
            <w:shd w:val="clear" w:color="auto" w:fill="auto"/>
            <w:noWrap/>
          </w:tcPr>
          <w:p w:rsidR="008C6D65" w:rsidRPr="003B5EA4" w:rsidRDefault="008C6D65" w:rsidP="009958AA">
            <w:pPr>
              <w:suppressAutoHyphens w:val="0"/>
              <w:spacing w:before="40" w:after="40" w:line="220" w:lineRule="exact"/>
              <w:rPr>
                <w:sz w:val="18"/>
              </w:rPr>
            </w:pPr>
          </w:p>
        </w:tc>
        <w:tc>
          <w:tcPr>
            <w:tcW w:w="647"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83 139 000</w:t>
            </w:r>
          </w:p>
        </w:tc>
        <w:tc>
          <w:tcPr>
            <w:tcW w:w="2622" w:type="dxa"/>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2580" w:type="dxa"/>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1 002 115 000</w:t>
            </w:r>
          </w:p>
        </w:tc>
        <w:tc>
          <w:tcPr>
            <w:tcW w:w="2514" w:type="dxa"/>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8,30 %</w:t>
            </w:r>
          </w:p>
        </w:tc>
      </w:tr>
      <w:tr w:rsidR="0028277F" w:rsidRPr="003B5EA4" w:rsidTr="00F2483D">
        <w:tc>
          <w:tcPr>
            <w:tcW w:w="1345" w:type="dxa"/>
            <w:vMerge/>
            <w:shd w:val="clear" w:color="auto" w:fill="auto"/>
            <w:noWrap/>
          </w:tcPr>
          <w:p w:rsidR="008C6D65" w:rsidRPr="003B5EA4" w:rsidRDefault="008C6D65" w:rsidP="009958AA">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69 251 000</w:t>
            </w:r>
          </w:p>
        </w:tc>
        <w:tc>
          <w:tcPr>
            <w:tcW w:w="2622" w:type="dxa"/>
            <w:tcBorders>
              <w:bottom w:val="single" w:sz="4" w:space="0" w:color="auto"/>
            </w:tcBorders>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8C6D65" w:rsidRPr="003B5EA4" w:rsidRDefault="008C6D65" w:rsidP="009958AA">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977 376 000</w:t>
            </w:r>
          </w:p>
        </w:tc>
        <w:tc>
          <w:tcPr>
            <w:tcW w:w="2514" w:type="dxa"/>
            <w:tcBorders>
              <w:bottom w:val="single" w:sz="4" w:space="0" w:color="auto"/>
            </w:tcBorders>
            <w:shd w:val="clear" w:color="auto" w:fill="auto"/>
            <w:noWrap/>
            <w:vAlign w:val="bottom"/>
          </w:tcPr>
          <w:p w:rsidR="008C6D65" w:rsidRPr="003B5EA4" w:rsidRDefault="008C6D65" w:rsidP="009958AA">
            <w:pPr>
              <w:suppressAutoHyphens w:val="0"/>
              <w:spacing w:before="40" w:after="40" w:line="220" w:lineRule="exact"/>
              <w:jc w:val="right"/>
              <w:rPr>
                <w:sz w:val="18"/>
              </w:rPr>
            </w:pPr>
            <w:r w:rsidRPr="003B5EA4">
              <w:rPr>
                <w:sz w:val="18"/>
              </w:rPr>
              <w:t>7,09 %</w:t>
            </w:r>
          </w:p>
        </w:tc>
      </w:tr>
      <w:tr w:rsidR="0028277F" w:rsidRPr="003B5EA4" w:rsidTr="00F2483D">
        <w:tc>
          <w:tcPr>
            <w:tcW w:w="1345" w:type="dxa"/>
            <w:vMerge/>
            <w:shd w:val="clear" w:color="auto" w:fill="auto"/>
            <w:noWrap/>
          </w:tcPr>
          <w:p w:rsidR="008C6D65" w:rsidRPr="003B5EA4" w:rsidRDefault="008C6D65" w:rsidP="009958AA">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8C6D65" w:rsidRPr="003B5EA4" w:rsidRDefault="008C6D65" w:rsidP="009958AA">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8C6D65" w:rsidRPr="003B5EA4" w:rsidRDefault="008C6D65" w:rsidP="009958AA">
            <w:pPr>
              <w:suppressAutoHyphens w:val="0"/>
              <w:spacing w:before="80" w:after="80" w:line="220" w:lineRule="exact"/>
              <w:jc w:val="right"/>
              <w:rPr>
                <w:b/>
                <w:sz w:val="18"/>
              </w:rPr>
            </w:pPr>
            <w:r w:rsidRPr="003B5EA4">
              <w:rPr>
                <w:b/>
                <w:sz w:val="18"/>
              </w:rPr>
              <w:t>316 496 000</w:t>
            </w:r>
          </w:p>
        </w:tc>
        <w:tc>
          <w:tcPr>
            <w:tcW w:w="2622" w:type="dxa"/>
            <w:tcBorders>
              <w:top w:val="single" w:sz="4" w:space="0" w:color="auto"/>
              <w:bottom w:val="single" w:sz="4" w:space="0" w:color="auto"/>
            </w:tcBorders>
            <w:shd w:val="clear" w:color="auto" w:fill="auto"/>
            <w:noWrap/>
            <w:vAlign w:val="bottom"/>
          </w:tcPr>
          <w:p w:rsidR="008C6D65" w:rsidRPr="003B5EA4" w:rsidRDefault="008C6D65" w:rsidP="009958AA">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8C6D65" w:rsidRPr="003B5EA4" w:rsidRDefault="008C6D65" w:rsidP="009958AA">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8C6D65" w:rsidRPr="003B5EA4" w:rsidRDefault="008C6D65" w:rsidP="009958AA">
            <w:pPr>
              <w:suppressAutoHyphens w:val="0"/>
              <w:spacing w:before="80" w:after="80" w:line="220" w:lineRule="exact"/>
              <w:jc w:val="right"/>
              <w:rPr>
                <w:b/>
                <w:sz w:val="18"/>
              </w:rPr>
            </w:pPr>
            <w:r w:rsidRPr="003B5EA4">
              <w:rPr>
                <w:b/>
                <w:sz w:val="18"/>
              </w:rPr>
              <w:t>3 703 542 000</w:t>
            </w:r>
          </w:p>
        </w:tc>
        <w:tc>
          <w:tcPr>
            <w:tcW w:w="2514" w:type="dxa"/>
            <w:tcBorders>
              <w:top w:val="single" w:sz="4" w:space="0" w:color="auto"/>
              <w:bottom w:val="single" w:sz="4" w:space="0" w:color="auto"/>
            </w:tcBorders>
            <w:shd w:val="clear" w:color="auto" w:fill="auto"/>
            <w:noWrap/>
            <w:vAlign w:val="bottom"/>
          </w:tcPr>
          <w:p w:rsidR="008C6D65" w:rsidRPr="003B5EA4" w:rsidRDefault="008C6D65" w:rsidP="009958AA">
            <w:pPr>
              <w:suppressAutoHyphens w:val="0"/>
              <w:spacing w:before="80" w:after="80" w:line="220" w:lineRule="exact"/>
              <w:jc w:val="right"/>
              <w:rPr>
                <w:b/>
                <w:sz w:val="18"/>
              </w:rPr>
            </w:pPr>
            <w:r w:rsidRPr="003B5EA4">
              <w:rPr>
                <w:b/>
                <w:sz w:val="18"/>
              </w:rPr>
              <w:t>8,55 %</w:t>
            </w:r>
          </w:p>
        </w:tc>
      </w:tr>
      <w:tr w:rsidR="00AF3DAD" w:rsidRPr="003B5EA4" w:rsidTr="00032AFA">
        <w:tc>
          <w:tcPr>
            <w:tcW w:w="1345" w:type="dxa"/>
            <w:vMerge w:val="restart"/>
            <w:tcBorders>
              <w:top w:val="single" w:sz="4" w:space="0" w:color="auto"/>
            </w:tcBorders>
            <w:shd w:val="clear" w:color="auto" w:fill="auto"/>
            <w:noWrap/>
          </w:tcPr>
          <w:p w:rsidR="00AF3DAD" w:rsidRPr="003B5EA4" w:rsidRDefault="00AF3DAD" w:rsidP="00032AFA">
            <w:pPr>
              <w:keepNext/>
              <w:suppressAutoHyphens w:val="0"/>
              <w:spacing w:before="40" w:after="40" w:line="220" w:lineRule="exact"/>
              <w:rPr>
                <w:sz w:val="18"/>
              </w:rPr>
            </w:pPr>
            <w:r w:rsidRPr="003B5EA4">
              <w:rPr>
                <w:sz w:val="18"/>
              </w:rPr>
              <w:lastRenderedPageBreak/>
              <w:t>HCR</w:t>
            </w:r>
          </w:p>
        </w:tc>
        <w:tc>
          <w:tcPr>
            <w:tcW w:w="647" w:type="dxa"/>
            <w:tcBorders>
              <w:top w:val="single" w:sz="4" w:space="0" w:color="auto"/>
            </w:tcBorders>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53 171 087</w:t>
            </w:r>
          </w:p>
        </w:tc>
        <w:tc>
          <w:tcPr>
            <w:tcW w:w="2622" w:type="dxa"/>
            <w:tcBorders>
              <w:top w:val="single" w:sz="4" w:space="0" w:color="auto"/>
            </w:tcBorders>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51 608 958</w:t>
            </w:r>
          </w:p>
        </w:tc>
        <w:tc>
          <w:tcPr>
            <w:tcW w:w="2580" w:type="dxa"/>
            <w:tcBorders>
              <w:top w:val="single" w:sz="4" w:space="0" w:color="auto"/>
            </w:tcBorders>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1 562 129</w:t>
            </w:r>
          </w:p>
        </w:tc>
        <w:tc>
          <w:tcPr>
            <w:tcW w:w="1517" w:type="dxa"/>
            <w:tcBorders>
              <w:top w:val="single" w:sz="4" w:space="0" w:color="auto"/>
            </w:tcBorders>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2 305 929 000</w:t>
            </w:r>
          </w:p>
        </w:tc>
        <w:tc>
          <w:tcPr>
            <w:tcW w:w="2514" w:type="dxa"/>
            <w:tcBorders>
              <w:top w:val="single" w:sz="4" w:space="0" w:color="auto"/>
            </w:tcBorders>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2,31 %</w:t>
            </w:r>
          </w:p>
        </w:tc>
      </w:tr>
      <w:tr w:rsidR="00AF3DAD" w:rsidRPr="003B5EA4" w:rsidTr="00032AFA">
        <w:tc>
          <w:tcPr>
            <w:tcW w:w="1345" w:type="dxa"/>
            <w:vMerge/>
            <w:shd w:val="clear" w:color="auto" w:fill="auto"/>
            <w:noWrap/>
          </w:tcPr>
          <w:p w:rsidR="00AF3DAD" w:rsidRPr="003B5EA4" w:rsidRDefault="00AF3DAD" w:rsidP="00032AFA">
            <w:pPr>
              <w:keepNext/>
              <w:suppressAutoHyphens w:val="0"/>
              <w:spacing w:before="40" w:after="40" w:line="220" w:lineRule="exact"/>
              <w:rPr>
                <w:sz w:val="18"/>
              </w:rPr>
            </w:pPr>
          </w:p>
        </w:tc>
        <w:tc>
          <w:tcPr>
            <w:tcW w:w="647" w:type="dxa"/>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55 691 661</w:t>
            </w:r>
          </w:p>
        </w:tc>
        <w:tc>
          <w:tcPr>
            <w:tcW w:w="2622" w:type="dxa"/>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53 792 345</w:t>
            </w:r>
          </w:p>
        </w:tc>
        <w:tc>
          <w:tcPr>
            <w:tcW w:w="2580" w:type="dxa"/>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1 899 316</w:t>
            </w:r>
          </w:p>
        </w:tc>
        <w:tc>
          <w:tcPr>
            <w:tcW w:w="1517" w:type="dxa"/>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2 704 187 000</w:t>
            </w:r>
          </w:p>
        </w:tc>
        <w:tc>
          <w:tcPr>
            <w:tcW w:w="2514" w:type="dxa"/>
            <w:shd w:val="clear" w:color="auto" w:fill="auto"/>
            <w:noWrap/>
            <w:vAlign w:val="bottom"/>
          </w:tcPr>
          <w:p w:rsidR="00AF3DAD" w:rsidRPr="003B5EA4" w:rsidRDefault="00AF3DAD" w:rsidP="00032AFA">
            <w:pPr>
              <w:keepNext/>
              <w:suppressAutoHyphens w:val="0"/>
              <w:spacing w:before="40" w:after="40" w:line="220" w:lineRule="exact"/>
              <w:jc w:val="right"/>
              <w:rPr>
                <w:sz w:val="18"/>
              </w:rPr>
            </w:pPr>
            <w:r w:rsidRPr="003B5EA4">
              <w:rPr>
                <w:sz w:val="18"/>
              </w:rPr>
              <w:t>2,06 %</w:t>
            </w:r>
          </w:p>
        </w:tc>
      </w:tr>
      <w:tr w:rsidR="00AF3DAD" w:rsidRPr="003B5EA4" w:rsidTr="00032AFA">
        <w:tc>
          <w:tcPr>
            <w:tcW w:w="1345" w:type="dxa"/>
            <w:vMerge/>
            <w:shd w:val="clear" w:color="auto" w:fill="auto"/>
            <w:noWrap/>
          </w:tcPr>
          <w:p w:rsidR="00AF3DAD" w:rsidRPr="003B5EA4" w:rsidRDefault="00AF3DAD" w:rsidP="00032AFA">
            <w:pPr>
              <w:suppressAutoHyphens w:val="0"/>
              <w:spacing w:before="40" w:after="40" w:line="220" w:lineRule="exact"/>
              <w:rPr>
                <w:sz w:val="18"/>
              </w:rPr>
            </w:pPr>
          </w:p>
        </w:tc>
        <w:tc>
          <w:tcPr>
            <w:tcW w:w="647" w:type="dxa"/>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58 402 289</w:t>
            </w:r>
          </w:p>
        </w:tc>
        <w:tc>
          <w:tcPr>
            <w:tcW w:w="2622" w:type="dxa"/>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55 701 318</w:t>
            </w:r>
          </w:p>
        </w:tc>
        <w:tc>
          <w:tcPr>
            <w:tcW w:w="2580" w:type="dxa"/>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2 700 971</w:t>
            </w:r>
          </w:p>
        </w:tc>
        <w:tc>
          <w:tcPr>
            <w:tcW w:w="1517" w:type="dxa"/>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3 360 494 000</w:t>
            </w:r>
          </w:p>
        </w:tc>
        <w:tc>
          <w:tcPr>
            <w:tcW w:w="2514" w:type="dxa"/>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1,74 %</w:t>
            </w:r>
          </w:p>
        </w:tc>
      </w:tr>
      <w:tr w:rsidR="00AF3DAD" w:rsidRPr="003B5EA4" w:rsidTr="00032AFA">
        <w:tc>
          <w:tcPr>
            <w:tcW w:w="1345" w:type="dxa"/>
            <w:vMerge/>
            <w:shd w:val="clear" w:color="auto" w:fill="auto"/>
            <w:noWrap/>
          </w:tcPr>
          <w:p w:rsidR="00AF3DAD" w:rsidRPr="003B5EA4" w:rsidRDefault="00AF3DAD" w:rsidP="00032AFA">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55 996 705</w:t>
            </w:r>
          </w:p>
        </w:tc>
        <w:tc>
          <w:tcPr>
            <w:tcW w:w="2622" w:type="dxa"/>
            <w:tcBorders>
              <w:bottom w:val="single" w:sz="4" w:space="0" w:color="auto"/>
            </w:tcBorders>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53 163 836</w:t>
            </w:r>
          </w:p>
        </w:tc>
        <w:tc>
          <w:tcPr>
            <w:tcW w:w="2580" w:type="dxa"/>
            <w:tcBorders>
              <w:bottom w:val="single" w:sz="4" w:space="0" w:color="auto"/>
            </w:tcBorders>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2 838 869</w:t>
            </w:r>
          </w:p>
        </w:tc>
        <w:tc>
          <w:tcPr>
            <w:tcW w:w="1517" w:type="dxa"/>
            <w:tcBorders>
              <w:bottom w:val="single" w:sz="4" w:space="0" w:color="auto"/>
            </w:tcBorders>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3 278 872 000</w:t>
            </w:r>
          </w:p>
        </w:tc>
        <w:tc>
          <w:tcPr>
            <w:tcW w:w="2514" w:type="dxa"/>
            <w:tcBorders>
              <w:bottom w:val="single" w:sz="4" w:space="0" w:color="auto"/>
            </w:tcBorders>
            <w:shd w:val="clear" w:color="auto" w:fill="auto"/>
            <w:noWrap/>
            <w:vAlign w:val="bottom"/>
          </w:tcPr>
          <w:p w:rsidR="00AF3DAD" w:rsidRPr="003B5EA4" w:rsidRDefault="00AF3DAD" w:rsidP="00032AFA">
            <w:pPr>
              <w:suppressAutoHyphens w:val="0"/>
              <w:spacing w:before="40" w:after="40" w:line="220" w:lineRule="exact"/>
              <w:jc w:val="right"/>
              <w:rPr>
                <w:sz w:val="18"/>
              </w:rPr>
            </w:pPr>
            <w:r w:rsidRPr="003B5EA4">
              <w:rPr>
                <w:sz w:val="18"/>
              </w:rPr>
              <w:t>1,71 %</w:t>
            </w:r>
          </w:p>
        </w:tc>
      </w:tr>
      <w:tr w:rsidR="00AF3DAD" w:rsidRPr="003B5EA4" w:rsidTr="00032AFA">
        <w:tc>
          <w:tcPr>
            <w:tcW w:w="1345" w:type="dxa"/>
            <w:vMerge/>
            <w:shd w:val="clear" w:color="auto" w:fill="auto"/>
            <w:noWrap/>
          </w:tcPr>
          <w:p w:rsidR="00AF3DAD" w:rsidRPr="003B5EA4" w:rsidRDefault="00AF3DAD" w:rsidP="00032AFA">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AF3DAD" w:rsidRPr="003B5EA4" w:rsidRDefault="00AF3DAD" w:rsidP="00032AFA">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AF3DAD" w:rsidRPr="003B5EA4" w:rsidRDefault="00AF3DAD" w:rsidP="00032AFA">
            <w:pPr>
              <w:suppressAutoHyphens w:val="0"/>
              <w:spacing w:before="80" w:after="80" w:line="220" w:lineRule="exact"/>
              <w:jc w:val="right"/>
              <w:rPr>
                <w:b/>
                <w:sz w:val="18"/>
              </w:rPr>
            </w:pPr>
            <w:r w:rsidRPr="003B5EA4">
              <w:rPr>
                <w:b/>
                <w:sz w:val="18"/>
              </w:rPr>
              <w:t>223 261 742</w:t>
            </w:r>
          </w:p>
        </w:tc>
        <w:tc>
          <w:tcPr>
            <w:tcW w:w="2622" w:type="dxa"/>
            <w:tcBorders>
              <w:top w:val="single" w:sz="4" w:space="0" w:color="auto"/>
              <w:bottom w:val="single" w:sz="4" w:space="0" w:color="auto"/>
            </w:tcBorders>
            <w:shd w:val="clear" w:color="auto" w:fill="auto"/>
            <w:noWrap/>
            <w:vAlign w:val="bottom"/>
          </w:tcPr>
          <w:p w:rsidR="00AF3DAD" w:rsidRPr="003B5EA4" w:rsidRDefault="00AF3DAD" w:rsidP="00032AFA">
            <w:pPr>
              <w:suppressAutoHyphens w:val="0"/>
              <w:spacing w:before="80" w:after="80" w:line="220" w:lineRule="exact"/>
              <w:jc w:val="right"/>
              <w:rPr>
                <w:b/>
                <w:sz w:val="18"/>
              </w:rPr>
            </w:pPr>
            <w:r w:rsidRPr="003B5EA4">
              <w:rPr>
                <w:b/>
                <w:sz w:val="18"/>
              </w:rPr>
              <w:t>214 266 457</w:t>
            </w:r>
          </w:p>
        </w:tc>
        <w:tc>
          <w:tcPr>
            <w:tcW w:w="2580" w:type="dxa"/>
            <w:tcBorders>
              <w:top w:val="single" w:sz="4" w:space="0" w:color="auto"/>
              <w:bottom w:val="single" w:sz="4" w:space="0" w:color="auto"/>
            </w:tcBorders>
            <w:shd w:val="clear" w:color="auto" w:fill="auto"/>
            <w:noWrap/>
            <w:vAlign w:val="bottom"/>
          </w:tcPr>
          <w:p w:rsidR="00AF3DAD" w:rsidRPr="003B5EA4" w:rsidRDefault="00AF3DAD" w:rsidP="00032AFA">
            <w:pPr>
              <w:suppressAutoHyphens w:val="0"/>
              <w:spacing w:before="80" w:after="80" w:line="220" w:lineRule="exact"/>
              <w:jc w:val="right"/>
              <w:rPr>
                <w:b/>
                <w:sz w:val="18"/>
              </w:rPr>
            </w:pPr>
            <w:r w:rsidRPr="003B5EA4">
              <w:rPr>
                <w:b/>
                <w:sz w:val="18"/>
              </w:rPr>
              <w:t>8 995 285</w:t>
            </w:r>
          </w:p>
        </w:tc>
        <w:tc>
          <w:tcPr>
            <w:tcW w:w="1517" w:type="dxa"/>
            <w:tcBorders>
              <w:top w:val="single" w:sz="4" w:space="0" w:color="auto"/>
              <w:bottom w:val="single" w:sz="4" w:space="0" w:color="auto"/>
            </w:tcBorders>
            <w:shd w:val="clear" w:color="auto" w:fill="auto"/>
            <w:noWrap/>
            <w:vAlign w:val="bottom"/>
          </w:tcPr>
          <w:p w:rsidR="00AF3DAD" w:rsidRPr="003B5EA4" w:rsidRDefault="00AF3DAD" w:rsidP="00032AFA">
            <w:pPr>
              <w:suppressAutoHyphens w:val="0"/>
              <w:spacing w:before="80" w:after="80" w:line="220" w:lineRule="exact"/>
              <w:jc w:val="right"/>
              <w:rPr>
                <w:b/>
                <w:sz w:val="18"/>
              </w:rPr>
            </w:pPr>
            <w:r w:rsidRPr="003B5EA4">
              <w:rPr>
                <w:b/>
                <w:sz w:val="18"/>
              </w:rPr>
              <w:t>11 649 482 000</w:t>
            </w:r>
          </w:p>
        </w:tc>
        <w:tc>
          <w:tcPr>
            <w:tcW w:w="2514" w:type="dxa"/>
            <w:tcBorders>
              <w:top w:val="single" w:sz="4" w:space="0" w:color="auto"/>
              <w:bottom w:val="single" w:sz="4" w:space="0" w:color="auto"/>
            </w:tcBorders>
            <w:shd w:val="clear" w:color="auto" w:fill="auto"/>
            <w:noWrap/>
            <w:vAlign w:val="bottom"/>
          </w:tcPr>
          <w:p w:rsidR="00AF3DAD" w:rsidRPr="003B5EA4" w:rsidRDefault="00AF3DAD" w:rsidP="00032AFA">
            <w:pPr>
              <w:suppressAutoHyphens w:val="0"/>
              <w:spacing w:before="80" w:after="80" w:line="220" w:lineRule="exact"/>
              <w:jc w:val="right"/>
              <w:rPr>
                <w:b/>
                <w:sz w:val="18"/>
              </w:rPr>
            </w:pPr>
            <w:r w:rsidRPr="003B5EA4">
              <w:rPr>
                <w:b/>
                <w:sz w:val="18"/>
              </w:rPr>
              <w:t>1,92 %</w:t>
            </w:r>
          </w:p>
        </w:tc>
      </w:tr>
      <w:tr w:rsidR="000E6C13" w:rsidRPr="003B5EA4" w:rsidTr="00F2483D">
        <w:tc>
          <w:tcPr>
            <w:tcW w:w="1345" w:type="dxa"/>
            <w:vMerge w:val="restart"/>
            <w:shd w:val="clear" w:color="auto" w:fill="auto"/>
            <w:noWrap/>
          </w:tcPr>
          <w:p w:rsidR="000E6C13" w:rsidRPr="003B5EA4" w:rsidRDefault="000E6C13" w:rsidP="000E6C13">
            <w:pPr>
              <w:suppressAutoHyphens w:val="0"/>
              <w:spacing w:before="40" w:after="40" w:line="220" w:lineRule="exact"/>
              <w:rPr>
                <w:sz w:val="18"/>
              </w:rPr>
            </w:pPr>
            <w:r w:rsidRPr="003B5EA4">
              <w:rPr>
                <w:sz w:val="18"/>
              </w:rPr>
              <w:t>OACI</w:t>
            </w:r>
          </w:p>
        </w:tc>
        <w:tc>
          <w:tcPr>
            <w:tcW w:w="647" w:type="dxa"/>
            <w:tcBorders>
              <w:top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13 200 000</w:t>
            </w:r>
          </w:p>
        </w:tc>
        <w:tc>
          <w:tcPr>
            <w:tcW w:w="2622" w:type="dxa"/>
            <w:tcBorders>
              <w:top w:val="single" w:sz="4" w:space="0" w:color="auto"/>
            </w:tcBorders>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220 499 000</w:t>
            </w:r>
          </w:p>
        </w:tc>
        <w:tc>
          <w:tcPr>
            <w:tcW w:w="2514" w:type="dxa"/>
            <w:tcBorders>
              <w:top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5,99 %</w:t>
            </w:r>
          </w:p>
        </w:tc>
      </w:tr>
      <w:tr w:rsidR="000E6C13" w:rsidRPr="003B5EA4" w:rsidTr="00F2483D">
        <w:tc>
          <w:tcPr>
            <w:tcW w:w="1345" w:type="dxa"/>
            <w:vMerge/>
            <w:shd w:val="clear" w:color="auto" w:fill="auto"/>
            <w:noWrap/>
          </w:tcPr>
          <w:p w:rsidR="000E6C13" w:rsidRPr="003B5EA4" w:rsidRDefault="000E6C13" w:rsidP="000E6C13">
            <w:pPr>
              <w:suppressAutoHyphens w:val="0"/>
              <w:spacing w:before="40" w:after="40" w:line="220" w:lineRule="exact"/>
              <w:rPr>
                <w:sz w:val="18"/>
              </w:rPr>
            </w:pPr>
          </w:p>
        </w:tc>
        <w:tc>
          <w:tcPr>
            <w:tcW w:w="647"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12 500 000</w:t>
            </w:r>
          </w:p>
        </w:tc>
        <w:tc>
          <w:tcPr>
            <w:tcW w:w="2622" w:type="dxa"/>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2580" w:type="dxa"/>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248 662 000</w:t>
            </w:r>
          </w:p>
        </w:tc>
        <w:tc>
          <w:tcPr>
            <w:tcW w:w="2514"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5,03 %</w:t>
            </w:r>
          </w:p>
        </w:tc>
      </w:tr>
      <w:tr w:rsidR="000E6C13" w:rsidRPr="003B5EA4" w:rsidTr="00F2483D">
        <w:tc>
          <w:tcPr>
            <w:tcW w:w="1345" w:type="dxa"/>
            <w:vMerge/>
            <w:shd w:val="clear" w:color="auto" w:fill="auto"/>
            <w:noWrap/>
          </w:tcPr>
          <w:p w:rsidR="000E6C13" w:rsidRPr="003B5EA4" w:rsidRDefault="000E6C13" w:rsidP="000E6C13">
            <w:pPr>
              <w:suppressAutoHyphens w:val="0"/>
              <w:spacing w:before="40" w:after="40" w:line="220" w:lineRule="exact"/>
              <w:rPr>
                <w:sz w:val="18"/>
              </w:rPr>
            </w:pPr>
          </w:p>
        </w:tc>
        <w:tc>
          <w:tcPr>
            <w:tcW w:w="647"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13 300 000</w:t>
            </w:r>
          </w:p>
        </w:tc>
        <w:tc>
          <w:tcPr>
            <w:tcW w:w="2622" w:type="dxa"/>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2580" w:type="dxa"/>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222 195 000</w:t>
            </w:r>
          </w:p>
        </w:tc>
        <w:tc>
          <w:tcPr>
            <w:tcW w:w="2514"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5,99 %</w:t>
            </w:r>
          </w:p>
        </w:tc>
      </w:tr>
      <w:tr w:rsidR="000E6C13" w:rsidRPr="003B5EA4" w:rsidTr="00F2483D">
        <w:tc>
          <w:tcPr>
            <w:tcW w:w="1345" w:type="dxa"/>
            <w:vMerge/>
            <w:shd w:val="clear" w:color="auto" w:fill="auto"/>
            <w:noWrap/>
          </w:tcPr>
          <w:p w:rsidR="000E6C13" w:rsidRPr="003B5EA4" w:rsidRDefault="000E6C13" w:rsidP="000E6C13">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13 000 000</w:t>
            </w:r>
          </w:p>
        </w:tc>
        <w:tc>
          <w:tcPr>
            <w:tcW w:w="2622" w:type="dxa"/>
            <w:tcBorders>
              <w:bottom w:val="single" w:sz="4" w:space="0" w:color="auto"/>
            </w:tcBorders>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194 804 000</w:t>
            </w:r>
          </w:p>
        </w:tc>
        <w:tc>
          <w:tcPr>
            <w:tcW w:w="2514"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6,67 %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52 000 000</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886 160 000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5,87</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OIT</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28 347 000</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23 292 000</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5 055 000</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629 255 000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4,50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32 768 000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25 893 000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6 875 000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723 820 000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4,53</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27 308 000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22 889 000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4 419 000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611 326 000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4,47</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29 751 000</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24 372 000</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5 379 000</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659 747 000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4,51</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118 174 000</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96 446 000</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21 728 000</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2 624 148 000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4,50</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OMI</w:t>
            </w:r>
            <w:r w:rsidRPr="003B5EA4">
              <w:rPr>
                <w:i/>
                <w:sz w:val="18"/>
                <w:vertAlign w:val="superscript"/>
              </w:rPr>
              <w:t>e</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3 392 057</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1 945 160</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1 446 898</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80 009 000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4,24</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3 346 711</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1 877 731</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1 468 980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76 909 000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4,35</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3 179 504</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1 944 470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1 235 034</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69 896 000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4,55</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2 722 354</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1 627 424</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1 094 930</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68 055 000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4,00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12 640 626</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7 394 785</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5 245 841</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294 869 000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4,29</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OMPI</w:t>
            </w:r>
            <w:r w:rsidRPr="003B5EA4">
              <w:rPr>
                <w:i/>
                <w:sz w:val="18"/>
                <w:u w:val="single"/>
                <w:vertAlign w:val="superscript"/>
              </w:rPr>
              <w:t>f</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19 541 578</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9 937 100</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9 604 478</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352 674 000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5,54</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21 994 606</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10 935 275</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11 059 331</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369 351 000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5,95</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18 030 568</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9 776 201</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8 254 367</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337 595 000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5,34</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19 242 204</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9 276 507</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9 965 696</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351 840 000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5,47</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78 808 956</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39 925 083</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38 883 872</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1 411 460 000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5,58</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F61BAC">
            <w:pPr>
              <w:keepNext/>
              <w:suppressAutoHyphens w:val="0"/>
              <w:spacing w:before="40" w:after="40" w:line="220" w:lineRule="exact"/>
              <w:rPr>
                <w:sz w:val="18"/>
              </w:rPr>
            </w:pPr>
            <w:r w:rsidRPr="003B5EA4">
              <w:rPr>
                <w:sz w:val="18"/>
              </w:rPr>
              <w:lastRenderedPageBreak/>
              <w:t>OMS</w:t>
            </w:r>
          </w:p>
        </w:tc>
        <w:tc>
          <w:tcPr>
            <w:tcW w:w="647"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144 689 092</w:t>
            </w:r>
          </w:p>
        </w:tc>
        <w:tc>
          <w:tcPr>
            <w:tcW w:w="2622"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73 265 004</w:t>
            </w:r>
          </w:p>
        </w:tc>
        <w:tc>
          <w:tcPr>
            <w:tcW w:w="2580"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71 424 088</w:t>
            </w:r>
          </w:p>
        </w:tc>
        <w:tc>
          <w:tcPr>
            <w:tcW w:w="1517"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2 988 067 000</w:t>
            </w:r>
          </w:p>
        </w:tc>
        <w:tc>
          <w:tcPr>
            <w:tcW w:w="2514"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4,84</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F61BAC">
            <w:pPr>
              <w:keepNext/>
              <w:suppressAutoHyphens w:val="0"/>
              <w:spacing w:before="40" w:after="40" w:line="220" w:lineRule="exact"/>
              <w:rPr>
                <w:sz w:val="18"/>
              </w:rPr>
            </w:pPr>
          </w:p>
        </w:tc>
        <w:tc>
          <w:tcPr>
            <w:tcW w:w="64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165 444 976</w:t>
            </w:r>
          </w:p>
        </w:tc>
        <w:tc>
          <w:tcPr>
            <w:tcW w:w="262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76 096 309</w:t>
            </w:r>
          </w:p>
        </w:tc>
        <w:tc>
          <w:tcPr>
            <w:tcW w:w="2580"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89 348 667</w:t>
            </w:r>
          </w:p>
        </w:tc>
        <w:tc>
          <w:tcPr>
            <w:tcW w:w="151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3 331 220 000</w:t>
            </w:r>
          </w:p>
        </w:tc>
        <w:tc>
          <w:tcPr>
            <w:tcW w:w="2514"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4,97</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184 575 907</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81 213 399</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103 362 508</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3 962 280 000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4,66</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226 342 000</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104 117 320</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122 224 680</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4 117 982 000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5,50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721 051 975</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334 692 032</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386 359 943</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14 399 549 000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5,01</w:t>
            </w:r>
            <w:r w:rsidR="00947206" w:rsidRPr="003B5EA4">
              <w:rPr>
                <w:b/>
                <w:sz w:val="18"/>
              </w:rPr>
              <w:t> %</w:t>
            </w:r>
          </w:p>
        </w:tc>
      </w:tr>
      <w:tr w:rsidR="003A31C4" w:rsidRPr="003B5EA4" w:rsidTr="00F2483D">
        <w:tc>
          <w:tcPr>
            <w:tcW w:w="1345" w:type="dxa"/>
            <w:vMerge w:val="restart"/>
            <w:shd w:val="clear" w:color="auto" w:fill="auto"/>
            <w:noWrap/>
          </w:tcPr>
          <w:p w:rsidR="000E6C13" w:rsidRPr="003B5EA4" w:rsidRDefault="000E6C13" w:rsidP="0073058E">
            <w:pPr>
              <w:keepNext/>
              <w:suppressAutoHyphens w:val="0"/>
              <w:spacing w:before="40" w:after="40" w:line="220" w:lineRule="exact"/>
              <w:rPr>
                <w:sz w:val="18"/>
              </w:rPr>
            </w:pPr>
            <w:r w:rsidRPr="003B5EA4">
              <w:rPr>
                <w:sz w:val="18"/>
              </w:rPr>
              <w:t>OMT</w:t>
            </w:r>
            <w:r w:rsidRPr="003B5EA4">
              <w:rPr>
                <w:i/>
                <w:sz w:val="18"/>
                <w:vertAlign w:val="superscript"/>
              </w:rPr>
              <w:t>l</w:t>
            </w:r>
          </w:p>
        </w:tc>
        <w:tc>
          <w:tcPr>
            <w:tcW w:w="647" w:type="dxa"/>
            <w:tcBorders>
              <w:top w:val="single" w:sz="4" w:space="0" w:color="auto"/>
            </w:tcBorders>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1 344 437</w:t>
            </w:r>
          </w:p>
        </w:tc>
        <w:tc>
          <w:tcPr>
            <w:tcW w:w="2622" w:type="dxa"/>
            <w:tcBorders>
              <w:top w:val="single" w:sz="4" w:space="0" w:color="auto"/>
            </w:tcBorders>
            <w:shd w:val="clear" w:color="auto" w:fill="auto"/>
            <w:noWrap/>
          </w:tcPr>
          <w:p w:rsidR="000E6C13" w:rsidRPr="003B5EA4" w:rsidRDefault="000E6C13" w:rsidP="0073058E">
            <w:pPr>
              <w:keepNext/>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0E6C13" w:rsidRPr="003B5EA4" w:rsidRDefault="000E6C13" w:rsidP="0073058E">
            <w:pPr>
              <w:keepNext/>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23 899 000</w:t>
            </w:r>
          </w:p>
        </w:tc>
        <w:tc>
          <w:tcPr>
            <w:tcW w:w="2514" w:type="dxa"/>
            <w:tcBorders>
              <w:top w:val="single" w:sz="4" w:space="0" w:color="auto"/>
            </w:tcBorders>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5,63 %</w:t>
            </w:r>
          </w:p>
        </w:tc>
      </w:tr>
      <w:tr w:rsidR="000E6C13" w:rsidRPr="003B5EA4" w:rsidTr="00F2483D">
        <w:tc>
          <w:tcPr>
            <w:tcW w:w="1345" w:type="dxa"/>
            <w:vMerge/>
            <w:shd w:val="clear" w:color="auto" w:fill="auto"/>
            <w:noWrap/>
          </w:tcPr>
          <w:p w:rsidR="000E6C13" w:rsidRPr="003B5EA4" w:rsidRDefault="000E6C13" w:rsidP="0073058E">
            <w:pPr>
              <w:keepNext/>
              <w:suppressAutoHyphens w:val="0"/>
              <w:spacing w:before="40" w:after="40" w:line="220" w:lineRule="exact"/>
              <w:rPr>
                <w:sz w:val="18"/>
              </w:rPr>
            </w:pPr>
          </w:p>
        </w:tc>
        <w:tc>
          <w:tcPr>
            <w:tcW w:w="647" w:type="dxa"/>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1 213 254</w:t>
            </w:r>
          </w:p>
        </w:tc>
        <w:tc>
          <w:tcPr>
            <w:tcW w:w="2622" w:type="dxa"/>
            <w:shd w:val="clear" w:color="auto" w:fill="auto"/>
            <w:noWrap/>
          </w:tcPr>
          <w:p w:rsidR="000E6C13" w:rsidRPr="003B5EA4" w:rsidRDefault="000E6C13" w:rsidP="0073058E">
            <w:pPr>
              <w:keepNext/>
              <w:spacing w:before="40" w:after="40" w:line="220" w:lineRule="exact"/>
              <w:jc w:val="right"/>
            </w:pPr>
            <w:r w:rsidRPr="003B5EA4">
              <w:rPr>
                <w:color w:val="000000"/>
                <w:sz w:val="18"/>
                <w:szCs w:val="18"/>
              </w:rPr>
              <w:t>Non ventilé</w:t>
            </w:r>
          </w:p>
        </w:tc>
        <w:tc>
          <w:tcPr>
            <w:tcW w:w="2580" w:type="dxa"/>
            <w:shd w:val="clear" w:color="auto" w:fill="auto"/>
            <w:noWrap/>
          </w:tcPr>
          <w:p w:rsidR="000E6C13" w:rsidRPr="003B5EA4" w:rsidRDefault="000E6C13" w:rsidP="0073058E">
            <w:pPr>
              <w:keepNext/>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24 150 000</w:t>
            </w:r>
          </w:p>
        </w:tc>
        <w:tc>
          <w:tcPr>
            <w:tcW w:w="2514" w:type="dxa"/>
            <w:shd w:val="clear" w:color="auto" w:fill="auto"/>
            <w:noWrap/>
            <w:vAlign w:val="bottom"/>
          </w:tcPr>
          <w:p w:rsidR="000E6C13" w:rsidRPr="003B5EA4" w:rsidRDefault="000E6C13" w:rsidP="0073058E">
            <w:pPr>
              <w:keepNext/>
              <w:suppressAutoHyphens w:val="0"/>
              <w:spacing w:before="40" w:after="40" w:line="220" w:lineRule="exact"/>
              <w:jc w:val="right"/>
              <w:rPr>
                <w:sz w:val="18"/>
              </w:rPr>
            </w:pPr>
            <w:r w:rsidRPr="003B5EA4">
              <w:rPr>
                <w:sz w:val="18"/>
              </w:rPr>
              <w:t>5,02 %</w:t>
            </w:r>
          </w:p>
        </w:tc>
      </w:tr>
      <w:tr w:rsidR="000E6C13" w:rsidRPr="003B5EA4" w:rsidTr="00F2483D">
        <w:tc>
          <w:tcPr>
            <w:tcW w:w="1345" w:type="dxa"/>
            <w:vMerge/>
            <w:shd w:val="clear" w:color="auto" w:fill="auto"/>
            <w:noWrap/>
          </w:tcPr>
          <w:p w:rsidR="000E6C13" w:rsidRPr="003B5EA4" w:rsidRDefault="000E6C13" w:rsidP="000E6C13">
            <w:pPr>
              <w:suppressAutoHyphens w:val="0"/>
              <w:spacing w:before="40" w:after="40" w:line="220" w:lineRule="exact"/>
              <w:rPr>
                <w:sz w:val="18"/>
              </w:rPr>
            </w:pPr>
          </w:p>
        </w:tc>
        <w:tc>
          <w:tcPr>
            <w:tcW w:w="647"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1 836 624</w:t>
            </w:r>
          </w:p>
        </w:tc>
        <w:tc>
          <w:tcPr>
            <w:tcW w:w="2622" w:type="dxa"/>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2580" w:type="dxa"/>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24 765 000</w:t>
            </w:r>
          </w:p>
        </w:tc>
        <w:tc>
          <w:tcPr>
            <w:tcW w:w="2514" w:type="dxa"/>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7,42 %</w:t>
            </w:r>
          </w:p>
        </w:tc>
      </w:tr>
      <w:tr w:rsidR="000E6C13" w:rsidRPr="003B5EA4" w:rsidTr="00F2483D">
        <w:tc>
          <w:tcPr>
            <w:tcW w:w="1345" w:type="dxa"/>
            <w:vMerge/>
            <w:shd w:val="clear" w:color="auto" w:fill="auto"/>
            <w:noWrap/>
          </w:tcPr>
          <w:p w:rsidR="000E6C13" w:rsidRPr="003B5EA4" w:rsidRDefault="000E6C13" w:rsidP="000E6C13">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1 489 532</w:t>
            </w:r>
          </w:p>
        </w:tc>
        <w:tc>
          <w:tcPr>
            <w:tcW w:w="2622" w:type="dxa"/>
            <w:tcBorders>
              <w:bottom w:val="single" w:sz="4" w:space="0" w:color="auto"/>
            </w:tcBorders>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0E6C13" w:rsidRPr="003B5EA4" w:rsidRDefault="000E6C13" w:rsidP="000E6C13">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27 014 000</w:t>
            </w:r>
          </w:p>
        </w:tc>
        <w:tc>
          <w:tcPr>
            <w:tcW w:w="2514" w:type="dxa"/>
            <w:tcBorders>
              <w:bottom w:val="single" w:sz="4" w:space="0" w:color="auto"/>
            </w:tcBorders>
            <w:shd w:val="clear" w:color="auto" w:fill="auto"/>
            <w:noWrap/>
            <w:vAlign w:val="bottom"/>
          </w:tcPr>
          <w:p w:rsidR="000E6C13" w:rsidRPr="003B5EA4" w:rsidRDefault="000E6C13" w:rsidP="000E6C13">
            <w:pPr>
              <w:suppressAutoHyphens w:val="0"/>
              <w:spacing w:before="40" w:after="40" w:line="220" w:lineRule="exact"/>
              <w:jc w:val="right"/>
              <w:rPr>
                <w:sz w:val="18"/>
              </w:rPr>
            </w:pPr>
            <w:r w:rsidRPr="003B5EA4">
              <w:rPr>
                <w:sz w:val="18"/>
              </w:rPr>
              <w:t>5,51 %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5 883 847</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99 828 000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5,89</w:t>
            </w:r>
            <w:r w:rsidR="00947206" w:rsidRPr="003B5EA4">
              <w:rPr>
                <w:b/>
                <w:sz w:val="18"/>
              </w:rPr>
              <w:t> %</w:t>
            </w:r>
          </w:p>
        </w:tc>
      </w:tr>
      <w:tr w:rsidR="0028277F" w:rsidRPr="003B5EA4" w:rsidTr="00F2483D">
        <w:tc>
          <w:tcPr>
            <w:tcW w:w="1345" w:type="dxa"/>
            <w:vMerge w:val="restart"/>
            <w:shd w:val="clear" w:color="auto" w:fill="auto"/>
            <w:noWrap/>
          </w:tcPr>
          <w:p w:rsidR="008038CC" w:rsidRPr="003B5EA4" w:rsidRDefault="008038CC" w:rsidP="009958AA">
            <w:pPr>
              <w:suppressAutoHyphens w:val="0"/>
              <w:spacing w:before="40" w:after="40" w:line="220" w:lineRule="exact"/>
              <w:rPr>
                <w:sz w:val="18"/>
              </w:rPr>
            </w:pPr>
            <w:r w:rsidRPr="003B5EA4">
              <w:rPr>
                <w:sz w:val="18"/>
              </w:rPr>
              <w:t>ONU-Femmes</w:t>
            </w:r>
            <w:r w:rsidRPr="003B5EA4">
              <w:rPr>
                <w:i/>
                <w:sz w:val="18"/>
                <w:vertAlign w:val="superscript"/>
              </w:rPr>
              <w:t>h</w:t>
            </w:r>
          </w:p>
        </w:tc>
        <w:tc>
          <w:tcPr>
            <w:tcW w:w="647"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2013</w:t>
            </w:r>
          </w:p>
        </w:tc>
        <w:tc>
          <w:tcPr>
            <w:tcW w:w="2552"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6 583 370</w:t>
            </w:r>
          </w:p>
        </w:tc>
        <w:tc>
          <w:tcPr>
            <w:tcW w:w="2622"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3 180 928</w:t>
            </w:r>
          </w:p>
        </w:tc>
        <w:tc>
          <w:tcPr>
            <w:tcW w:w="2580"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3 402 443</w:t>
            </w:r>
          </w:p>
        </w:tc>
        <w:tc>
          <w:tcPr>
            <w:tcW w:w="1517"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264 105 000</w:t>
            </w:r>
          </w:p>
        </w:tc>
        <w:tc>
          <w:tcPr>
            <w:tcW w:w="2514"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2,49 %</w:t>
            </w:r>
          </w:p>
        </w:tc>
      </w:tr>
      <w:tr w:rsidR="0028277F" w:rsidRPr="003B5EA4" w:rsidTr="00F2483D">
        <w:tc>
          <w:tcPr>
            <w:tcW w:w="1345" w:type="dxa"/>
            <w:vMerge/>
            <w:shd w:val="clear" w:color="auto" w:fill="auto"/>
            <w:noWrap/>
          </w:tcPr>
          <w:p w:rsidR="008038CC" w:rsidRPr="003B5EA4" w:rsidRDefault="008038CC" w:rsidP="009958AA">
            <w:pPr>
              <w:suppressAutoHyphens w:val="0"/>
              <w:spacing w:before="40" w:after="40" w:line="220" w:lineRule="exact"/>
              <w:rPr>
                <w:sz w:val="18"/>
              </w:rPr>
            </w:pPr>
          </w:p>
        </w:tc>
        <w:tc>
          <w:tcPr>
            <w:tcW w:w="647"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7 475 098</w:t>
            </w:r>
          </w:p>
        </w:tc>
        <w:tc>
          <w:tcPr>
            <w:tcW w:w="2622"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4 107 546</w:t>
            </w:r>
          </w:p>
        </w:tc>
        <w:tc>
          <w:tcPr>
            <w:tcW w:w="2580"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3 367 553</w:t>
            </w:r>
          </w:p>
        </w:tc>
        <w:tc>
          <w:tcPr>
            <w:tcW w:w="1517"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270 538 000</w:t>
            </w:r>
          </w:p>
        </w:tc>
        <w:tc>
          <w:tcPr>
            <w:tcW w:w="2514"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2,76 %</w:t>
            </w:r>
          </w:p>
        </w:tc>
      </w:tr>
      <w:tr w:rsidR="0028277F" w:rsidRPr="003B5EA4" w:rsidTr="00F2483D">
        <w:tc>
          <w:tcPr>
            <w:tcW w:w="1345" w:type="dxa"/>
            <w:vMerge/>
            <w:shd w:val="clear" w:color="auto" w:fill="auto"/>
            <w:noWrap/>
          </w:tcPr>
          <w:p w:rsidR="008038CC" w:rsidRPr="003B5EA4" w:rsidRDefault="008038CC" w:rsidP="009958AA">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9 100 324</w:t>
            </w:r>
          </w:p>
        </w:tc>
        <w:tc>
          <w:tcPr>
            <w:tcW w:w="2622"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4 452 660</w:t>
            </w:r>
          </w:p>
        </w:tc>
        <w:tc>
          <w:tcPr>
            <w:tcW w:w="2580"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4 647 663</w:t>
            </w:r>
          </w:p>
        </w:tc>
        <w:tc>
          <w:tcPr>
            <w:tcW w:w="1517"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314 974 000</w:t>
            </w:r>
          </w:p>
        </w:tc>
        <w:tc>
          <w:tcPr>
            <w:tcW w:w="2514"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2,89 %</w:t>
            </w:r>
          </w:p>
        </w:tc>
      </w:tr>
      <w:tr w:rsidR="0028277F" w:rsidRPr="003B5EA4" w:rsidTr="00F2483D">
        <w:tc>
          <w:tcPr>
            <w:tcW w:w="1345" w:type="dxa"/>
            <w:vMerge/>
            <w:shd w:val="clear" w:color="auto" w:fill="auto"/>
            <w:noWrap/>
          </w:tcPr>
          <w:p w:rsidR="008038CC" w:rsidRPr="003B5EA4" w:rsidRDefault="008038CC" w:rsidP="009958AA">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23 158 792</w:t>
            </w:r>
          </w:p>
        </w:tc>
        <w:tc>
          <w:tcPr>
            <w:tcW w:w="2622"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11 741 134</w:t>
            </w:r>
          </w:p>
        </w:tc>
        <w:tc>
          <w:tcPr>
            <w:tcW w:w="2580"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11 417 659</w:t>
            </w:r>
          </w:p>
        </w:tc>
        <w:tc>
          <w:tcPr>
            <w:tcW w:w="1517"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849 617 000</w:t>
            </w:r>
          </w:p>
        </w:tc>
        <w:tc>
          <w:tcPr>
            <w:tcW w:w="2514"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2,73 %</w:t>
            </w:r>
          </w:p>
        </w:tc>
      </w:tr>
      <w:tr w:rsidR="0028277F" w:rsidRPr="003B5EA4" w:rsidTr="00F2483D">
        <w:tc>
          <w:tcPr>
            <w:tcW w:w="1345" w:type="dxa"/>
            <w:vMerge w:val="restart"/>
            <w:shd w:val="clear" w:color="auto" w:fill="auto"/>
            <w:noWrap/>
          </w:tcPr>
          <w:p w:rsidR="008038CC" w:rsidRPr="003B5EA4" w:rsidRDefault="008038CC" w:rsidP="009958AA">
            <w:pPr>
              <w:suppressAutoHyphens w:val="0"/>
              <w:spacing w:before="40" w:after="40" w:line="220" w:lineRule="exact"/>
              <w:rPr>
                <w:sz w:val="18"/>
              </w:rPr>
            </w:pPr>
            <w:r w:rsidRPr="003B5EA4">
              <w:rPr>
                <w:sz w:val="18"/>
              </w:rPr>
              <w:t>ONUDC</w:t>
            </w:r>
          </w:p>
        </w:tc>
        <w:tc>
          <w:tcPr>
            <w:tcW w:w="647"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3 795 882</w:t>
            </w:r>
          </w:p>
        </w:tc>
        <w:tc>
          <w:tcPr>
            <w:tcW w:w="2622" w:type="dxa"/>
            <w:tcBorders>
              <w:top w:val="single" w:sz="4" w:space="0" w:color="auto"/>
            </w:tcBorders>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265 618 000</w:t>
            </w:r>
          </w:p>
        </w:tc>
        <w:tc>
          <w:tcPr>
            <w:tcW w:w="2514" w:type="dxa"/>
            <w:tcBorders>
              <w:top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1,43 %</w:t>
            </w:r>
          </w:p>
        </w:tc>
      </w:tr>
      <w:tr w:rsidR="0028277F" w:rsidRPr="003B5EA4" w:rsidTr="00F2483D">
        <w:tc>
          <w:tcPr>
            <w:tcW w:w="1345" w:type="dxa"/>
            <w:vMerge/>
            <w:shd w:val="clear" w:color="auto" w:fill="auto"/>
            <w:noWrap/>
          </w:tcPr>
          <w:p w:rsidR="008038CC" w:rsidRPr="003B5EA4" w:rsidRDefault="008038CC" w:rsidP="009958AA">
            <w:pPr>
              <w:suppressAutoHyphens w:val="0"/>
              <w:spacing w:before="40" w:after="40" w:line="220" w:lineRule="exact"/>
              <w:rPr>
                <w:sz w:val="18"/>
              </w:rPr>
            </w:pPr>
          </w:p>
        </w:tc>
        <w:tc>
          <w:tcPr>
            <w:tcW w:w="647"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4 065 599</w:t>
            </w:r>
          </w:p>
        </w:tc>
        <w:tc>
          <w:tcPr>
            <w:tcW w:w="2622" w:type="dxa"/>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2580" w:type="dxa"/>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257 638 000</w:t>
            </w:r>
          </w:p>
        </w:tc>
        <w:tc>
          <w:tcPr>
            <w:tcW w:w="2514"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1,58 %</w:t>
            </w:r>
          </w:p>
        </w:tc>
      </w:tr>
      <w:tr w:rsidR="0028277F" w:rsidRPr="003B5EA4" w:rsidTr="00F2483D">
        <w:tc>
          <w:tcPr>
            <w:tcW w:w="1345" w:type="dxa"/>
            <w:vMerge/>
            <w:shd w:val="clear" w:color="auto" w:fill="auto"/>
            <w:noWrap/>
          </w:tcPr>
          <w:p w:rsidR="008038CC" w:rsidRPr="003B5EA4" w:rsidRDefault="008038CC" w:rsidP="009958AA">
            <w:pPr>
              <w:suppressAutoHyphens w:val="0"/>
              <w:spacing w:before="40" w:after="40" w:line="220" w:lineRule="exact"/>
              <w:rPr>
                <w:sz w:val="18"/>
              </w:rPr>
            </w:pPr>
          </w:p>
        </w:tc>
        <w:tc>
          <w:tcPr>
            <w:tcW w:w="647"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3 803 859</w:t>
            </w:r>
          </w:p>
        </w:tc>
        <w:tc>
          <w:tcPr>
            <w:tcW w:w="2622" w:type="dxa"/>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2580" w:type="dxa"/>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325 421 000</w:t>
            </w:r>
          </w:p>
        </w:tc>
        <w:tc>
          <w:tcPr>
            <w:tcW w:w="2514" w:type="dxa"/>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1,17 %</w:t>
            </w:r>
          </w:p>
        </w:tc>
      </w:tr>
      <w:tr w:rsidR="0028277F" w:rsidRPr="003B5EA4" w:rsidTr="00F2483D">
        <w:tc>
          <w:tcPr>
            <w:tcW w:w="1345" w:type="dxa"/>
            <w:vMerge/>
            <w:shd w:val="clear" w:color="auto" w:fill="auto"/>
            <w:noWrap/>
          </w:tcPr>
          <w:p w:rsidR="008038CC" w:rsidRPr="003B5EA4" w:rsidRDefault="008038CC" w:rsidP="009958AA">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4 388 170</w:t>
            </w:r>
          </w:p>
        </w:tc>
        <w:tc>
          <w:tcPr>
            <w:tcW w:w="2622" w:type="dxa"/>
            <w:tcBorders>
              <w:bottom w:val="single" w:sz="4" w:space="0" w:color="auto"/>
            </w:tcBorders>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8038CC" w:rsidRPr="003B5EA4" w:rsidRDefault="008038CC" w:rsidP="009958AA">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278 919 000</w:t>
            </w:r>
          </w:p>
        </w:tc>
        <w:tc>
          <w:tcPr>
            <w:tcW w:w="2514" w:type="dxa"/>
            <w:tcBorders>
              <w:bottom w:val="single" w:sz="4" w:space="0" w:color="auto"/>
            </w:tcBorders>
            <w:shd w:val="clear" w:color="auto" w:fill="auto"/>
            <w:noWrap/>
            <w:vAlign w:val="bottom"/>
          </w:tcPr>
          <w:p w:rsidR="008038CC" w:rsidRPr="003B5EA4" w:rsidRDefault="008038CC" w:rsidP="009958AA">
            <w:pPr>
              <w:suppressAutoHyphens w:val="0"/>
              <w:spacing w:before="40" w:after="40" w:line="220" w:lineRule="exact"/>
              <w:jc w:val="right"/>
              <w:rPr>
                <w:sz w:val="18"/>
              </w:rPr>
            </w:pPr>
            <w:r w:rsidRPr="003B5EA4">
              <w:rPr>
                <w:sz w:val="18"/>
              </w:rPr>
              <w:t>1,57 %</w:t>
            </w:r>
          </w:p>
        </w:tc>
      </w:tr>
      <w:tr w:rsidR="0028277F" w:rsidRPr="003B5EA4" w:rsidTr="00F2483D">
        <w:tc>
          <w:tcPr>
            <w:tcW w:w="1345" w:type="dxa"/>
            <w:vMerge/>
            <w:shd w:val="clear" w:color="auto" w:fill="auto"/>
            <w:noWrap/>
          </w:tcPr>
          <w:p w:rsidR="008038CC" w:rsidRPr="003B5EA4" w:rsidRDefault="008038CC" w:rsidP="009958AA">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16 053 510</w:t>
            </w:r>
          </w:p>
        </w:tc>
        <w:tc>
          <w:tcPr>
            <w:tcW w:w="2622"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1 127 596 000</w:t>
            </w:r>
          </w:p>
        </w:tc>
        <w:tc>
          <w:tcPr>
            <w:tcW w:w="2514" w:type="dxa"/>
            <w:tcBorders>
              <w:top w:val="single" w:sz="4" w:space="0" w:color="auto"/>
              <w:bottom w:val="single" w:sz="4" w:space="0" w:color="auto"/>
            </w:tcBorders>
            <w:shd w:val="clear" w:color="auto" w:fill="auto"/>
            <w:noWrap/>
            <w:vAlign w:val="bottom"/>
          </w:tcPr>
          <w:p w:rsidR="008038CC" w:rsidRPr="003B5EA4" w:rsidRDefault="008038CC" w:rsidP="009958AA">
            <w:pPr>
              <w:suppressAutoHyphens w:val="0"/>
              <w:spacing w:before="80" w:after="80" w:line="220" w:lineRule="exact"/>
              <w:jc w:val="right"/>
              <w:rPr>
                <w:b/>
                <w:sz w:val="18"/>
              </w:rPr>
            </w:pPr>
            <w:r w:rsidRPr="003B5EA4">
              <w:rPr>
                <w:b/>
                <w:sz w:val="18"/>
              </w:rPr>
              <w:t>1,42 %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ONUDI</w:t>
            </w:r>
            <w:r w:rsidRPr="003B5EA4">
              <w:rPr>
                <w:i/>
                <w:sz w:val="18"/>
                <w:vertAlign w:val="superscript"/>
              </w:rPr>
              <w:t>c</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19 424 605</w:t>
            </w:r>
          </w:p>
        </w:tc>
        <w:tc>
          <w:tcPr>
            <w:tcW w:w="2622" w:type="dxa"/>
            <w:tcBorders>
              <w:top w:val="single" w:sz="4" w:space="0" w:color="auto"/>
            </w:tcBorders>
            <w:shd w:val="clear" w:color="auto" w:fill="auto"/>
            <w:noWrap/>
            <w:vAlign w:val="bottom"/>
          </w:tcPr>
          <w:p w:rsidR="00CB3BD7" w:rsidRPr="003B5EA4" w:rsidRDefault="00E0343F" w:rsidP="00CB3BD7">
            <w:pPr>
              <w:suppressAutoHyphens w:val="0"/>
              <w:spacing w:before="40" w:after="40" w:line="220" w:lineRule="exact"/>
              <w:jc w:val="right"/>
              <w:rPr>
                <w:sz w:val="18"/>
              </w:rPr>
            </w:pPr>
            <w:r w:rsidRPr="003B5EA4">
              <w:rPr>
                <w:color w:val="000000"/>
                <w:sz w:val="18"/>
                <w:szCs w:val="18"/>
              </w:rPr>
              <w:t>Non ventilé</w:t>
            </w:r>
          </w:p>
        </w:tc>
        <w:tc>
          <w:tcPr>
            <w:tcW w:w="2580" w:type="dxa"/>
            <w:tcBorders>
              <w:top w:val="single" w:sz="4" w:space="0" w:color="auto"/>
            </w:tcBorders>
            <w:shd w:val="clear" w:color="auto" w:fill="auto"/>
            <w:noWrap/>
            <w:vAlign w:val="bottom"/>
          </w:tcPr>
          <w:p w:rsidR="00CB3BD7" w:rsidRPr="003B5EA4" w:rsidRDefault="00E0343F" w:rsidP="00CB3BD7">
            <w:pPr>
              <w:suppressAutoHyphens w:val="0"/>
              <w:spacing w:before="40" w:after="40" w:line="220" w:lineRule="exact"/>
              <w:jc w:val="right"/>
              <w:rPr>
                <w:sz w:val="18"/>
              </w:rPr>
            </w:pPr>
            <w:r w:rsidRPr="003B5EA4">
              <w:rPr>
                <w:color w:val="000000"/>
                <w:sz w:val="18"/>
                <w:szCs w:val="18"/>
              </w:rPr>
              <w:t>Non ventilé</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315 344 000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6,16</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19 735 398</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9 933 520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9 801 879</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318 053 000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6,21</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18 161 006</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6 498 496</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9 957 524</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232 721 000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7,80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17 537 537</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7 225 410</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10 312 171</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244 141 000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7,18</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74 858 546</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23 657 425</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30 071 574</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1 110 259 000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6,74</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F61BAC">
            <w:pPr>
              <w:keepNext/>
              <w:suppressAutoHyphens w:val="0"/>
              <w:spacing w:before="40" w:after="40" w:line="220" w:lineRule="exact"/>
              <w:rPr>
                <w:sz w:val="18"/>
              </w:rPr>
            </w:pPr>
            <w:r w:rsidRPr="003B5EA4">
              <w:rPr>
                <w:sz w:val="18"/>
              </w:rPr>
              <w:lastRenderedPageBreak/>
              <w:t>ONUSIDA</w:t>
            </w:r>
          </w:p>
        </w:tc>
        <w:tc>
          <w:tcPr>
            <w:tcW w:w="647"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9 025 044</w:t>
            </w:r>
          </w:p>
        </w:tc>
        <w:tc>
          <w:tcPr>
            <w:tcW w:w="2622"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6 441 883</w:t>
            </w:r>
          </w:p>
        </w:tc>
        <w:tc>
          <w:tcPr>
            <w:tcW w:w="2580"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2 583 161</w:t>
            </w:r>
          </w:p>
        </w:tc>
        <w:tc>
          <w:tcPr>
            <w:tcW w:w="1517"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279 913 000</w:t>
            </w:r>
          </w:p>
        </w:tc>
        <w:tc>
          <w:tcPr>
            <w:tcW w:w="2514"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3,22</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F61BAC">
            <w:pPr>
              <w:keepNext/>
              <w:suppressAutoHyphens w:val="0"/>
              <w:spacing w:before="40" w:after="40" w:line="220" w:lineRule="exact"/>
              <w:rPr>
                <w:sz w:val="18"/>
              </w:rPr>
            </w:pPr>
          </w:p>
        </w:tc>
        <w:tc>
          <w:tcPr>
            <w:tcW w:w="64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11 414 633</w:t>
            </w:r>
          </w:p>
        </w:tc>
        <w:tc>
          <w:tcPr>
            <w:tcW w:w="262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7 094 762</w:t>
            </w:r>
          </w:p>
        </w:tc>
        <w:tc>
          <w:tcPr>
            <w:tcW w:w="2580"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4 319 871</w:t>
            </w:r>
          </w:p>
        </w:tc>
        <w:tc>
          <w:tcPr>
            <w:tcW w:w="151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295 195 000</w:t>
            </w:r>
          </w:p>
        </w:tc>
        <w:tc>
          <w:tcPr>
            <w:tcW w:w="2514"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3,87</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F61BAC">
            <w:pPr>
              <w:keepNext/>
              <w:suppressAutoHyphens w:val="0"/>
              <w:spacing w:before="40" w:after="40" w:line="220" w:lineRule="exact"/>
              <w:rPr>
                <w:sz w:val="18"/>
              </w:rPr>
            </w:pPr>
          </w:p>
        </w:tc>
        <w:tc>
          <w:tcPr>
            <w:tcW w:w="64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10 555 486</w:t>
            </w:r>
          </w:p>
        </w:tc>
        <w:tc>
          <w:tcPr>
            <w:tcW w:w="262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7 106 043</w:t>
            </w:r>
          </w:p>
        </w:tc>
        <w:tc>
          <w:tcPr>
            <w:tcW w:w="2580"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3 449 443</w:t>
            </w:r>
          </w:p>
        </w:tc>
        <w:tc>
          <w:tcPr>
            <w:tcW w:w="151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295 725 000</w:t>
            </w:r>
          </w:p>
        </w:tc>
        <w:tc>
          <w:tcPr>
            <w:tcW w:w="2514"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3,57</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9 845 649</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6 333 988</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3 511 661</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293 937 000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3,35</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40 840 812</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26 976 676</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13 864 136</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1 164 770 000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3,51</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2F4016">
            <w:pPr>
              <w:keepNext/>
              <w:suppressAutoHyphens w:val="0"/>
              <w:spacing w:before="40" w:after="40" w:line="220" w:lineRule="exact"/>
              <w:rPr>
                <w:sz w:val="18"/>
              </w:rPr>
            </w:pPr>
            <w:r w:rsidRPr="003B5EA4">
              <w:rPr>
                <w:sz w:val="18"/>
              </w:rPr>
              <w:t>P</w:t>
            </w:r>
            <w:r w:rsidR="00BF7B4E" w:rsidRPr="003B5EA4">
              <w:rPr>
                <w:sz w:val="18"/>
              </w:rPr>
              <w:t>AM</w:t>
            </w:r>
            <w:r w:rsidRPr="003B5EA4">
              <w:rPr>
                <w:i/>
                <w:sz w:val="18"/>
                <w:vertAlign w:val="superscript"/>
              </w:rPr>
              <w:t>m</w:t>
            </w:r>
          </w:p>
        </w:tc>
        <w:tc>
          <w:tcPr>
            <w:tcW w:w="647" w:type="dxa"/>
            <w:tcBorders>
              <w:top w:val="single" w:sz="4" w:space="0" w:color="auto"/>
            </w:tcBorders>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88 690 961</w:t>
            </w:r>
          </w:p>
        </w:tc>
        <w:tc>
          <w:tcPr>
            <w:tcW w:w="2622" w:type="dxa"/>
            <w:tcBorders>
              <w:top w:val="single" w:sz="4" w:space="0" w:color="auto"/>
            </w:tcBorders>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47 005 155</w:t>
            </w:r>
          </w:p>
        </w:tc>
        <w:tc>
          <w:tcPr>
            <w:tcW w:w="2580" w:type="dxa"/>
            <w:tcBorders>
              <w:top w:val="single" w:sz="4" w:space="0" w:color="auto"/>
            </w:tcBorders>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41 685 806</w:t>
            </w:r>
          </w:p>
        </w:tc>
        <w:tc>
          <w:tcPr>
            <w:tcW w:w="1517" w:type="dxa"/>
            <w:tcBorders>
              <w:top w:val="single" w:sz="4" w:space="0" w:color="auto"/>
            </w:tcBorders>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4 450 013 000</w:t>
            </w:r>
          </w:p>
        </w:tc>
        <w:tc>
          <w:tcPr>
            <w:tcW w:w="2514" w:type="dxa"/>
            <w:tcBorders>
              <w:top w:val="single" w:sz="4" w:space="0" w:color="auto"/>
            </w:tcBorders>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1,99</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2F4016">
            <w:pPr>
              <w:keepNext/>
              <w:suppressAutoHyphens w:val="0"/>
              <w:spacing w:before="40" w:after="40" w:line="220" w:lineRule="exact"/>
              <w:rPr>
                <w:sz w:val="18"/>
              </w:rPr>
            </w:pPr>
          </w:p>
        </w:tc>
        <w:tc>
          <w:tcPr>
            <w:tcW w:w="647"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91 308 224</w:t>
            </w:r>
          </w:p>
        </w:tc>
        <w:tc>
          <w:tcPr>
            <w:tcW w:w="2622"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46 550 510</w:t>
            </w:r>
          </w:p>
        </w:tc>
        <w:tc>
          <w:tcPr>
            <w:tcW w:w="2580"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44 757 714</w:t>
            </w:r>
          </w:p>
        </w:tc>
        <w:tc>
          <w:tcPr>
            <w:tcW w:w="1517"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4 767 693 000</w:t>
            </w:r>
          </w:p>
        </w:tc>
        <w:tc>
          <w:tcPr>
            <w:tcW w:w="2514"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1,92</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2F4016">
            <w:pPr>
              <w:keepNext/>
              <w:suppressAutoHyphens w:val="0"/>
              <w:spacing w:before="40" w:after="40" w:line="220" w:lineRule="exact"/>
              <w:rPr>
                <w:sz w:val="18"/>
              </w:rPr>
            </w:pPr>
          </w:p>
        </w:tc>
        <w:tc>
          <w:tcPr>
            <w:tcW w:w="647"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99 593 233</w:t>
            </w:r>
          </w:p>
        </w:tc>
        <w:tc>
          <w:tcPr>
            <w:tcW w:w="2622"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47 968 986</w:t>
            </w:r>
          </w:p>
        </w:tc>
        <w:tc>
          <w:tcPr>
            <w:tcW w:w="2580"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51 624 247</w:t>
            </w:r>
          </w:p>
        </w:tc>
        <w:tc>
          <w:tcPr>
            <w:tcW w:w="1517"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4 996 778 000</w:t>
            </w:r>
          </w:p>
        </w:tc>
        <w:tc>
          <w:tcPr>
            <w:tcW w:w="2514" w:type="dxa"/>
            <w:shd w:val="clear" w:color="auto" w:fill="auto"/>
            <w:noWrap/>
            <w:vAlign w:val="bottom"/>
          </w:tcPr>
          <w:p w:rsidR="00CB3BD7" w:rsidRPr="003B5EA4" w:rsidRDefault="00CB3BD7" w:rsidP="002F4016">
            <w:pPr>
              <w:keepNext/>
              <w:suppressAutoHyphens w:val="0"/>
              <w:spacing w:before="40" w:after="40" w:line="220" w:lineRule="exact"/>
              <w:jc w:val="right"/>
              <w:rPr>
                <w:sz w:val="18"/>
              </w:rPr>
            </w:pPr>
            <w:r w:rsidRPr="003B5EA4">
              <w:rPr>
                <w:sz w:val="18"/>
              </w:rPr>
              <w:t>1,99</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113 299 314</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51 017 278</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62 282 036</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4 893 472 000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2,32</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392 891 731</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192 541 928</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200 349 803</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19 107 956 000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2,06</w:t>
            </w:r>
            <w:r w:rsidR="00947206" w:rsidRPr="003B5EA4">
              <w:rPr>
                <w:b/>
                <w:sz w:val="18"/>
              </w:rPr>
              <w:t> %</w:t>
            </w:r>
          </w:p>
        </w:tc>
      </w:tr>
      <w:tr w:rsidR="00D91604" w:rsidRPr="003B5EA4" w:rsidTr="00F2483D">
        <w:tc>
          <w:tcPr>
            <w:tcW w:w="1345" w:type="dxa"/>
            <w:vMerge w:val="restart"/>
            <w:shd w:val="clear" w:color="auto" w:fill="auto"/>
            <w:noWrap/>
          </w:tcPr>
          <w:p w:rsidR="00D91604" w:rsidRPr="003B5EA4" w:rsidRDefault="00D91604" w:rsidP="00D91604">
            <w:pPr>
              <w:suppressAutoHyphens w:val="0"/>
              <w:spacing w:before="40" w:after="40" w:line="220" w:lineRule="exact"/>
              <w:rPr>
                <w:sz w:val="18"/>
              </w:rPr>
            </w:pPr>
            <w:r w:rsidRPr="003B5EA4">
              <w:rPr>
                <w:sz w:val="18"/>
              </w:rPr>
              <w:t>PNUD</w:t>
            </w:r>
            <w:r w:rsidRPr="003B5EA4">
              <w:rPr>
                <w:i/>
                <w:sz w:val="18"/>
                <w:vertAlign w:val="superscript"/>
              </w:rPr>
              <w:t>i</w:t>
            </w:r>
          </w:p>
        </w:tc>
        <w:tc>
          <w:tcPr>
            <w:tcW w:w="647"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25 843 247</w:t>
            </w:r>
          </w:p>
        </w:tc>
        <w:tc>
          <w:tcPr>
            <w:tcW w:w="2622" w:type="dxa"/>
            <w:tcBorders>
              <w:top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5 244 435 000</w:t>
            </w:r>
          </w:p>
        </w:tc>
        <w:tc>
          <w:tcPr>
            <w:tcW w:w="2514"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0,49</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23 484 336</w:t>
            </w:r>
          </w:p>
        </w:tc>
        <w:tc>
          <w:tcPr>
            <w:tcW w:w="2622"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5 244 451 000</w:t>
            </w:r>
          </w:p>
        </w:tc>
        <w:tc>
          <w:tcPr>
            <w:tcW w:w="2514"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0,45</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24 123 686</w:t>
            </w:r>
          </w:p>
        </w:tc>
        <w:tc>
          <w:tcPr>
            <w:tcW w:w="2622"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5 314 300 000</w:t>
            </w:r>
          </w:p>
        </w:tc>
        <w:tc>
          <w:tcPr>
            <w:tcW w:w="2514"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0,45</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19 817 655</w:t>
            </w:r>
          </w:p>
        </w:tc>
        <w:tc>
          <w:tcPr>
            <w:tcW w:w="2622" w:type="dxa"/>
            <w:tcBorders>
              <w:bottom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5 057 414 000</w:t>
            </w:r>
          </w:p>
        </w:tc>
        <w:tc>
          <w:tcPr>
            <w:tcW w:w="2514"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0,39</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93 268 924</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20 860 600 000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0,45</w:t>
            </w:r>
            <w:r w:rsidR="00947206" w:rsidRPr="003B5EA4">
              <w:rPr>
                <w:b/>
                <w:sz w:val="18"/>
              </w:rPr>
              <w:t> %</w:t>
            </w:r>
          </w:p>
        </w:tc>
      </w:tr>
      <w:tr w:rsidR="00D91604" w:rsidRPr="003B5EA4" w:rsidTr="00F2483D">
        <w:tc>
          <w:tcPr>
            <w:tcW w:w="1345" w:type="dxa"/>
            <w:vMerge w:val="restart"/>
            <w:shd w:val="clear" w:color="auto" w:fill="auto"/>
            <w:noWrap/>
          </w:tcPr>
          <w:p w:rsidR="00D91604" w:rsidRPr="003B5EA4" w:rsidRDefault="00D91604" w:rsidP="00D91604">
            <w:pPr>
              <w:suppressAutoHyphens w:val="0"/>
              <w:spacing w:before="40" w:after="40" w:line="220" w:lineRule="exact"/>
              <w:rPr>
                <w:sz w:val="18"/>
              </w:rPr>
            </w:pPr>
            <w:r w:rsidRPr="003B5EA4">
              <w:rPr>
                <w:bCs/>
                <w:color w:val="000000"/>
                <w:sz w:val="18"/>
                <w:szCs w:val="18"/>
              </w:rPr>
              <w:t xml:space="preserve">Siège et bureaux hors Siège </w:t>
            </w:r>
            <w:r w:rsidRPr="003B5EA4">
              <w:rPr>
                <w:bCs/>
                <w:color w:val="000000"/>
                <w:sz w:val="18"/>
                <w:szCs w:val="18"/>
              </w:rPr>
              <w:br/>
              <w:t>de l</w:t>
            </w:r>
            <w:r w:rsidR="00762E0A">
              <w:rPr>
                <w:bCs/>
                <w:color w:val="000000"/>
                <w:sz w:val="18"/>
                <w:szCs w:val="18"/>
              </w:rPr>
              <w:t>’</w:t>
            </w:r>
            <w:r w:rsidRPr="003B5EA4">
              <w:rPr>
                <w:bCs/>
                <w:color w:val="000000"/>
                <w:sz w:val="18"/>
                <w:szCs w:val="18"/>
              </w:rPr>
              <w:t>ONU</w:t>
            </w:r>
          </w:p>
        </w:tc>
        <w:tc>
          <w:tcPr>
            <w:tcW w:w="647"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83 611 687</w:t>
            </w:r>
          </w:p>
        </w:tc>
        <w:tc>
          <w:tcPr>
            <w:tcW w:w="2622" w:type="dxa"/>
            <w:tcBorders>
              <w:top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4 204 721 000</w:t>
            </w:r>
          </w:p>
        </w:tc>
        <w:tc>
          <w:tcPr>
            <w:tcW w:w="2514"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1,99</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77 541 132</w:t>
            </w:r>
          </w:p>
        </w:tc>
        <w:tc>
          <w:tcPr>
            <w:tcW w:w="2622"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4 310 390 000</w:t>
            </w:r>
          </w:p>
        </w:tc>
        <w:tc>
          <w:tcPr>
            <w:tcW w:w="2514"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1,80</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76 014 388</w:t>
            </w:r>
          </w:p>
        </w:tc>
        <w:tc>
          <w:tcPr>
            <w:tcW w:w="2622"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5 144 651 000</w:t>
            </w:r>
          </w:p>
        </w:tc>
        <w:tc>
          <w:tcPr>
            <w:tcW w:w="2514"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1,48</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73 774 730</w:t>
            </w:r>
          </w:p>
        </w:tc>
        <w:tc>
          <w:tcPr>
            <w:tcW w:w="2622" w:type="dxa"/>
            <w:tcBorders>
              <w:bottom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5 613 140 000</w:t>
            </w:r>
          </w:p>
        </w:tc>
        <w:tc>
          <w:tcPr>
            <w:tcW w:w="2514"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1,31</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310 941 937</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19 272 902 000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1,61</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UIT</w:t>
            </w:r>
            <w:r w:rsidRPr="003B5EA4">
              <w:rPr>
                <w:i/>
                <w:sz w:val="18"/>
                <w:vertAlign w:val="superscript"/>
              </w:rPr>
              <w:t>f</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9 882 729</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4 931 770</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4 950 959</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215 244 000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4,59</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8 661 273</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12 492 709</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3 858 684</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213 125 000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4,06</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7 148 472</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3 550 218</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3 598 253</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188 091 000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3,80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7 151 767</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3 972 973</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3 178 794</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191 833 000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3,73</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32 844 241</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24 947 670</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15 586 691</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808 293 000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4,06</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F61BAC">
            <w:pPr>
              <w:keepNext/>
              <w:suppressAutoHyphens w:val="0"/>
              <w:spacing w:before="40" w:after="40" w:line="220" w:lineRule="exact"/>
              <w:rPr>
                <w:sz w:val="18"/>
              </w:rPr>
            </w:pPr>
            <w:r w:rsidRPr="003B5EA4">
              <w:rPr>
                <w:sz w:val="18"/>
              </w:rPr>
              <w:lastRenderedPageBreak/>
              <w:t>UNESCO</w:t>
            </w:r>
          </w:p>
        </w:tc>
        <w:tc>
          <w:tcPr>
            <w:tcW w:w="647"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16 377 989</w:t>
            </w:r>
          </w:p>
        </w:tc>
        <w:tc>
          <w:tcPr>
            <w:tcW w:w="2622"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11 643 221</w:t>
            </w:r>
          </w:p>
        </w:tc>
        <w:tc>
          <w:tcPr>
            <w:tcW w:w="2580"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4 734 768</w:t>
            </w:r>
          </w:p>
        </w:tc>
        <w:tc>
          <w:tcPr>
            <w:tcW w:w="1517"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806 166 000</w:t>
            </w:r>
          </w:p>
        </w:tc>
        <w:tc>
          <w:tcPr>
            <w:tcW w:w="2514" w:type="dxa"/>
            <w:tcBorders>
              <w:top w:val="single" w:sz="4" w:space="0" w:color="auto"/>
            </w:tcBorders>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2,03</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F61BAC">
            <w:pPr>
              <w:keepNext/>
              <w:suppressAutoHyphens w:val="0"/>
              <w:spacing w:before="40" w:after="40" w:line="220" w:lineRule="exact"/>
              <w:rPr>
                <w:sz w:val="18"/>
              </w:rPr>
            </w:pPr>
          </w:p>
        </w:tc>
        <w:tc>
          <w:tcPr>
            <w:tcW w:w="64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19 026 673</w:t>
            </w:r>
          </w:p>
        </w:tc>
        <w:tc>
          <w:tcPr>
            <w:tcW w:w="2622"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13 348 884</w:t>
            </w:r>
          </w:p>
        </w:tc>
        <w:tc>
          <w:tcPr>
            <w:tcW w:w="2580"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5 677 789</w:t>
            </w:r>
          </w:p>
        </w:tc>
        <w:tc>
          <w:tcPr>
            <w:tcW w:w="1517"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813 872 000</w:t>
            </w:r>
          </w:p>
        </w:tc>
        <w:tc>
          <w:tcPr>
            <w:tcW w:w="2514" w:type="dxa"/>
            <w:shd w:val="clear" w:color="auto" w:fill="auto"/>
            <w:noWrap/>
            <w:vAlign w:val="bottom"/>
          </w:tcPr>
          <w:p w:rsidR="00CB3BD7" w:rsidRPr="003B5EA4" w:rsidRDefault="00CB3BD7" w:rsidP="00F61BAC">
            <w:pPr>
              <w:keepNext/>
              <w:suppressAutoHyphens w:val="0"/>
              <w:spacing w:before="40" w:after="40" w:line="220" w:lineRule="exact"/>
              <w:jc w:val="right"/>
              <w:rPr>
                <w:sz w:val="18"/>
              </w:rPr>
            </w:pPr>
            <w:r w:rsidRPr="003B5EA4">
              <w:rPr>
                <w:sz w:val="18"/>
              </w:rPr>
              <w:t>2,34</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17 130 366</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12 686 906</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4 443 460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802 166 000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2,14</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16 857 165</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12 944 965</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3 912 200</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762 491 000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2,21</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69 392 193</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50 623 976</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18 768 217</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3 184 695 000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2,18</w:t>
            </w:r>
            <w:r w:rsidR="00947206" w:rsidRPr="003B5EA4">
              <w:rPr>
                <w:b/>
                <w:sz w:val="18"/>
              </w:rPr>
              <w:t>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UNICEF</w:t>
            </w:r>
            <w:r w:rsidRPr="003B5EA4">
              <w:rPr>
                <w:i/>
                <w:sz w:val="18"/>
                <w:vertAlign w:val="superscript"/>
              </w:rPr>
              <w:t>k</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126 300 000</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99 300 000</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27 000 000</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3 613 226 000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3,50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134 700 000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109 400 000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25 300 000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4 082 101 000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3,30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144 400 000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117 700 000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26 700 000</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4 540 398 000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3,18</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150 200 000</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126 500 000</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23 700 000</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5 077 602 000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2,96</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555 600 000</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452 900 000</w:t>
            </w: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102 700 000</w:t>
            </w: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17 313 327 000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3469B">
            <w:pPr>
              <w:suppressAutoHyphens w:val="0"/>
              <w:spacing w:before="80" w:after="80" w:line="220" w:lineRule="exact"/>
              <w:jc w:val="right"/>
              <w:rPr>
                <w:b/>
                <w:sz w:val="18"/>
              </w:rPr>
            </w:pPr>
            <w:r w:rsidRPr="003B5EA4">
              <w:rPr>
                <w:b/>
                <w:sz w:val="18"/>
              </w:rPr>
              <w:t>3,21</w:t>
            </w:r>
            <w:r w:rsidR="00947206" w:rsidRPr="003B5EA4">
              <w:rPr>
                <w:b/>
                <w:sz w:val="18"/>
              </w:rPr>
              <w:t> %</w:t>
            </w:r>
          </w:p>
        </w:tc>
      </w:tr>
      <w:tr w:rsidR="00D91604" w:rsidRPr="003B5EA4" w:rsidTr="00F2483D">
        <w:tc>
          <w:tcPr>
            <w:tcW w:w="1345" w:type="dxa"/>
            <w:vMerge w:val="restart"/>
            <w:shd w:val="clear" w:color="auto" w:fill="auto"/>
            <w:noWrap/>
          </w:tcPr>
          <w:p w:rsidR="00D91604" w:rsidRPr="003B5EA4" w:rsidRDefault="00D91604" w:rsidP="00D91604">
            <w:pPr>
              <w:suppressAutoHyphens w:val="0"/>
              <w:spacing w:before="40" w:after="40" w:line="220" w:lineRule="exact"/>
              <w:rPr>
                <w:sz w:val="18"/>
              </w:rPr>
            </w:pPr>
            <w:r w:rsidRPr="003B5EA4">
              <w:rPr>
                <w:sz w:val="18"/>
              </w:rPr>
              <w:t>UNOPS</w:t>
            </w:r>
          </w:p>
        </w:tc>
        <w:tc>
          <w:tcPr>
            <w:tcW w:w="647"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19 281 000</w:t>
            </w:r>
          </w:p>
        </w:tc>
        <w:tc>
          <w:tcPr>
            <w:tcW w:w="2622" w:type="dxa"/>
            <w:tcBorders>
              <w:top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979 000 000</w:t>
            </w:r>
          </w:p>
        </w:tc>
        <w:tc>
          <w:tcPr>
            <w:tcW w:w="2514" w:type="dxa"/>
            <w:tcBorders>
              <w:top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1,97</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22 830 000</w:t>
            </w:r>
          </w:p>
        </w:tc>
        <w:tc>
          <w:tcPr>
            <w:tcW w:w="2622"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1 141 800 000</w:t>
            </w:r>
          </w:p>
        </w:tc>
        <w:tc>
          <w:tcPr>
            <w:tcW w:w="2514"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2,00</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24 798 000</w:t>
            </w:r>
          </w:p>
        </w:tc>
        <w:tc>
          <w:tcPr>
            <w:tcW w:w="2622"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1 286 300 000</w:t>
            </w:r>
          </w:p>
        </w:tc>
        <w:tc>
          <w:tcPr>
            <w:tcW w:w="2514" w:type="dxa"/>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1,93</w:t>
            </w:r>
            <w:r w:rsidR="00947206" w:rsidRPr="003B5EA4">
              <w:rPr>
                <w:sz w:val="18"/>
              </w:rPr>
              <w:t> %</w:t>
            </w:r>
          </w:p>
        </w:tc>
      </w:tr>
      <w:tr w:rsidR="00D91604" w:rsidRPr="003B5EA4" w:rsidTr="00F2483D">
        <w:tc>
          <w:tcPr>
            <w:tcW w:w="1345" w:type="dxa"/>
            <w:vMerge/>
            <w:shd w:val="clear" w:color="auto" w:fill="auto"/>
            <w:noWrap/>
          </w:tcPr>
          <w:p w:rsidR="00D91604" w:rsidRPr="003B5EA4" w:rsidRDefault="00D91604" w:rsidP="00D91604">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35 682 000</w:t>
            </w:r>
          </w:p>
        </w:tc>
        <w:tc>
          <w:tcPr>
            <w:tcW w:w="2622" w:type="dxa"/>
            <w:tcBorders>
              <w:bottom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D91604" w:rsidRPr="003B5EA4" w:rsidRDefault="00D91604" w:rsidP="00D91604">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1 523 600 000</w:t>
            </w:r>
          </w:p>
        </w:tc>
        <w:tc>
          <w:tcPr>
            <w:tcW w:w="2514" w:type="dxa"/>
            <w:tcBorders>
              <w:bottom w:val="single" w:sz="4" w:space="0" w:color="auto"/>
            </w:tcBorders>
            <w:shd w:val="clear" w:color="auto" w:fill="auto"/>
            <w:noWrap/>
            <w:vAlign w:val="bottom"/>
          </w:tcPr>
          <w:p w:rsidR="00D91604" w:rsidRPr="003B5EA4" w:rsidRDefault="00D91604" w:rsidP="00D91604">
            <w:pPr>
              <w:suppressAutoHyphens w:val="0"/>
              <w:spacing w:before="40" w:after="40" w:line="220" w:lineRule="exact"/>
              <w:jc w:val="right"/>
              <w:rPr>
                <w:sz w:val="18"/>
              </w:rPr>
            </w:pPr>
            <w:r w:rsidRPr="003B5EA4">
              <w:rPr>
                <w:sz w:val="18"/>
              </w:rPr>
              <w:t>2,34</w:t>
            </w:r>
            <w:r w:rsidR="00947206" w:rsidRPr="003B5EA4">
              <w:rPr>
                <w:sz w:val="18"/>
              </w:rPr>
              <w:t> %</w:t>
            </w:r>
          </w:p>
        </w:tc>
      </w:tr>
      <w:tr w:rsidR="0041732E"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CB3BD7" w:rsidRPr="003B5EA4" w:rsidRDefault="00CB3BD7" w:rsidP="001B0F31">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CB3BD7" w:rsidRPr="003B5EA4" w:rsidRDefault="00CB3BD7" w:rsidP="001B0F31">
            <w:pPr>
              <w:suppressAutoHyphens w:val="0"/>
              <w:spacing w:before="80" w:after="80" w:line="220" w:lineRule="exact"/>
              <w:jc w:val="right"/>
              <w:rPr>
                <w:b/>
                <w:sz w:val="18"/>
              </w:rPr>
            </w:pPr>
            <w:r w:rsidRPr="003B5EA4">
              <w:rPr>
                <w:b/>
                <w:sz w:val="18"/>
              </w:rPr>
              <w:t>102 591 000</w:t>
            </w:r>
          </w:p>
        </w:tc>
        <w:tc>
          <w:tcPr>
            <w:tcW w:w="2622" w:type="dxa"/>
            <w:tcBorders>
              <w:top w:val="single" w:sz="4" w:space="0" w:color="auto"/>
              <w:bottom w:val="single" w:sz="4" w:space="0" w:color="auto"/>
            </w:tcBorders>
            <w:shd w:val="clear" w:color="auto" w:fill="auto"/>
            <w:noWrap/>
            <w:vAlign w:val="bottom"/>
          </w:tcPr>
          <w:p w:rsidR="00CB3BD7" w:rsidRPr="003B5EA4" w:rsidRDefault="00CB3BD7" w:rsidP="001B0F31">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CB3BD7" w:rsidRPr="003B5EA4" w:rsidRDefault="00CB3BD7" w:rsidP="001B0F31">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CB3BD7" w:rsidRPr="003B5EA4" w:rsidRDefault="00CB3BD7" w:rsidP="001B0F31">
            <w:pPr>
              <w:suppressAutoHyphens w:val="0"/>
              <w:spacing w:before="80" w:after="80" w:line="220" w:lineRule="exact"/>
              <w:jc w:val="right"/>
              <w:rPr>
                <w:b/>
                <w:sz w:val="18"/>
              </w:rPr>
            </w:pPr>
            <w:r w:rsidRPr="003B5EA4">
              <w:rPr>
                <w:b/>
                <w:sz w:val="18"/>
              </w:rPr>
              <w:t>4 930 700 000</w:t>
            </w:r>
          </w:p>
        </w:tc>
        <w:tc>
          <w:tcPr>
            <w:tcW w:w="2514" w:type="dxa"/>
            <w:tcBorders>
              <w:top w:val="single" w:sz="4" w:space="0" w:color="auto"/>
              <w:bottom w:val="single" w:sz="4" w:space="0" w:color="auto"/>
            </w:tcBorders>
            <w:shd w:val="clear" w:color="auto" w:fill="auto"/>
            <w:noWrap/>
            <w:vAlign w:val="bottom"/>
          </w:tcPr>
          <w:p w:rsidR="00CB3BD7" w:rsidRPr="003B5EA4" w:rsidRDefault="00CB3BD7" w:rsidP="001B0F31">
            <w:pPr>
              <w:suppressAutoHyphens w:val="0"/>
              <w:spacing w:before="80" w:after="80" w:line="220" w:lineRule="exact"/>
              <w:jc w:val="right"/>
              <w:rPr>
                <w:b/>
                <w:sz w:val="18"/>
              </w:rPr>
            </w:pPr>
            <w:r w:rsidRPr="003B5EA4">
              <w:rPr>
                <w:b/>
                <w:sz w:val="18"/>
              </w:rPr>
              <w:t>2,08</w:t>
            </w:r>
            <w:r w:rsidR="00947206" w:rsidRPr="003B5EA4">
              <w:rPr>
                <w:b/>
                <w:sz w:val="18"/>
              </w:rPr>
              <w:t> %</w:t>
            </w:r>
          </w:p>
        </w:tc>
      </w:tr>
      <w:tr w:rsidR="0028277F" w:rsidRPr="003B5EA4" w:rsidTr="00F2483D">
        <w:tc>
          <w:tcPr>
            <w:tcW w:w="1345" w:type="dxa"/>
            <w:vMerge w:val="restart"/>
            <w:shd w:val="clear" w:color="auto" w:fill="auto"/>
            <w:noWrap/>
          </w:tcPr>
          <w:p w:rsidR="000E6C13" w:rsidRPr="003B5EA4" w:rsidRDefault="000E6C13" w:rsidP="009958AA">
            <w:pPr>
              <w:suppressAutoHyphens w:val="0"/>
              <w:spacing w:before="40" w:after="40" w:line="220" w:lineRule="exact"/>
              <w:rPr>
                <w:sz w:val="18"/>
              </w:rPr>
            </w:pPr>
            <w:r w:rsidRPr="003B5EA4">
              <w:rPr>
                <w:sz w:val="18"/>
              </w:rPr>
              <w:t>UNRWA</w:t>
            </w:r>
          </w:p>
        </w:tc>
        <w:tc>
          <w:tcPr>
            <w:tcW w:w="647" w:type="dxa"/>
            <w:tcBorders>
              <w:top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2 801 785</w:t>
            </w:r>
          </w:p>
        </w:tc>
        <w:tc>
          <w:tcPr>
            <w:tcW w:w="2622" w:type="dxa"/>
            <w:tcBorders>
              <w:top w:val="single" w:sz="4" w:space="0" w:color="auto"/>
            </w:tcBorders>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2580" w:type="dxa"/>
            <w:tcBorders>
              <w:top w:val="single" w:sz="4" w:space="0" w:color="auto"/>
            </w:tcBorders>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1517" w:type="dxa"/>
            <w:tcBorders>
              <w:top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664 041 000</w:t>
            </w:r>
          </w:p>
        </w:tc>
        <w:tc>
          <w:tcPr>
            <w:tcW w:w="2514" w:type="dxa"/>
            <w:tcBorders>
              <w:top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0,42 %</w:t>
            </w:r>
          </w:p>
        </w:tc>
      </w:tr>
      <w:tr w:rsidR="0028277F" w:rsidRPr="003B5EA4" w:rsidTr="00F2483D">
        <w:tc>
          <w:tcPr>
            <w:tcW w:w="1345" w:type="dxa"/>
            <w:vMerge/>
            <w:shd w:val="clear" w:color="auto" w:fill="auto"/>
            <w:noWrap/>
          </w:tcPr>
          <w:p w:rsidR="000E6C13" w:rsidRPr="003B5EA4" w:rsidRDefault="000E6C13" w:rsidP="009958AA">
            <w:pPr>
              <w:suppressAutoHyphens w:val="0"/>
              <w:spacing w:before="40" w:after="40" w:line="220" w:lineRule="exact"/>
              <w:rPr>
                <w:sz w:val="18"/>
              </w:rPr>
            </w:pPr>
          </w:p>
        </w:tc>
        <w:tc>
          <w:tcPr>
            <w:tcW w:w="647"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2 530 593</w:t>
            </w:r>
          </w:p>
        </w:tc>
        <w:tc>
          <w:tcPr>
            <w:tcW w:w="2622" w:type="dxa"/>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2580" w:type="dxa"/>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710 501 000</w:t>
            </w:r>
          </w:p>
        </w:tc>
        <w:tc>
          <w:tcPr>
            <w:tcW w:w="2514"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0,36 %</w:t>
            </w:r>
          </w:p>
        </w:tc>
      </w:tr>
      <w:tr w:rsidR="0028277F" w:rsidRPr="003B5EA4" w:rsidTr="00F2483D">
        <w:tc>
          <w:tcPr>
            <w:tcW w:w="1345" w:type="dxa"/>
            <w:vMerge/>
            <w:shd w:val="clear" w:color="auto" w:fill="auto"/>
            <w:noWrap/>
          </w:tcPr>
          <w:p w:rsidR="000E6C13" w:rsidRPr="003B5EA4" w:rsidRDefault="000E6C13" w:rsidP="009958AA">
            <w:pPr>
              <w:suppressAutoHyphens w:val="0"/>
              <w:spacing w:before="40" w:after="40" w:line="220" w:lineRule="exact"/>
              <w:rPr>
                <w:sz w:val="18"/>
              </w:rPr>
            </w:pPr>
          </w:p>
        </w:tc>
        <w:tc>
          <w:tcPr>
            <w:tcW w:w="647"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2 581 243</w:t>
            </w:r>
          </w:p>
        </w:tc>
        <w:tc>
          <w:tcPr>
            <w:tcW w:w="2622" w:type="dxa"/>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2580" w:type="dxa"/>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1517"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1 301 085 000</w:t>
            </w:r>
          </w:p>
        </w:tc>
        <w:tc>
          <w:tcPr>
            <w:tcW w:w="2514" w:type="dxa"/>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0,20 %</w:t>
            </w:r>
          </w:p>
        </w:tc>
      </w:tr>
      <w:tr w:rsidR="0028277F" w:rsidRPr="003B5EA4" w:rsidTr="00F2483D">
        <w:tc>
          <w:tcPr>
            <w:tcW w:w="1345" w:type="dxa"/>
            <w:vMerge/>
            <w:shd w:val="clear" w:color="auto" w:fill="auto"/>
            <w:noWrap/>
          </w:tcPr>
          <w:p w:rsidR="000E6C13" w:rsidRPr="003B5EA4" w:rsidRDefault="000E6C13" w:rsidP="009958AA">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3 020 743</w:t>
            </w:r>
          </w:p>
        </w:tc>
        <w:tc>
          <w:tcPr>
            <w:tcW w:w="2622" w:type="dxa"/>
            <w:tcBorders>
              <w:bottom w:val="single" w:sz="4" w:space="0" w:color="auto"/>
            </w:tcBorders>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2580" w:type="dxa"/>
            <w:tcBorders>
              <w:bottom w:val="single" w:sz="4" w:space="0" w:color="auto"/>
            </w:tcBorders>
            <w:shd w:val="clear" w:color="auto" w:fill="auto"/>
            <w:noWrap/>
          </w:tcPr>
          <w:p w:rsidR="000E6C13" w:rsidRPr="003B5EA4" w:rsidRDefault="000E6C13" w:rsidP="009958AA">
            <w:pPr>
              <w:spacing w:before="40" w:after="40" w:line="220" w:lineRule="exact"/>
              <w:jc w:val="right"/>
            </w:pPr>
            <w:r w:rsidRPr="003B5EA4">
              <w:rPr>
                <w:color w:val="000000"/>
                <w:sz w:val="18"/>
                <w:szCs w:val="18"/>
              </w:rPr>
              <w:t>Non ventilé</w:t>
            </w:r>
          </w:p>
        </w:tc>
        <w:tc>
          <w:tcPr>
            <w:tcW w:w="1517" w:type="dxa"/>
            <w:tcBorders>
              <w:bottom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1 333 775 000</w:t>
            </w:r>
          </w:p>
        </w:tc>
        <w:tc>
          <w:tcPr>
            <w:tcW w:w="2514" w:type="dxa"/>
            <w:tcBorders>
              <w:bottom w:val="single" w:sz="4" w:space="0" w:color="auto"/>
            </w:tcBorders>
            <w:shd w:val="clear" w:color="auto" w:fill="auto"/>
            <w:noWrap/>
            <w:vAlign w:val="bottom"/>
          </w:tcPr>
          <w:p w:rsidR="000E6C13" w:rsidRPr="003B5EA4" w:rsidRDefault="000E6C13" w:rsidP="009958AA">
            <w:pPr>
              <w:suppressAutoHyphens w:val="0"/>
              <w:spacing w:before="40" w:after="40" w:line="220" w:lineRule="exact"/>
              <w:jc w:val="right"/>
              <w:rPr>
                <w:sz w:val="18"/>
              </w:rPr>
            </w:pPr>
            <w:r w:rsidRPr="003B5EA4">
              <w:rPr>
                <w:sz w:val="18"/>
              </w:rPr>
              <w:t>0,23 %</w:t>
            </w:r>
          </w:p>
        </w:tc>
      </w:tr>
      <w:tr w:rsidR="0028277F" w:rsidRPr="003B5EA4" w:rsidTr="00F2483D">
        <w:tc>
          <w:tcPr>
            <w:tcW w:w="1345" w:type="dxa"/>
            <w:vMerge/>
            <w:shd w:val="clear" w:color="auto" w:fill="auto"/>
            <w:noWrap/>
          </w:tcPr>
          <w:p w:rsidR="000E6C13" w:rsidRPr="003B5EA4" w:rsidRDefault="000E6C13" w:rsidP="009958AA">
            <w:pPr>
              <w:suppressAutoHyphens w:val="0"/>
              <w:spacing w:before="40" w:after="40" w:line="220" w:lineRule="exact"/>
              <w:rPr>
                <w:sz w:val="18"/>
              </w:rPr>
            </w:pPr>
          </w:p>
        </w:tc>
        <w:tc>
          <w:tcPr>
            <w:tcW w:w="647" w:type="dxa"/>
            <w:tcBorders>
              <w:top w:val="single" w:sz="4" w:space="0" w:color="auto"/>
              <w:bottom w:val="single" w:sz="4" w:space="0" w:color="auto"/>
            </w:tcBorders>
            <w:shd w:val="clear" w:color="auto" w:fill="auto"/>
            <w:noWrap/>
            <w:vAlign w:val="bottom"/>
          </w:tcPr>
          <w:p w:rsidR="000E6C13" w:rsidRPr="003B5EA4" w:rsidRDefault="000E6C13" w:rsidP="009958AA">
            <w:pPr>
              <w:suppressAutoHyphens w:val="0"/>
              <w:spacing w:before="80" w:after="80" w:line="220" w:lineRule="exact"/>
              <w:jc w:val="right"/>
              <w:rPr>
                <w:sz w:val="18"/>
              </w:rPr>
            </w:pPr>
            <w:r w:rsidRPr="003B5EA4">
              <w:rPr>
                <w:b/>
                <w:sz w:val="18"/>
              </w:rPr>
              <w:t>Total</w:t>
            </w:r>
          </w:p>
        </w:tc>
        <w:tc>
          <w:tcPr>
            <w:tcW w:w="2552" w:type="dxa"/>
            <w:tcBorders>
              <w:top w:val="single" w:sz="4" w:space="0" w:color="auto"/>
              <w:bottom w:val="single" w:sz="4" w:space="0" w:color="auto"/>
            </w:tcBorders>
            <w:shd w:val="clear" w:color="auto" w:fill="auto"/>
            <w:noWrap/>
            <w:vAlign w:val="bottom"/>
          </w:tcPr>
          <w:p w:rsidR="000E6C13" w:rsidRPr="003B5EA4" w:rsidRDefault="000E6C13" w:rsidP="009958AA">
            <w:pPr>
              <w:suppressAutoHyphens w:val="0"/>
              <w:spacing w:before="80" w:after="80" w:line="220" w:lineRule="exact"/>
              <w:jc w:val="right"/>
              <w:rPr>
                <w:b/>
                <w:sz w:val="18"/>
              </w:rPr>
            </w:pPr>
            <w:r w:rsidRPr="003B5EA4">
              <w:rPr>
                <w:b/>
                <w:sz w:val="18"/>
              </w:rPr>
              <w:t>10 934 364</w:t>
            </w:r>
          </w:p>
        </w:tc>
        <w:tc>
          <w:tcPr>
            <w:tcW w:w="2622" w:type="dxa"/>
            <w:tcBorders>
              <w:top w:val="single" w:sz="4" w:space="0" w:color="auto"/>
              <w:bottom w:val="single" w:sz="4" w:space="0" w:color="auto"/>
            </w:tcBorders>
            <w:shd w:val="clear" w:color="auto" w:fill="auto"/>
            <w:noWrap/>
            <w:vAlign w:val="bottom"/>
          </w:tcPr>
          <w:p w:rsidR="000E6C13" w:rsidRPr="003B5EA4" w:rsidRDefault="000E6C13" w:rsidP="009958AA">
            <w:pPr>
              <w:suppressAutoHyphens w:val="0"/>
              <w:spacing w:before="80" w:after="80" w:line="220" w:lineRule="exact"/>
              <w:jc w:val="right"/>
              <w:rPr>
                <w:b/>
                <w:sz w:val="18"/>
              </w:rPr>
            </w:pPr>
          </w:p>
        </w:tc>
        <w:tc>
          <w:tcPr>
            <w:tcW w:w="2580" w:type="dxa"/>
            <w:tcBorders>
              <w:top w:val="single" w:sz="4" w:space="0" w:color="auto"/>
              <w:bottom w:val="single" w:sz="4" w:space="0" w:color="auto"/>
            </w:tcBorders>
            <w:shd w:val="clear" w:color="auto" w:fill="auto"/>
            <w:noWrap/>
            <w:vAlign w:val="bottom"/>
          </w:tcPr>
          <w:p w:rsidR="000E6C13" w:rsidRPr="003B5EA4" w:rsidRDefault="000E6C13" w:rsidP="009958AA">
            <w:pPr>
              <w:suppressAutoHyphens w:val="0"/>
              <w:spacing w:before="80" w:after="80" w:line="220" w:lineRule="exact"/>
              <w:jc w:val="right"/>
              <w:rPr>
                <w:b/>
                <w:sz w:val="18"/>
              </w:rPr>
            </w:pPr>
          </w:p>
        </w:tc>
        <w:tc>
          <w:tcPr>
            <w:tcW w:w="1517" w:type="dxa"/>
            <w:tcBorders>
              <w:top w:val="single" w:sz="4" w:space="0" w:color="auto"/>
              <w:bottom w:val="single" w:sz="4" w:space="0" w:color="auto"/>
            </w:tcBorders>
            <w:shd w:val="clear" w:color="auto" w:fill="auto"/>
            <w:noWrap/>
            <w:vAlign w:val="bottom"/>
          </w:tcPr>
          <w:p w:rsidR="000E6C13" w:rsidRPr="003B5EA4" w:rsidRDefault="000E6C13" w:rsidP="009958AA">
            <w:pPr>
              <w:suppressAutoHyphens w:val="0"/>
              <w:spacing w:before="80" w:after="80" w:line="220" w:lineRule="exact"/>
              <w:jc w:val="right"/>
              <w:rPr>
                <w:b/>
                <w:sz w:val="18"/>
              </w:rPr>
            </w:pPr>
            <w:r w:rsidRPr="003B5EA4">
              <w:rPr>
                <w:b/>
                <w:sz w:val="18"/>
              </w:rPr>
              <w:t>4 009 402 000</w:t>
            </w:r>
          </w:p>
        </w:tc>
        <w:tc>
          <w:tcPr>
            <w:tcW w:w="2514" w:type="dxa"/>
            <w:tcBorders>
              <w:top w:val="single" w:sz="4" w:space="0" w:color="auto"/>
              <w:bottom w:val="single" w:sz="4" w:space="0" w:color="auto"/>
            </w:tcBorders>
            <w:shd w:val="clear" w:color="auto" w:fill="auto"/>
            <w:noWrap/>
            <w:vAlign w:val="bottom"/>
          </w:tcPr>
          <w:p w:rsidR="000E6C13" w:rsidRPr="003B5EA4" w:rsidRDefault="000E6C13" w:rsidP="009958AA">
            <w:pPr>
              <w:suppressAutoHyphens w:val="0"/>
              <w:spacing w:before="80" w:after="80" w:line="220" w:lineRule="exact"/>
              <w:jc w:val="right"/>
              <w:rPr>
                <w:b/>
                <w:sz w:val="18"/>
              </w:rPr>
            </w:pPr>
            <w:r w:rsidRPr="003B5EA4">
              <w:rPr>
                <w:b/>
                <w:sz w:val="18"/>
              </w:rPr>
              <w:t>0,27 %</w:t>
            </w:r>
          </w:p>
        </w:tc>
      </w:tr>
      <w:tr w:rsidR="00CB3BD7" w:rsidRPr="003B5EA4" w:rsidTr="00F2483D">
        <w:tc>
          <w:tcPr>
            <w:tcW w:w="1345" w:type="dxa"/>
            <w:vMerge w:val="restart"/>
            <w:shd w:val="clear" w:color="auto" w:fill="auto"/>
            <w:noWrap/>
          </w:tcPr>
          <w:p w:rsidR="00CB3BD7" w:rsidRPr="003B5EA4" w:rsidRDefault="00CB3BD7" w:rsidP="00CB3BD7">
            <w:pPr>
              <w:suppressAutoHyphens w:val="0"/>
              <w:spacing w:before="40" w:after="40" w:line="220" w:lineRule="exact"/>
              <w:rPr>
                <w:sz w:val="18"/>
              </w:rPr>
            </w:pPr>
            <w:r w:rsidRPr="003B5EA4">
              <w:rPr>
                <w:sz w:val="18"/>
              </w:rPr>
              <w:t>UPU</w:t>
            </w:r>
            <w:r w:rsidRPr="003B5EA4">
              <w:rPr>
                <w:i/>
                <w:sz w:val="18"/>
                <w:vertAlign w:val="superscript"/>
              </w:rPr>
              <w:t>f</w:t>
            </w:r>
          </w:p>
        </w:tc>
        <w:tc>
          <w:tcPr>
            <w:tcW w:w="64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2012</w:t>
            </w:r>
          </w:p>
        </w:tc>
        <w:tc>
          <w:tcPr>
            <w:tcW w:w="255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875 614</w:t>
            </w:r>
          </w:p>
        </w:tc>
        <w:tc>
          <w:tcPr>
            <w:tcW w:w="2622"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746 792</w:t>
            </w:r>
          </w:p>
        </w:tc>
        <w:tc>
          <w:tcPr>
            <w:tcW w:w="2580"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128 822</w:t>
            </w:r>
          </w:p>
        </w:tc>
        <w:tc>
          <w:tcPr>
            <w:tcW w:w="1517"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74 012 000</w:t>
            </w:r>
          </w:p>
        </w:tc>
        <w:tc>
          <w:tcPr>
            <w:tcW w:w="2514" w:type="dxa"/>
            <w:tcBorders>
              <w:top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1,18</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2013</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984 610</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820 090</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164 521</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76 015 000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1,30</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2014</w:t>
            </w:r>
          </w:p>
        </w:tc>
        <w:tc>
          <w:tcPr>
            <w:tcW w:w="255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1 236 479</w:t>
            </w:r>
          </w:p>
        </w:tc>
        <w:tc>
          <w:tcPr>
            <w:tcW w:w="2622"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917 203</w:t>
            </w:r>
          </w:p>
        </w:tc>
        <w:tc>
          <w:tcPr>
            <w:tcW w:w="2580"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319 276</w:t>
            </w:r>
          </w:p>
        </w:tc>
        <w:tc>
          <w:tcPr>
            <w:tcW w:w="1517"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63 246 000</w:t>
            </w:r>
          </w:p>
        </w:tc>
        <w:tc>
          <w:tcPr>
            <w:tcW w:w="2514" w:type="dxa"/>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1,96</w:t>
            </w:r>
            <w:r w:rsidR="00947206" w:rsidRPr="003B5EA4">
              <w:rPr>
                <w:sz w:val="18"/>
              </w:rPr>
              <w:t> %</w:t>
            </w:r>
          </w:p>
        </w:tc>
      </w:tr>
      <w:tr w:rsidR="00CB3BD7" w:rsidRPr="003B5EA4" w:rsidTr="00F2483D">
        <w:tc>
          <w:tcPr>
            <w:tcW w:w="1345" w:type="dxa"/>
            <w:vMerge/>
            <w:shd w:val="clear" w:color="auto" w:fill="auto"/>
            <w:noWrap/>
          </w:tcPr>
          <w:p w:rsidR="00CB3BD7" w:rsidRPr="003B5EA4" w:rsidRDefault="00CB3BD7" w:rsidP="00CB3BD7">
            <w:pPr>
              <w:suppressAutoHyphens w:val="0"/>
              <w:spacing w:before="40" w:after="40" w:line="220" w:lineRule="exact"/>
              <w:rPr>
                <w:sz w:val="18"/>
              </w:rPr>
            </w:pPr>
          </w:p>
        </w:tc>
        <w:tc>
          <w:tcPr>
            <w:tcW w:w="64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2015</w:t>
            </w:r>
          </w:p>
        </w:tc>
        <w:tc>
          <w:tcPr>
            <w:tcW w:w="255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1 418 221</w:t>
            </w:r>
          </w:p>
        </w:tc>
        <w:tc>
          <w:tcPr>
            <w:tcW w:w="2622"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1 068 444</w:t>
            </w:r>
          </w:p>
        </w:tc>
        <w:tc>
          <w:tcPr>
            <w:tcW w:w="2580"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349 778</w:t>
            </w:r>
          </w:p>
        </w:tc>
        <w:tc>
          <w:tcPr>
            <w:tcW w:w="1517"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79 266 000</w:t>
            </w:r>
          </w:p>
        </w:tc>
        <w:tc>
          <w:tcPr>
            <w:tcW w:w="2514" w:type="dxa"/>
            <w:tcBorders>
              <w:bottom w:val="single" w:sz="4" w:space="0" w:color="auto"/>
            </w:tcBorders>
            <w:shd w:val="clear" w:color="auto" w:fill="auto"/>
            <w:noWrap/>
            <w:vAlign w:val="bottom"/>
          </w:tcPr>
          <w:p w:rsidR="00CB3BD7" w:rsidRPr="003B5EA4" w:rsidRDefault="00CB3BD7" w:rsidP="00CB3BD7">
            <w:pPr>
              <w:suppressAutoHyphens w:val="0"/>
              <w:spacing w:before="40" w:after="40" w:line="220" w:lineRule="exact"/>
              <w:jc w:val="right"/>
              <w:rPr>
                <w:sz w:val="18"/>
              </w:rPr>
            </w:pPr>
            <w:r w:rsidRPr="003B5EA4">
              <w:rPr>
                <w:sz w:val="18"/>
              </w:rPr>
              <w:t>1,79</w:t>
            </w:r>
            <w:r w:rsidR="00947206" w:rsidRPr="003B5EA4">
              <w:rPr>
                <w:sz w:val="18"/>
              </w:rPr>
              <w:t> %</w:t>
            </w:r>
          </w:p>
        </w:tc>
      </w:tr>
      <w:tr w:rsidR="005C2428" w:rsidRPr="003B5EA4" w:rsidTr="00F2483D">
        <w:tc>
          <w:tcPr>
            <w:tcW w:w="1345" w:type="dxa"/>
            <w:vMerge/>
            <w:tcBorders>
              <w:bottom w:val="single" w:sz="12" w:space="0" w:color="auto"/>
            </w:tcBorders>
            <w:shd w:val="clear" w:color="auto" w:fill="auto"/>
            <w:noWrap/>
          </w:tcPr>
          <w:p w:rsidR="005C2428" w:rsidRPr="003B5EA4" w:rsidRDefault="005C2428" w:rsidP="005C2428">
            <w:pPr>
              <w:suppressAutoHyphens w:val="0"/>
              <w:spacing w:before="40" w:after="40" w:line="220" w:lineRule="exact"/>
              <w:rPr>
                <w:sz w:val="18"/>
              </w:rPr>
            </w:pPr>
          </w:p>
        </w:tc>
        <w:tc>
          <w:tcPr>
            <w:tcW w:w="647" w:type="dxa"/>
            <w:tcBorders>
              <w:bottom w:val="single" w:sz="12" w:space="0" w:color="auto"/>
            </w:tcBorders>
            <w:shd w:val="clear" w:color="auto" w:fill="auto"/>
            <w:noWrap/>
            <w:vAlign w:val="bottom"/>
          </w:tcPr>
          <w:p w:rsidR="005C2428" w:rsidRPr="003B5EA4" w:rsidRDefault="005C2428" w:rsidP="005C2428">
            <w:pPr>
              <w:suppressAutoHyphens w:val="0"/>
              <w:spacing w:before="80" w:after="80" w:line="220" w:lineRule="exact"/>
              <w:jc w:val="right"/>
              <w:rPr>
                <w:sz w:val="18"/>
              </w:rPr>
            </w:pPr>
            <w:r w:rsidRPr="003B5EA4">
              <w:rPr>
                <w:b/>
                <w:sz w:val="18"/>
              </w:rPr>
              <w:t>Total</w:t>
            </w:r>
          </w:p>
        </w:tc>
        <w:tc>
          <w:tcPr>
            <w:tcW w:w="2552" w:type="dxa"/>
            <w:tcBorders>
              <w:bottom w:val="single" w:sz="12" w:space="0" w:color="auto"/>
            </w:tcBorders>
            <w:shd w:val="clear" w:color="auto" w:fill="auto"/>
            <w:noWrap/>
            <w:vAlign w:val="bottom"/>
          </w:tcPr>
          <w:p w:rsidR="005C2428" w:rsidRPr="003B5EA4" w:rsidRDefault="005C2428" w:rsidP="005C2428">
            <w:pPr>
              <w:suppressAutoHyphens w:val="0"/>
              <w:spacing w:before="80" w:after="80" w:line="220" w:lineRule="exact"/>
              <w:jc w:val="right"/>
              <w:rPr>
                <w:b/>
                <w:sz w:val="18"/>
              </w:rPr>
            </w:pPr>
            <w:r w:rsidRPr="003B5EA4">
              <w:rPr>
                <w:b/>
                <w:sz w:val="18"/>
              </w:rPr>
              <w:t>4 514 924</w:t>
            </w:r>
          </w:p>
        </w:tc>
        <w:tc>
          <w:tcPr>
            <w:tcW w:w="2622" w:type="dxa"/>
            <w:tcBorders>
              <w:bottom w:val="single" w:sz="12" w:space="0" w:color="auto"/>
            </w:tcBorders>
            <w:shd w:val="clear" w:color="auto" w:fill="auto"/>
            <w:noWrap/>
            <w:vAlign w:val="bottom"/>
          </w:tcPr>
          <w:p w:rsidR="005C2428" w:rsidRPr="003B5EA4" w:rsidRDefault="005C2428" w:rsidP="005C2428">
            <w:pPr>
              <w:suppressAutoHyphens w:val="0"/>
              <w:spacing w:before="80" w:after="80" w:line="220" w:lineRule="exact"/>
              <w:jc w:val="right"/>
              <w:rPr>
                <w:b/>
                <w:sz w:val="18"/>
              </w:rPr>
            </w:pPr>
            <w:r w:rsidRPr="003B5EA4">
              <w:rPr>
                <w:b/>
                <w:sz w:val="18"/>
              </w:rPr>
              <w:t>3 552 529</w:t>
            </w:r>
          </w:p>
        </w:tc>
        <w:tc>
          <w:tcPr>
            <w:tcW w:w="2580" w:type="dxa"/>
            <w:tcBorders>
              <w:bottom w:val="single" w:sz="12" w:space="0" w:color="auto"/>
            </w:tcBorders>
            <w:shd w:val="clear" w:color="auto" w:fill="auto"/>
            <w:noWrap/>
            <w:vAlign w:val="bottom"/>
          </w:tcPr>
          <w:p w:rsidR="005C2428" w:rsidRPr="003B5EA4" w:rsidRDefault="005C2428" w:rsidP="005C2428">
            <w:pPr>
              <w:suppressAutoHyphens w:val="0"/>
              <w:spacing w:before="80" w:after="80" w:line="220" w:lineRule="exact"/>
              <w:jc w:val="right"/>
              <w:rPr>
                <w:b/>
                <w:sz w:val="18"/>
              </w:rPr>
            </w:pPr>
            <w:r w:rsidRPr="003B5EA4">
              <w:rPr>
                <w:b/>
                <w:sz w:val="18"/>
              </w:rPr>
              <w:t>962 397</w:t>
            </w:r>
          </w:p>
        </w:tc>
        <w:tc>
          <w:tcPr>
            <w:tcW w:w="1517" w:type="dxa"/>
            <w:tcBorders>
              <w:bottom w:val="single" w:sz="12" w:space="0" w:color="auto"/>
            </w:tcBorders>
            <w:shd w:val="clear" w:color="auto" w:fill="auto"/>
            <w:noWrap/>
            <w:vAlign w:val="bottom"/>
          </w:tcPr>
          <w:p w:rsidR="005C2428" w:rsidRPr="003B5EA4" w:rsidRDefault="005C2428" w:rsidP="005C2428">
            <w:pPr>
              <w:suppressAutoHyphens w:val="0"/>
              <w:spacing w:before="80" w:after="80" w:line="220" w:lineRule="exact"/>
              <w:jc w:val="right"/>
              <w:rPr>
                <w:b/>
                <w:sz w:val="18"/>
              </w:rPr>
            </w:pPr>
            <w:r w:rsidRPr="003B5EA4">
              <w:rPr>
                <w:b/>
                <w:sz w:val="18"/>
              </w:rPr>
              <w:t>292 539 000</w:t>
            </w:r>
          </w:p>
        </w:tc>
        <w:tc>
          <w:tcPr>
            <w:tcW w:w="2514" w:type="dxa"/>
            <w:tcBorders>
              <w:bottom w:val="single" w:sz="12" w:space="0" w:color="auto"/>
            </w:tcBorders>
            <w:shd w:val="clear" w:color="auto" w:fill="auto"/>
            <w:noWrap/>
            <w:vAlign w:val="bottom"/>
          </w:tcPr>
          <w:p w:rsidR="005C2428" w:rsidRPr="003B5EA4" w:rsidRDefault="005C2428" w:rsidP="005C2428">
            <w:pPr>
              <w:suppressAutoHyphens w:val="0"/>
              <w:spacing w:before="80" w:after="80" w:line="220" w:lineRule="exact"/>
              <w:jc w:val="right"/>
              <w:rPr>
                <w:b/>
                <w:sz w:val="18"/>
              </w:rPr>
            </w:pPr>
            <w:r w:rsidRPr="003B5EA4">
              <w:rPr>
                <w:b/>
                <w:sz w:val="18"/>
              </w:rPr>
              <w:t>1,54 %</w:t>
            </w:r>
          </w:p>
        </w:tc>
      </w:tr>
    </w:tbl>
    <w:p w:rsidR="002F4016" w:rsidRPr="003B5EA4" w:rsidRDefault="002F4016" w:rsidP="00E53FF6">
      <w:pPr>
        <w:pStyle w:val="SingleTxtG"/>
        <w:spacing w:before="120" w:after="0"/>
        <w:ind w:left="284" w:right="284" w:firstLine="170"/>
        <w:jc w:val="left"/>
        <w:rPr>
          <w:sz w:val="18"/>
        </w:rPr>
      </w:pPr>
      <w:r w:rsidRPr="003B5EA4">
        <w:rPr>
          <w:i/>
          <w:sz w:val="18"/>
          <w:vertAlign w:val="superscript"/>
        </w:rPr>
        <w:t>a</w:t>
      </w:r>
      <w:r w:rsidRPr="003B5EA4">
        <w:rPr>
          <w:sz w:val="18"/>
        </w:rPr>
        <w:t xml:space="preserve">  </w:t>
      </w:r>
      <w:r w:rsidR="00355A96" w:rsidRPr="003B5EA4">
        <w:rPr>
          <w:i/>
          <w:sz w:val="18"/>
        </w:rPr>
        <w:t>Source </w:t>
      </w:r>
      <w:r w:rsidR="00355A96" w:rsidRPr="003B5EA4">
        <w:rPr>
          <w:sz w:val="18"/>
        </w:rPr>
        <w:t>: Réponses au questionnaire envoyé par le CCI aux organismes participants</w:t>
      </w:r>
      <w:r w:rsidRPr="003B5EA4">
        <w:rPr>
          <w:sz w:val="18"/>
        </w:rPr>
        <w:t>.</w:t>
      </w:r>
    </w:p>
    <w:p w:rsidR="00355A96" w:rsidRPr="003B5EA4" w:rsidRDefault="00355A96" w:rsidP="00E53FF6">
      <w:pPr>
        <w:pStyle w:val="SingleTxtG"/>
        <w:spacing w:after="0"/>
        <w:ind w:left="284" w:right="284" w:firstLine="170"/>
        <w:jc w:val="left"/>
        <w:rPr>
          <w:sz w:val="18"/>
        </w:rPr>
      </w:pPr>
      <w:r w:rsidRPr="003B5EA4">
        <w:rPr>
          <w:i/>
          <w:sz w:val="18"/>
          <w:vertAlign w:val="superscript"/>
        </w:rPr>
        <w:lastRenderedPageBreak/>
        <w:t>b</w:t>
      </w:r>
      <w:r w:rsidR="00265500" w:rsidRPr="003B5EA4">
        <w:rPr>
          <w:sz w:val="18"/>
        </w:rPr>
        <w:t xml:space="preserve">  </w:t>
      </w:r>
      <w:r w:rsidRPr="003B5EA4">
        <w:rPr>
          <w:i/>
          <w:sz w:val="18"/>
        </w:rPr>
        <w:t>Source</w:t>
      </w:r>
      <w:r w:rsidRPr="003B5EA4">
        <w:rPr>
          <w:sz w:val="18"/>
        </w:rPr>
        <w:t> : A/71/583, p.</w:t>
      </w:r>
      <w:r w:rsidR="00531220">
        <w:rPr>
          <w:sz w:val="18"/>
        </w:rPr>
        <w:t> </w:t>
      </w:r>
      <w:r w:rsidRPr="003B5EA4">
        <w:rPr>
          <w:sz w:val="18"/>
        </w:rPr>
        <w:t>49 et 50. L</w:t>
      </w:r>
      <w:r w:rsidR="00762E0A">
        <w:rPr>
          <w:sz w:val="18"/>
        </w:rPr>
        <w:t>’</w:t>
      </w:r>
      <w:r w:rsidRPr="003B5EA4">
        <w:rPr>
          <w:sz w:val="18"/>
        </w:rPr>
        <w:t>UNOPS a fourni le montant total de ses dépenses par courriel le 2 juin 2017. ONU-Femmes a fourni le montant total de ses dépenses par courriel le 12 juin 2017.</w:t>
      </w:r>
    </w:p>
    <w:p w:rsidR="00355A96" w:rsidRPr="003B5EA4" w:rsidRDefault="00355A96" w:rsidP="00E53FF6">
      <w:pPr>
        <w:pStyle w:val="SingleTxtG"/>
        <w:spacing w:after="0"/>
        <w:ind w:left="284" w:right="284" w:firstLine="170"/>
        <w:jc w:val="left"/>
        <w:rPr>
          <w:sz w:val="18"/>
        </w:rPr>
      </w:pPr>
      <w:r w:rsidRPr="003B5EA4">
        <w:rPr>
          <w:i/>
          <w:sz w:val="18"/>
          <w:vertAlign w:val="superscript"/>
        </w:rPr>
        <w:t>c</w:t>
      </w:r>
      <w:r w:rsidR="00265500" w:rsidRPr="003B5EA4">
        <w:rPr>
          <w:sz w:val="18"/>
        </w:rPr>
        <w:t xml:space="preserve">  </w:t>
      </w:r>
      <w:r w:rsidRPr="003B5EA4">
        <w:rPr>
          <w:sz w:val="18"/>
        </w:rPr>
        <w:t>Conversion euros-dollars des États-Unis basée sur le taux de change annuel moyen de l</w:t>
      </w:r>
      <w:r w:rsidR="00762E0A">
        <w:rPr>
          <w:sz w:val="18"/>
        </w:rPr>
        <w:t>’</w:t>
      </w:r>
      <w:r w:rsidRPr="003B5EA4">
        <w:rPr>
          <w:sz w:val="18"/>
        </w:rPr>
        <w:t xml:space="preserve"> OCDE : 2012 (0,778), 2013 (0,753), 2014 (0,754), 2015 (0,902).</w:t>
      </w:r>
    </w:p>
    <w:p w:rsidR="00355A96" w:rsidRPr="003B5EA4" w:rsidRDefault="00355A96" w:rsidP="00E53FF6">
      <w:pPr>
        <w:pStyle w:val="SingleTxtG"/>
        <w:spacing w:after="0"/>
        <w:ind w:left="284" w:right="284" w:firstLine="170"/>
        <w:jc w:val="left"/>
        <w:rPr>
          <w:sz w:val="18"/>
        </w:rPr>
      </w:pPr>
      <w:r w:rsidRPr="003B5EA4">
        <w:rPr>
          <w:i/>
          <w:sz w:val="18"/>
          <w:vertAlign w:val="superscript"/>
        </w:rPr>
        <w:t>d</w:t>
      </w:r>
      <w:r w:rsidR="00265500" w:rsidRPr="003B5EA4">
        <w:rPr>
          <w:sz w:val="18"/>
        </w:rPr>
        <w:t xml:space="preserve">  </w:t>
      </w:r>
      <w:r w:rsidRPr="003B5EA4">
        <w:rPr>
          <w:sz w:val="18"/>
        </w:rPr>
        <w:t>AIEA : 62 % des dépenses au titre des voyages concernent les voyages des non-fonctionnaires, dont 88 % concernent l</w:t>
      </w:r>
      <w:r w:rsidR="00762E0A">
        <w:rPr>
          <w:sz w:val="18"/>
        </w:rPr>
        <w:t>’</w:t>
      </w:r>
      <w:r w:rsidRPr="003B5EA4">
        <w:rPr>
          <w:sz w:val="18"/>
        </w:rPr>
        <w:t xml:space="preserve">exécution des programmes, </w:t>
      </w:r>
      <w:r w:rsidR="0055478D">
        <w:rPr>
          <w:sz w:val="18"/>
        </w:rPr>
        <w:t>y compris</w:t>
      </w:r>
      <w:r w:rsidRPr="003B5EA4">
        <w:rPr>
          <w:sz w:val="18"/>
        </w:rPr>
        <w:t xml:space="preserve"> la coopération technique. Un grande partie des 38 % restants est consacrée aux voyages des inspecteurs (75 jours en moyenne par année), souvent dans des endroits reculés et difficiles d</w:t>
      </w:r>
      <w:r w:rsidR="00762E0A">
        <w:rPr>
          <w:sz w:val="18"/>
        </w:rPr>
        <w:t>’</w:t>
      </w:r>
      <w:r w:rsidRPr="003B5EA4">
        <w:rPr>
          <w:sz w:val="18"/>
        </w:rPr>
        <w:t>accès, afin de remplir les obligations de l</w:t>
      </w:r>
      <w:r w:rsidR="00762E0A">
        <w:rPr>
          <w:sz w:val="18"/>
        </w:rPr>
        <w:t>’</w:t>
      </w:r>
      <w:r w:rsidRPr="003B5EA4">
        <w:rPr>
          <w:sz w:val="18"/>
        </w:rPr>
        <w:t>organisation au titre des accords de garanties. Le coût total par jour a baissé de 6,4 % de 2012 à 2015 grâce à une planification rigoureuse et la combinaison de voyages.</w:t>
      </w:r>
    </w:p>
    <w:p w:rsidR="00355A96" w:rsidRPr="003B5EA4" w:rsidRDefault="00355A96" w:rsidP="00E53FF6">
      <w:pPr>
        <w:pStyle w:val="SingleTxtG"/>
        <w:spacing w:after="0"/>
        <w:ind w:left="284" w:right="284" w:firstLine="170"/>
        <w:jc w:val="left"/>
        <w:rPr>
          <w:sz w:val="18"/>
        </w:rPr>
      </w:pPr>
      <w:r w:rsidRPr="003B5EA4">
        <w:rPr>
          <w:i/>
          <w:sz w:val="18"/>
          <w:vertAlign w:val="superscript"/>
        </w:rPr>
        <w:t>e</w:t>
      </w:r>
      <w:r w:rsidR="00265500" w:rsidRPr="003B5EA4">
        <w:rPr>
          <w:sz w:val="18"/>
        </w:rPr>
        <w:t xml:space="preserve">  </w:t>
      </w:r>
      <w:r w:rsidRPr="003B5EA4">
        <w:rPr>
          <w:sz w:val="18"/>
        </w:rPr>
        <w:t>Conversion livres sterling-dollars des États-Unis basée sur le taux de change annuel moyen de l</w:t>
      </w:r>
      <w:r w:rsidR="00762E0A">
        <w:rPr>
          <w:sz w:val="18"/>
        </w:rPr>
        <w:t>’</w:t>
      </w:r>
      <w:r w:rsidRPr="003B5EA4">
        <w:rPr>
          <w:sz w:val="18"/>
        </w:rPr>
        <w:t xml:space="preserve"> OCDE : 2012 (0,633), 2013 (0,640), 2014 (0,608), 2015 (0,655).</w:t>
      </w:r>
    </w:p>
    <w:p w:rsidR="00355A96" w:rsidRPr="003B5EA4" w:rsidRDefault="00355A96" w:rsidP="00E53FF6">
      <w:pPr>
        <w:pStyle w:val="SingleTxtG"/>
        <w:spacing w:after="0"/>
        <w:ind w:left="284" w:right="284" w:firstLine="170"/>
        <w:jc w:val="left"/>
        <w:rPr>
          <w:sz w:val="18"/>
        </w:rPr>
      </w:pPr>
      <w:r w:rsidRPr="003B5EA4">
        <w:rPr>
          <w:i/>
          <w:sz w:val="18"/>
          <w:vertAlign w:val="superscript"/>
        </w:rPr>
        <w:t>f</w:t>
      </w:r>
      <w:r w:rsidR="00265500" w:rsidRPr="003B5EA4">
        <w:rPr>
          <w:i/>
          <w:sz w:val="18"/>
          <w:vertAlign w:val="superscript"/>
        </w:rPr>
        <w:t xml:space="preserve"> </w:t>
      </w:r>
      <w:r w:rsidR="00265500" w:rsidRPr="003B5EA4">
        <w:rPr>
          <w:sz w:val="18"/>
        </w:rPr>
        <w:t xml:space="preserve">  </w:t>
      </w:r>
      <w:r w:rsidRPr="003B5EA4">
        <w:rPr>
          <w:sz w:val="18"/>
        </w:rPr>
        <w:t>Conversion francs suisses-dollars des États-Unis basée sur le taux de change annuel moyen de l</w:t>
      </w:r>
      <w:r w:rsidR="00762E0A">
        <w:rPr>
          <w:sz w:val="18"/>
        </w:rPr>
        <w:t>’</w:t>
      </w:r>
      <w:r w:rsidRPr="003B5EA4">
        <w:rPr>
          <w:sz w:val="18"/>
        </w:rPr>
        <w:t xml:space="preserve"> OCDE : 2012 (0,938), 2013 (0,927), 2014 (0,916), 2015 (0,962).</w:t>
      </w:r>
    </w:p>
    <w:p w:rsidR="00355A96" w:rsidRPr="003B5EA4" w:rsidRDefault="00265500" w:rsidP="00E53FF6">
      <w:pPr>
        <w:pStyle w:val="SingleTxtG"/>
        <w:spacing w:after="0"/>
        <w:ind w:left="284" w:right="284" w:firstLine="170"/>
        <w:jc w:val="left"/>
        <w:rPr>
          <w:sz w:val="18"/>
        </w:rPr>
      </w:pPr>
      <w:r w:rsidRPr="003B5EA4">
        <w:rPr>
          <w:i/>
          <w:sz w:val="18"/>
          <w:vertAlign w:val="superscript"/>
        </w:rPr>
        <w:t>g</w:t>
      </w:r>
      <w:r w:rsidRPr="003B5EA4">
        <w:rPr>
          <w:sz w:val="18"/>
        </w:rPr>
        <w:t xml:space="preserve">  </w:t>
      </w:r>
      <w:r w:rsidR="00355A96" w:rsidRPr="003B5EA4">
        <w:rPr>
          <w:sz w:val="18"/>
        </w:rPr>
        <w:t>CCI</w:t>
      </w:r>
      <w:r w:rsidR="00355A96" w:rsidRPr="003B5EA4">
        <w:t>*</w:t>
      </w:r>
      <w:r w:rsidR="00355A96" w:rsidRPr="003B5EA4">
        <w:rPr>
          <w:sz w:val="18"/>
        </w:rPr>
        <w:t> : Les données concernent uniquement les billets d</w:t>
      </w:r>
      <w:r w:rsidR="00762E0A">
        <w:rPr>
          <w:sz w:val="18"/>
        </w:rPr>
        <w:t>’</w:t>
      </w:r>
      <w:r w:rsidR="00355A96" w:rsidRPr="003B5EA4">
        <w:rPr>
          <w:sz w:val="18"/>
        </w:rPr>
        <w:t>avion, et n</w:t>
      </w:r>
      <w:r w:rsidR="00762E0A">
        <w:rPr>
          <w:sz w:val="18"/>
        </w:rPr>
        <w:t>’</w:t>
      </w:r>
      <w:r w:rsidR="00355A96" w:rsidRPr="003B5EA4">
        <w:rPr>
          <w:sz w:val="18"/>
        </w:rPr>
        <w:t>incluent pas l</w:t>
      </w:r>
      <w:r w:rsidR="00762E0A">
        <w:rPr>
          <w:sz w:val="18"/>
        </w:rPr>
        <w:t>’</w:t>
      </w:r>
      <w:r w:rsidR="00355A96" w:rsidRPr="003B5EA4">
        <w:rPr>
          <w:sz w:val="18"/>
        </w:rPr>
        <w:t>indemnité journalière de subsistance, les faux frais au départ et à l</w:t>
      </w:r>
      <w:r w:rsidR="00762E0A">
        <w:rPr>
          <w:sz w:val="18"/>
        </w:rPr>
        <w:t>’</w:t>
      </w:r>
      <w:r w:rsidR="00355A96" w:rsidRPr="003B5EA4">
        <w:rPr>
          <w:sz w:val="18"/>
        </w:rPr>
        <w:t xml:space="preserve">arrivée et les autres frais de voyage. </w:t>
      </w:r>
    </w:p>
    <w:p w:rsidR="00355A96" w:rsidRPr="003B5EA4" w:rsidRDefault="00355A96" w:rsidP="00E53FF6">
      <w:pPr>
        <w:pStyle w:val="SingleTxtG"/>
        <w:spacing w:after="0"/>
        <w:ind w:left="284" w:right="284" w:firstLine="170"/>
        <w:jc w:val="left"/>
        <w:rPr>
          <w:sz w:val="18"/>
        </w:rPr>
      </w:pPr>
      <w:r w:rsidRPr="003B5EA4">
        <w:rPr>
          <w:i/>
          <w:sz w:val="18"/>
          <w:vertAlign w:val="superscript"/>
        </w:rPr>
        <w:t>h</w:t>
      </w:r>
      <w:r w:rsidR="00F70036" w:rsidRPr="003B5EA4">
        <w:rPr>
          <w:sz w:val="18"/>
        </w:rPr>
        <w:t xml:space="preserve">  </w:t>
      </w:r>
      <w:r w:rsidRPr="003B5EA4">
        <w:rPr>
          <w:sz w:val="18"/>
        </w:rPr>
        <w:t xml:space="preserve">ONU-Femmes : Les chiffres reflètent le montant total des dépenses au titre de voyages provenant de toutes les sources de financement, </w:t>
      </w:r>
      <w:r w:rsidR="0055478D">
        <w:rPr>
          <w:sz w:val="18"/>
        </w:rPr>
        <w:t>y compris</w:t>
      </w:r>
      <w:r w:rsidRPr="003B5EA4">
        <w:rPr>
          <w:sz w:val="18"/>
        </w:rPr>
        <w:t xml:space="preserve"> les ressources de base, les ressources autres que les ressources de base, les ressources inscrites au budget ordinaire et extrabudgétaires.</w:t>
      </w:r>
    </w:p>
    <w:p w:rsidR="00355A96" w:rsidRPr="003B5EA4" w:rsidRDefault="00355A96" w:rsidP="00E53FF6">
      <w:pPr>
        <w:pStyle w:val="SingleTxtG"/>
        <w:spacing w:after="0"/>
        <w:ind w:left="284" w:right="284" w:firstLine="170"/>
        <w:jc w:val="left"/>
        <w:rPr>
          <w:sz w:val="18"/>
        </w:rPr>
      </w:pPr>
      <w:r w:rsidRPr="003B5EA4">
        <w:rPr>
          <w:i/>
          <w:sz w:val="18"/>
          <w:vertAlign w:val="superscript"/>
        </w:rPr>
        <w:t>i</w:t>
      </w:r>
      <w:r w:rsidR="00F70036" w:rsidRPr="003B5EA4">
        <w:rPr>
          <w:sz w:val="18"/>
        </w:rPr>
        <w:t xml:space="preserve">  </w:t>
      </w:r>
      <w:r w:rsidRPr="003B5EA4">
        <w:rPr>
          <w:sz w:val="18"/>
        </w:rPr>
        <w:t xml:space="preserve">PNUD : Les dépenses fournies au titre des voyages sont uniquement celles provenant de ressources institutionnelles. Ces dépenses se rapportent à toutes les formes de voyages, </w:t>
      </w:r>
      <w:r w:rsidR="0055478D">
        <w:rPr>
          <w:sz w:val="18"/>
        </w:rPr>
        <w:t>y compris</w:t>
      </w:r>
      <w:r w:rsidRPr="003B5EA4">
        <w:rPr>
          <w:sz w:val="18"/>
        </w:rPr>
        <w:t>, mais sans s</w:t>
      </w:r>
      <w:r w:rsidR="00762E0A">
        <w:rPr>
          <w:sz w:val="18"/>
        </w:rPr>
        <w:t>’</w:t>
      </w:r>
      <w:r w:rsidRPr="003B5EA4">
        <w:rPr>
          <w:sz w:val="18"/>
        </w:rPr>
        <w:t>y</w:t>
      </w:r>
      <w:r w:rsidR="00F70036" w:rsidRPr="003B5EA4">
        <w:rPr>
          <w:sz w:val="18"/>
        </w:rPr>
        <w:t xml:space="preserve"> limiter, les voyages en avion.</w:t>
      </w:r>
    </w:p>
    <w:p w:rsidR="00355A96" w:rsidRPr="003B5EA4" w:rsidRDefault="00355A96" w:rsidP="00E53FF6">
      <w:pPr>
        <w:pStyle w:val="SingleTxtG"/>
        <w:spacing w:after="0"/>
        <w:ind w:left="284" w:right="284" w:firstLine="170"/>
        <w:jc w:val="left"/>
        <w:rPr>
          <w:sz w:val="18"/>
        </w:rPr>
      </w:pPr>
      <w:r w:rsidRPr="003B5EA4">
        <w:rPr>
          <w:i/>
          <w:sz w:val="18"/>
          <w:vertAlign w:val="superscript"/>
        </w:rPr>
        <w:t>j</w:t>
      </w:r>
      <w:r w:rsidR="00F70036" w:rsidRPr="003B5EA4">
        <w:rPr>
          <w:sz w:val="18"/>
        </w:rPr>
        <w:t xml:space="preserve">  </w:t>
      </w:r>
      <w:r w:rsidRPr="003B5EA4">
        <w:rPr>
          <w:sz w:val="18"/>
        </w:rPr>
        <w:t>FNUAP</w:t>
      </w:r>
      <w:r w:rsidR="00713888">
        <w:rPr>
          <w:sz w:val="18"/>
        </w:rPr>
        <w:t> </w:t>
      </w:r>
      <w:r w:rsidRPr="003B5EA4">
        <w:rPr>
          <w:sz w:val="18"/>
        </w:rPr>
        <w:t>: Les montants correspondent aux frais de voyage présentés dans les états financiers et comprennent : a) titres de transport (avion et autres)</w:t>
      </w:r>
      <w:r w:rsidR="00F70036" w:rsidRPr="003B5EA4">
        <w:rPr>
          <w:sz w:val="18"/>
        </w:rPr>
        <w:t> </w:t>
      </w:r>
      <w:r w:rsidRPr="003B5EA4">
        <w:rPr>
          <w:sz w:val="18"/>
        </w:rPr>
        <w:t>; b) indemnité journalière de subsistance</w:t>
      </w:r>
      <w:r w:rsidR="00F70036" w:rsidRPr="003B5EA4">
        <w:rPr>
          <w:sz w:val="18"/>
        </w:rPr>
        <w:t> </w:t>
      </w:r>
      <w:r w:rsidRPr="003B5EA4">
        <w:rPr>
          <w:sz w:val="18"/>
        </w:rPr>
        <w:t>; c)</w:t>
      </w:r>
      <w:r w:rsidR="00F70036" w:rsidRPr="003B5EA4">
        <w:rPr>
          <w:sz w:val="18"/>
        </w:rPr>
        <w:t> </w:t>
      </w:r>
      <w:r w:rsidRPr="003B5EA4">
        <w:rPr>
          <w:sz w:val="18"/>
        </w:rPr>
        <w:t>faux frais au départ et à l</w:t>
      </w:r>
      <w:r w:rsidR="00762E0A">
        <w:rPr>
          <w:sz w:val="18"/>
        </w:rPr>
        <w:t>’</w:t>
      </w:r>
      <w:r w:rsidRPr="003B5EA4">
        <w:rPr>
          <w:sz w:val="18"/>
        </w:rPr>
        <w:t>arrivée</w:t>
      </w:r>
      <w:r w:rsidR="00F70036" w:rsidRPr="003B5EA4">
        <w:rPr>
          <w:sz w:val="18"/>
        </w:rPr>
        <w:t> </w:t>
      </w:r>
      <w:r w:rsidRPr="003B5EA4">
        <w:rPr>
          <w:sz w:val="18"/>
        </w:rPr>
        <w:t>; d) expédition d</w:t>
      </w:r>
      <w:r w:rsidR="00762E0A">
        <w:rPr>
          <w:sz w:val="18"/>
        </w:rPr>
        <w:t>’</w:t>
      </w:r>
      <w:r w:rsidRPr="003B5EA4">
        <w:rPr>
          <w:sz w:val="18"/>
        </w:rPr>
        <w:t>effets personnels et autres frais tels les visas</w:t>
      </w:r>
      <w:r w:rsidR="00531220">
        <w:rPr>
          <w:sz w:val="18"/>
        </w:rPr>
        <w:t xml:space="preserve">, </w:t>
      </w:r>
      <w:r w:rsidRPr="003B5EA4">
        <w:rPr>
          <w:sz w:val="18"/>
        </w:rPr>
        <w:t>pour i)</w:t>
      </w:r>
      <w:r w:rsidR="00AD09C3" w:rsidRPr="003B5EA4">
        <w:rPr>
          <w:sz w:val="18"/>
        </w:rPr>
        <w:t> </w:t>
      </w:r>
      <w:r w:rsidRPr="003B5EA4">
        <w:rPr>
          <w:sz w:val="18"/>
        </w:rPr>
        <w:t>toutes les modalités d</w:t>
      </w:r>
      <w:r w:rsidR="00762E0A">
        <w:rPr>
          <w:sz w:val="18"/>
        </w:rPr>
        <w:t>’</w:t>
      </w:r>
      <w:r w:rsidRPr="003B5EA4">
        <w:rPr>
          <w:sz w:val="18"/>
        </w:rPr>
        <w:t>exécution (par le FNUAP, c</w:t>
      </w:r>
      <w:r w:rsidR="00762E0A">
        <w:rPr>
          <w:sz w:val="18"/>
        </w:rPr>
        <w:t>’</w:t>
      </w:r>
      <w:r w:rsidR="00AD09C3" w:rsidRPr="003B5EA4">
        <w:rPr>
          <w:sz w:val="18"/>
        </w:rPr>
        <w:t>est-à-dire</w:t>
      </w:r>
      <w:r w:rsidRPr="003B5EA4">
        <w:rPr>
          <w:sz w:val="18"/>
        </w:rPr>
        <w:t xml:space="preserve"> en exécution directe, et par l</w:t>
      </w:r>
      <w:r w:rsidR="00762E0A">
        <w:rPr>
          <w:sz w:val="18"/>
        </w:rPr>
        <w:t>’</w:t>
      </w:r>
      <w:r w:rsidRPr="003B5EA4">
        <w:rPr>
          <w:sz w:val="18"/>
        </w:rPr>
        <w:t xml:space="preserve">intermédiaire de ses partenaires de mise en œuvre, </w:t>
      </w:r>
      <w:r w:rsidR="003A31C4" w:rsidRPr="003B5EA4">
        <w:rPr>
          <w:sz w:val="18"/>
        </w:rPr>
        <w:t>c</w:t>
      </w:r>
      <w:r w:rsidR="00762E0A">
        <w:rPr>
          <w:sz w:val="18"/>
        </w:rPr>
        <w:t>’</w:t>
      </w:r>
      <w:r w:rsidR="003A31C4" w:rsidRPr="003B5EA4">
        <w:rPr>
          <w:sz w:val="18"/>
        </w:rPr>
        <w:t>est-à-dire</w:t>
      </w:r>
      <w:r w:rsidRPr="003B5EA4">
        <w:rPr>
          <w:sz w:val="18"/>
        </w:rPr>
        <w:t xml:space="preserve"> en exécution nationale), et pour ii) toutes les sources de financement (ressources de base et autres). Les montants ne comprennent pas les dépenses relatives aux voyages statutaires, qui font partie des dépenses de personnel.</w:t>
      </w:r>
    </w:p>
    <w:p w:rsidR="00355A96" w:rsidRPr="003B5EA4" w:rsidRDefault="00355A96" w:rsidP="00E53FF6">
      <w:pPr>
        <w:pStyle w:val="SingleTxtG"/>
        <w:spacing w:after="0"/>
        <w:ind w:left="284" w:right="284" w:firstLine="170"/>
        <w:jc w:val="left"/>
        <w:rPr>
          <w:sz w:val="18"/>
        </w:rPr>
      </w:pPr>
      <w:r w:rsidRPr="003B5EA4">
        <w:rPr>
          <w:i/>
          <w:sz w:val="18"/>
          <w:vertAlign w:val="superscript"/>
        </w:rPr>
        <w:t>k</w:t>
      </w:r>
      <w:r w:rsidR="00AD09C3" w:rsidRPr="003B5EA4">
        <w:rPr>
          <w:sz w:val="18"/>
        </w:rPr>
        <w:t xml:space="preserve">  </w:t>
      </w:r>
      <w:r w:rsidRPr="003B5EA4">
        <w:rPr>
          <w:sz w:val="18"/>
        </w:rPr>
        <w:t>UNICEF : Les frais de voyage des non-fonctionnaires incluent tous les moyens de transport (aérien, terrestre et par voie navigable).</w:t>
      </w:r>
    </w:p>
    <w:p w:rsidR="00355A96" w:rsidRPr="003B5EA4" w:rsidRDefault="00355A96" w:rsidP="00E53FF6">
      <w:pPr>
        <w:pStyle w:val="SingleTxtG"/>
        <w:spacing w:after="0"/>
        <w:ind w:left="284" w:right="284" w:firstLine="170"/>
        <w:jc w:val="left"/>
        <w:rPr>
          <w:sz w:val="18"/>
        </w:rPr>
      </w:pPr>
      <w:r w:rsidRPr="003B5EA4">
        <w:rPr>
          <w:i/>
          <w:sz w:val="18"/>
          <w:vertAlign w:val="superscript"/>
        </w:rPr>
        <w:t>l</w:t>
      </w:r>
      <w:r w:rsidR="00AD09C3" w:rsidRPr="003B5EA4">
        <w:rPr>
          <w:sz w:val="18"/>
        </w:rPr>
        <w:t xml:space="preserve">  </w:t>
      </w:r>
      <w:r w:rsidRPr="003B5EA4">
        <w:rPr>
          <w:sz w:val="18"/>
        </w:rPr>
        <w:t>OMT : Les frais de voyage relatifs aux non-fonctionnaires pour 2014-2015 ne sont pas inclus.</w:t>
      </w:r>
    </w:p>
    <w:p w:rsidR="00355A96" w:rsidRPr="00B47CE4" w:rsidRDefault="00355A96" w:rsidP="00E53FF6">
      <w:pPr>
        <w:pStyle w:val="SingleTxtG"/>
        <w:spacing w:after="240"/>
        <w:ind w:left="284" w:right="284" w:firstLine="170"/>
        <w:jc w:val="left"/>
        <w:rPr>
          <w:sz w:val="18"/>
          <w:szCs w:val="18"/>
        </w:rPr>
      </w:pPr>
      <w:r w:rsidRPr="003B5EA4">
        <w:rPr>
          <w:i/>
          <w:sz w:val="18"/>
          <w:vertAlign w:val="superscript"/>
        </w:rPr>
        <w:t>m</w:t>
      </w:r>
      <w:r w:rsidR="00AD09C3" w:rsidRPr="003B5EA4">
        <w:rPr>
          <w:sz w:val="18"/>
        </w:rPr>
        <w:t xml:space="preserve">  </w:t>
      </w:r>
      <w:r w:rsidRPr="003B5EA4">
        <w:rPr>
          <w:sz w:val="18"/>
        </w:rPr>
        <w:t>PAM : Le dépenses fournies concernent tous les modes de transport. Les données budgétaires approuvées reflètent la totalité des contributions reçues.</w:t>
      </w:r>
      <w:r w:rsidR="007D2BE5" w:rsidRPr="003B5EA4">
        <w:rPr>
          <w:sz w:val="18"/>
        </w:rPr>
        <w:t xml:space="preserve"> </w:t>
      </w:r>
      <w:r w:rsidR="007D2BE5" w:rsidRPr="003B5EA4">
        <w:rPr>
          <w:sz w:val="18"/>
        </w:rPr>
        <w:br/>
      </w:r>
      <w:r w:rsidR="007D2BE5" w:rsidRPr="003B5EA4">
        <w:rPr>
          <w:i/>
          <w:sz w:val="18"/>
        </w:rPr>
        <w:t>Source </w:t>
      </w:r>
      <w:r w:rsidR="007D2BE5" w:rsidRPr="003B5EA4">
        <w:rPr>
          <w:sz w:val="18"/>
        </w:rPr>
        <w:t xml:space="preserve">: </w:t>
      </w:r>
      <w:hyperlink r:id="rId38" w:history="1">
        <w:r w:rsidR="009946D6" w:rsidRPr="009946D6">
          <w:rPr>
            <w:rStyle w:val="Lienhypertexte"/>
            <w:sz w:val="18"/>
          </w:rPr>
          <w:t>www.wfp.org/funding/year</w:t>
        </w:r>
      </w:hyperlink>
      <w:r w:rsidR="009946D6">
        <w:rPr>
          <w:sz w:val="18"/>
          <w:szCs w:val="18"/>
        </w:rPr>
        <w:t>.</w:t>
      </w:r>
    </w:p>
    <w:p w:rsidR="009958AA" w:rsidRPr="003B5EA4" w:rsidRDefault="00C875D9" w:rsidP="00E53FF6">
      <w:pPr>
        <w:pStyle w:val="H23G"/>
        <w:ind w:left="284" w:firstLine="0"/>
        <w:rPr>
          <w:b w:val="0"/>
          <w:sz w:val="16"/>
          <w:szCs w:val="16"/>
        </w:rPr>
      </w:pPr>
      <w:r w:rsidRPr="003B5EA4">
        <w:t xml:space="preserve">Dépenses totales au titre des voyages en avion et des prestations connexes : </w:t>
      </w:r>
      <w:r w:rsidRPr="003B5EA4">
        <w:rPr>
          <w:bCs/>
        </w:rPr>
        <w:t>Siège</w:t>
      </w:r>
      <w:r w:rsidRPr="003B5EA4">
        <w:rPr>
          <w:b w:val="0"/>
          <w:bCs/>
          <w:i/>
          <w:sz w:val="18"/>
          <w:szCs w:val="18"/>
          <w:vertAlign w:val="superscript"/>
        </w:rPr>
        <w:t>a</w:t>
      </w:r>
      <w:r w:rsidRPr="003B5EA4">
        <w:rPr>
          <w:bCs/>
        </w:rPr>
        <w:t xml:space="preserve"> et bureaux hors siège de l</w:t>
      </w:r>
      <w:r w:rsidR="00762E0A">
        <w:rPr>
          <w:bCs/>
        </w:rPr>
        <w:t>’</w:t>
      </w:r>
      <w:r w:rsidRPr="003B5EA4">
        <w:rPr>
          <w:bCs/>
        </w:rPr>
        <w:t>ONU</w:t>
      </w:r>
      <w:r w:rsidRPr="003B5EA4">
        <w:t xml:space="preserve"> (ONUG</w:t>
      </w:r>
      <w:r w:rsidRPr="003B5EA4">
        <w:rPr>
          <w:b w:val="0"/>
          <w:i/>
          <w:sz w:val="18"/>
          <w:szCs w:val="18"/>
          <w:vertAlign w:val="superscript"/>
        </w:rPr>
        <w:t>b</w:t>
      </w:r>
      <w:r w:rsidRPr="003B5EA4">
        <w:t>, ONUN</w:t>
      </w:r>
      <w:r w:rsidRPr="003B5EA4">
        <w:rPr>
          <w:b w:val="0"/>
          <w:i/>
          <w:sz w:val="18"/>
          <w:szCs w:val="18"/>
          <w:vertAlign w:val="superscript"/>
        </w:rPr>
        <w:t>c</w:t>
      </w:r>
      <w:r w:rsidRPr="003B5EA4">
        <w:t xml:space="preserve"> et ONUV</w:t>
      </w:r>
      <w:r w:rsidRPr="003B5EA4">
        <w:rPr>
          <w:b w:val="0"/>
          <w:i/>
          <w:sz w:val="18"/>
          <w:szCs w:val="18"/>
          <w:vertAlign w:val="superscript"/>
        </w:rPr>
        <w:t>d</w:t>
      </w:r>
      <w:r w:rsidRPr="003B5EA4">
        <w:t>)</w:t>
      </w:r>
      <w:r w:rsidR="009958AA" w:rsidRPr="003B5EA4">
        <w:t xml:space="preserve"> </w:t>
      </w:r>
      <w:r w:rsidR="009958AA" w:rsidRPr="003B5EA4">
        <w:br/>
      </w:r>
      <w:r w:rsidRPr="003B5EA4">
        <w:rPr>
          <w:b w:val="0"/>
          <w:sz w:val="16"/>
          <w:szCs w:val="16"/>
        </w:rPr>
        <w:t>(Fonctionnaires et non-fonctionnaires, sans ventilation des dépenses entre budget ordinaire et dépenses extrabudgétaires)</w:t>
      </w:r>
    </w:p>
    <w:tbl>
      <w:tblPr>
        <w:tblW w:w="13776" w:type="dxa"/>
        <w:tblInd w:w="283" w:type="dxa"/>
        <w:tblLayout w:type="fixed"/>
        <w:tblCellMar>
          <w:left w:w="0" w:type="dxa"/>
          <w:right w:w="0" w:type="dxa"/>
        </w:tblCellMar>
        <w:tblLook w:val="04A0" w:firstRow="1" w:lastRow="0" w:firstColumn="1" w:lastColumn="0" w:noHBand="0" w:noVBand="1"/>
      </w:tblPr>
      <w:tblGrid>
        <w:gridCol w:w="1475"/>
        <w:gridCol w:w="2673"/>
        <w:gridCol w:w="2269"/>
        <w:gridCol w:w="2178"/>
        <w:gridCol w:w="2361"/>
        <w:gridCol w:w="2820"/>
      </w:tblGrid>
      <w:tr w:rsidR="009958AA" w:rsidRPr="003B5EA4" w:rsidTr="00E53FF6">
        <w:trPr>
          <w:tblHeader/>
        </w:trPr>
        <w:tc>
          <w:tcPr>
            <w:tcW w:w="1475" w:type="dxa"/>
            <w:tcBorders>
              <w:top w:val="single" w:sz="4" w:space="0" w:color="auto"/>
              <w:bottom w:val="single" w:sz="12" w:space="0" w:color="auto"/>
            </w:tcBorders>
            <w:shd w:val="clear" w:color="auto" w:fill="auto"/>
            <w:vAlign w:val="bottom"/>
          </w:tcPr>
          <w:p w:rsidR="009958AA" w:rsidRPr="003B5EA4" w:rsidRDefault="009958AA" w:rsidP="00E53FF6">
            <w:pPr>
              <w:suppressAutoHyphens w:val="0"/>
              <w:spacing w:before="80" w:after="80" w:line="200" w:lineRule="exact"/>
              <w:rPr>
                <w:i/>
                <w:sz w:val="16"/>
              </w:rPr>
            </w:pPr>
            <w:r w:rsidRPr="003B5EA4">
              <w:rPr>
                <w:i/>
                <w:sz w:val="16"/>
              </w:rPr>
              <w:t>A</w:t>
            </w:r>
            <w:r w:rsidR="00C11268" w:rsidRPr="003B5EA4">
              <w:rPr>
                <w:i/>
                <w:sz w:val="16"/>
              </w:rPr>
              <w:t>nnée</w:t>
            </w:r>
          </w:p>
        </w:tc>
        <w:tc>
          <w:tcPr>
            <w:tcW w:w="2673" w:type="dxa"/>
            <w:tcBorders>
              <w:top w:val="single" w:sz="4" w:space="0" w:color="auto"/>
              <w:bottom w:val="single" w:sz="12" w:space="0" w:color="auto"/>
            </w:tcBorders>
            <w:shd w:val="clear" w:color="auto" w:fill="auto"/>
            <w:vAlign w:val="bottom"/>
          </w:tcPr>
          <w:p w:rsidR="009958AA" w:rsidRPr="003B5EA4" w:rsidRDefault="009958AA" w:rsidP="00E53FF6">
            <w:pPr>
              <w:suppressAutoHyphens w:val="0"/>
              <w:spacing w:before="80" w:after="80" w:line="200" w:lineRule="exact"/>
              <w:jc w:val="right"/>
              <w:rPr>
                <w:i/>
                <w:sz w:val="16"/>
              </w:rPr>
            </w:pPr>
            <w:r w:rsidRPr="003B5EA4">
              <w:rPr>
                <w:i/>
                <w:sz w:val="16"/>
              </w:rPr>
              <w:t>ONUG</w:t>
            </w:r>
            <w:r w:rsidRPr="003B5EA4">
              <w:rPr>
                <w:i/>
                <w:sz w:val="16"/>
                <w:vertAlign w:val="superscript"/>
              </w:rPr>
              <w:t>e</w:t>
            </w:r>
          </w:p>
        </w:tc>
        <w:tc>
          <w:tcPr>
            <w:tcW w:w="2269" w:type="dxa"/>
            <w:tcBorders>
              <w:top w:val="single" w:sz="4" w:space="0" w:color="auto"/>
              <w:bottom w:val="single" w:sz="12" w:space="0" w:color="auto"/>
            </w:tcBorders>
            <w:shd w:val="clear" w:color="auto" w:fill="auto"/>
            <w:vAlign w:val="bottom"/>
          </w:tcPr>
          <w:p w:rsidR="009958AA" w:rsidRPr="003B5EA4" w:rsidRDefault="009958AA" w:rsidP="00E53FF6">
            <w:pPr>
              <w:suppressAutoHyphens w:val="0"/>
              <w:spacing w:before="80" w:after="80" w:line="200" w:lineRule="exact"/>
              <w:jc w:val="right"/>
              <w:rPr>
                <w:i/>
                <w:sz w:val="16"/>
              </w:rPr>
            </w:pPr>
            <w:r w:rsidRPr="003B5EA4">
              <w:rPr>
                <w:i/>
                <w:sz w:val="16"/>
              </w:rPr>
              <w:t>ONUN</w:t>
            </w:r>
          </w:p>
        </w:tc>
        <w:tc>
          <w:tcPr>
            <w:tcW w:w="2178" w:type="dxa"/>
            <w:tcBorders>
              <w:top w:val="single" w:sz="4" w:space="0" w:color="auto"/>
              <w:bottom w:val="single" w:sz="12" w:space="0" w:color="auto"/>
            </w:tcBorders>
            <w:shd w:val="clear" w:color="auto" w:fill="auto"/>
            <w:vAlign w:val="bottom"/>
          </w:tcPr>
          <w:p w:rsidR="009958AA" w:rsidRPr="003B5EA4" w:rsidRDefault="009958AA" w:rsidP="00E53FF6">
            <w:pPr>
              <w:suppressAutoHyphens w:val="0"/>
              <w:spacing w:before="80" w:after="80" w:line="200" w:lineRule="exact"/>
              <w:jc w:val="right"/>
              <w:rPr>
                <w:i/>
                <w:sz w:val="16"/>
              </w:rPr>
            </w:pPr>
            <w:r w:rsidRPr="003B5EA4">
              <w:rPr>
                <w:i/>
                <w:sz w:val="16"/>
              </w:rPr>
              <w:t>ONUV</w:t>
            </w:r>
            <w:r w:rsidRPr="003B5EA4">
              <w:rPr>
                <w:i/>
                <w:sz w:val="16"/>
                <w:vertAlign w:val="superscript"/>
              </w:rPr>
              <w:t>f</w:t>
            </w:r>
          </w:p>
        </w:tc>
        <w:tc>
          <w:tcPr>
            <w:tcW w:w="2361" w:type="dxa"/>
            <w:tcBorders>
              <w:top w:val="single" w:sz="4" w:space="0" w:color="auto"/>
              <w:bottom w:val="single" w:sz="12" w:space="0" w:color="auto"/>
            </w:tcBorders>
            <w:shd w:val="clear" w:color="auto" w:fill="auto"/>
            <w:vAlign w:val="bottom"/>
          </w:tcPr>
          <w:p w:rsidR="009958AA" w:rsidRPr="003B5EA4" w:rsidRDefault="00C11268" w:rsidP="00E53FF6">
            <w:pPr>
              <w:suppressAutoHyphens w:val="0"/>
              <w:spacing w:before="80" w:after="80" w:line="200" w:lineRule="exact"/>
              <w:jc w:val="right"/>
              <w:rPr>
                <w:i/>
                <w:sz w:val="16"/>
              </w:rPr>
            </w:pPr>
            <w:r w:rsidRPr="003B5EA4">
              <w:rPr>
                <w:i/>
                <w:sz w:val="16"/>
              </w:rPr>
              <w:t>Siège de l</w:t>
            </w:r>
            <w:r w:rsidR="00762E0A">
              <w:rPr>
                <w:i/>
                <w:sz w:val="16"/>
              </w:rPr>
              <w:t>’</w:t>
            </w:r>
            <w:r w:rsidRPr="003B5EA4">
              <w:rPr>
                <w:i/>
                <w:sz w:val="16"/>
              </w:rPr>
              <w:t>ONU</w:t>
            </w:r>
          </w:p>
        </w:tc>
        <w:tc>
          <w:tcPr>
            <w:tcW w:w="2820" w:type="dxa"/>
            <w:tcBorders>
              <w:top w:val="single" w:sz="4" w:space="0" w:color="auto"/>
              <w:bottom w:val="single" w:sz="12" w:space="0" w:color="auto"/>
            </w:tcBorders>
            <w:shd w:val="clear" w:color="auto" w:fill="auto"/>
            <w:vAlign w:val="bottom"/>
          </w:tcPr>
          <w:p w:rsidR="009958AA" w:rsidRPr="003B5EA4" w:rsidRDefault="009958AA" w:rsidP="00E53FF6">
            <w:pPr>
              <w:suppressAutoHyphens w:val="0"/>
              <w:spacing w:before="80" w:after="80" w:line="200" w:lineRule="exact"/>
              <w:jc w:val="right"/>
              <w:rPr>
                <w:b/>
                <w:i/>
                <w:sz w:val="16"/>
              </w:rPr>
            </w:pPr>
            <w:r w:rsidRPr="003B5EA4">
              <w:rPr>
                <w:b/>
                <w:i/>
                <w:sz w:val="16"/>
              </w:rPr>
              <w:t>Total</w:t>
            </w:r>
          </w:p>
        </w:tc>
      </w:tr>
      <w:tr w:rsidR="009958AA" w:rsidRPr="003B5EA4" w:rsidTr="00E53FF6">
        <w:tc>
          <w:tcPr>
            <w:tcW w:w="1475" w:type="dxa"/>
            <w:tcBorders>
              <w:top w:val="single" w:sz="12" w:space="0" w:color="auto"/>
            </w:tcBorders>
            <w:shd w:val="clear" w:color="auto" w:fill="auto"/>
          </w:tcPr>
          <w:p w:rsidR="009958AA" w:rsidRPr="003B5EA4" w:rsidRDefault="009958AA" w:rsidP="00E53FF6">
            <w:pPr>
              <w:suppressAutoHyphens w:val="0"/>
              <w:spacing w:before="40" w:after="40" w:line="220" w:lineRule="exact"/>
              <w:rPr>
                <w:sz w:val="18"/>
              </w:rPr>
            </w:pPr>
            <w:r w:rsidRPr="003B5EA4">
              <w:rPr>
                <w:sz w:val="18"/>
              </w:rPr>
              <w:t>2012</w:t>
            </w:r>
          </w:p>
        </w:tc>
        <w:tc>
          <w:tcPr>
            <w:tcW w:w="2673" w:type="dxa"/>
            <w:tcBorders>
              <w:top w:val="single" w:sz="12"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22 251 124</w:t>
            </w:r>
          </w:p>
        </w:tc>
        <w:tc>
          <w:tcPr>
            <w:tcW w:w="2269" w:type="dxa"/>
            <w:tcBorders>
              <w:top w:val="single" w:sz="12"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11 492 201</w:t>
            </w:r>
          </w:p>
        </w:tc>
        <w:tc>
          <w:tcPr>
            <w:tcW w:w="2178" w:type="dxa"/>
            <w:tcBorders>
              <w:top w:val="single" w:sz="12"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1 476 176</w:t>
            </w:r>
          </w:p>
        </w:tc>
        <w:tc>
          <w:tcPr>
            <w:tcW w:w="2361" w:type="dxa"/>
            <w:tcBorders>
              <w:top w:val="single" w:sz="12"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48 392 187</w:t>
            </w:r>
          </w:p>
        </w:tc>
        <w:tc>
          <w:tcPr>
            <w:tcW w:w="2820" w:type="dxa"/>
            <w:tcBorders>
              <w:top w:val="single" w:sz="12" w:space="0" w:color="auto"/>
            </w:tcBorders>
            <w:shd w:val="clear" w:color="auto" w:fill="auto"/>
            <w:vAlign w:val="bottom"/>
          </w:tcPr>
          <w:p w:rsidR="009958AA" w:rsidRPr="003B5EA4" w:rsidRDefault="009958AA" w:rsidP="00E53FF6">
            <w:pPr>
              <w:suppressAutoHyphens w:val="0"/>
              <w:spacing w:before="40" w:after="40" w:line="220" w:lineRule="exact"/>
              <w:jc w:val="right"/>
              <w:rPr>
                <w:b/>
                <w:sz w:val="18"/>
              </w:rPr>
            </w:pPr>
            <w:r w:rsidRPr="003B5EA4">
              <w:rPr>
                <w:b/>
                <w:sz w:val="18"/>
              </w:rPr>
              <w:t>83 611 688</w:t>
            </w:r>
          </w:p>
        </w:tc>
      </w:tr>
      <w:tr w:rsidR="009958AA" w:rsidRPr="003B5EA4" w:rsidTr="00E53FF6">
        <w:tc>
          <w:tcPr>
            <w:tcW w:w="1475" w:type="dxa"/>
            <w:shd w:val="clear" w:color="auto" w:fill="auto"/>
          </w:tcPr>
          <w:p w:rsidR="009958AA" w:rsidRPr="003B5EA4" w:rsidRDefault="009958AA" w:rsidP="00E53FF6">
            <w:pPr>
              <w:suppressAutoHyphens w:val="0"/>
              <w:spacing w:before="40" w:after="40" w:line="220" w:lineRule="exact"/>
              <w:rPr>
                <w:sz w:val="18"/>
              </w:rPr>
            </w:pPr>
            <w:r w:rsidRPr="003B5EA4">
              <w:rPr>
                <w:sz w:val="18"/>
              </w:rPr>
              <w:t>2013</w:t>
            </w:r>
          </w:p>
        </w:tc>
        <w:tc>
          <w:tcPr>
            <w:tcW w:w="2673"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20 741 271</w:t>
            </w:r>
          </w:p>
        </w:tc>
        <w:tc>
          <w:tcPr>
            <w:tcW w:w="2269"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9 486 479</w:t>
            </w:r>
          </w:p>
        </w:tc>
        <w:tc>
          <w:tcPr>
            <w:tcW w:w="2178"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1 581 066</w:t>
            </w:r>
          </w:p>
        </w:tc>
        <w:tc>
          <w:tcPr>
            <w:tcW w:w="2361"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45 732 316</w:t>
            </w:r>
          </w:p>
        </w:tc>
        <w:tc>
          <w:tcPr>
            <w:tcW w:w="2820" w:type="dxa"/>
            <w:shd w:val="clear" w:color="auto" w:fill="auto"/>
            <w:vAlign w:val="bottom"/>
          </w:tcPr>
          <w:p w:rsidR="009958AA" w:rsidRPr="003B5EA4" w:rsidRDefault="009958AA" w:rsidP="00E53FF6">
            <w:pPr>
              <w:suppressAutoHyphens w:val="0"/>
              <w:spacing w:before="40" w:after="40" w:line="220" w:lineRule="exact"/>
              <w:jc w:val="right"/>
              <w:rPr>
                <w:b/>
                <w:sz w:val="18"/>
              </w:rPr>
            </w:pPr>
            <w:r w:rsidRPr="003B5EA4">
              <w:rPr>
                <w:b/>
                <w:sz w:val="18"/>
              </w:rPr>
              <w:t>77 541 132</w:t>
            </w:r>
          </w:p>
        </w:tc>
      </w:tr>
      <w:tr w:rsidR="009958AA" w:rsidRPr="003B5EA4" w:rsidTr="00E53FF6">
        <w:tc>
          <w:tcPr>
            <w:tcW w:w="1475" w:type="dxa"/>
            <w:shd w:val="clear" w:color="auto" w:fill="auto"/>
          </w:tcPr>
          <w:p w:rsidR="009958AA" w:rsidRPr="003B5EA4" w:rsidRDefault="009958AA" w:rsidP="00E53FF6">
            <w:pPr>
              <w:suppressAutoHyphens w:val="0"/>
              <w:spacing w:before="40" w:after="40" w:line="220" w:lineRule="exact"/>
              <w:rPr>
                <w:sz w:val="18"/>
              </w:rPr>
            </w:pPr>
            <w:r w:rsidRPr="003B5EA4">
              <w:rPr>
                <w:sz w:val="18"/>
              </w:rPr>
              <w:t>2014</w:t>
            </w:r>
          </w:p>
        </w:tc>
        <w:tc>
          <w:tcPr>
            <w:tcW w:w="2673"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20 352 305</w:t>
            </w:r>
          </w:p>
        </w:tc>
        <w:tc>
          <w:tcPr>
            <w:tcW w:w="2269"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10 883 000</w:t>
            </w:r>
          </w:p>
        </w:tc>
        <w:tc>
          <w:tcPr>
            <w:tcW w:w="2178"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1 479 279</w:t>
            </w:r>
          </w:p>
        </w:tc>
        <w:tc>
          <w:tcPr>
            <w:tcW w:w="2361" w:type="dxa"/>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43 299 805</w:t>
            </w:r>
          </w:p>
        </w:tc>
        <w:tc>
          <w:tcPr>
            <w:tcW w:w="2820" w:type="dxa"/>
            <w:shd w:val="clear" w:color="auto" w:fill="auto"/>
            <w:vAlign w:val="bottom"/>
          </w:tcPr>
          <w:p w:rsidR="009958AA" w:rsidRPr="003B5EA4" w:rsidRDefault="009958AA" w:rsidP="00E53FF6">
            <w:pPr>
              <w:suppressAutoHyphens w:val="0"/>
              <w:spacing w:before="40" w:after="40" w:line="220" w:lineRule="exact"/>
              <w:jc w:val="right"/>
              <w:rPr>
                <w:b/>
                <w:sz w:val="18"/>
              </w:rPr>
            </w:pPr>
            <w:r w:rsidRPr="003B5EA4">
              <w:rPr>
                <w:b/>
                <w:sz w:val="18"/>
              </w:rPr>
              <w:t>76 014 389</w:t>
            </w:r>
          </w:p>
        </w:tc>
      </w:tr>
      <w:tr w:rsidR="009958AA" w:rsidRPr="003B5EA4" w:rsidTr="00C11268">
        <w:tc>
          <w:tcPr>
            <w:tcW w:w="1475" w:type="dxa"/>
            <w:tcBorders>
              <w:bottom w:val="single" w:sz="4" w:space="0" w:color="auto"/>
            </w:tcBorders>
            <w:shd w:val="clear" w:color="auto" w:fill="auto"/>
          </w:tcPr>
          <w:p w:rsidR="009958AA" w:rsidRPr="003B5EA4" w:rsidRDefault="009958AA" w:rsidP="00E53FF6">
            <w:pPr>
              <w:suppressAutoHyphens w:val="0"/>
              <w:spacing w:before="40" w:after="40" w:line="220" w:lineRule="exact"/>
              <w:rPr>
                <w:sz w:val="18"/>
              </w:rPr>
            </w:pPr>
            <w:r w:rsidRPr="003B5EA4">
              <w:rPr>
                <w:sz w:val="18"/>
              </w:rPr>
              <w:t>2015</w:t>
            </w:r>
          </w:p>
        </w:tc>
        <w:tc>
          <w:tcPr>
            <w:tcW w:w="2673" w:type="dxa"/>
            <w:tcBorders>
              <w:bottom w:val="single" w:sz="4"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20 747 658</w:t>
            </w:r>
          </w:p>
        </w:tc>
        <w:tc>
          <w:tcPr>
            <w:tcW w:w="2269" w:type="dxa"/>
            <w:tcBorders>
              <w:bottom w:val="single" w:sz="4"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9 373 950</w:t>
            </w:r>
          </w:p>
        </w:tc>
        <w:tc>
          <w:tcPr>
            <w:tcW w:w="2178" w:type="dxa"/>
            <w:tcBorders>
              <w:bottom w:val="single" w:sz="4"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1 706 511</w:t>
            </w:r>
          </w:p>
        </w:tc>
        <w:tc>
          <w:tcPr>
            <w:tcW w:w="2361" w:type="dxa"/>
            <w:tcBorders>
              <w:bottom w:val="single" w:sz="4" w:space="0" w:color="auto"/>
            </w:tcBorders>
            <w:shd w:val="clear" w:color="auto" w:fill="auto"/>
            <w:vAlign w:val="bottom"/>
          </w:tcPr>
          <w:p w:rsidR="009958AA" w:rsidRPr="003B5EA4" w:rsidRDefault="009958AA" w:rsidP="00E53FF6">
            <w:pPr>
              <w:suppressAutoHyphens w:val="0"/>
              <w:spacing w:before="40" w:after="40" w:line="220" w:lineRule="exact"/>
              <w:jc w:val="right"/>
              <w:rPr>
                <w:sz w:val="18"/>
              </w:rPr>
            </w:pPr>
            <w:r w:rsidRPr="003B5EA4">
              <w:rPr>
                <w:sz w:val="18"/>
              </w:rPr>
              <w:t>41 946 611</w:t>
            </w:r>
          </w:p>
        </w:tc>
        <w:tc>
          <w:tcPr>
            <w:tcW w:w="2820" w:type="dxa"/>
            <w:tcBorders>
              <w:bottom w:val="single" w:sz="4" w:space="0" w:color="auto"/>
            </w:tcBorders>
            <w:shd w:val="clear" w:color="auto" w:fill="auto"/>
            <w:vAlign w:val="bottom"/>
          </w:tcPr>
          <w:p w:rsidR="009958AA" w:rsidRPr="003B5EA4" w:rsidRDefault="009958AA" w:rsidP="00E53FF6">
            <w:pPr>
              <w:suppressAutoHyphens w:val="0"/>
              <w:spacing w:before="40" w:after="40" w:line="220" w:lineRule="exact"/>
              <w:jc w:val="right"/>
              <w:rPr>
                <w:b/>
                <w:sz w:val="18"/>
              </w:rPr>
            </w:pPr>
            <w:r w:rsidRPr="003B5EA4">
              <w:rPr>
                <w:b/>
                <w:sz w:val="18"/>
              </w:rPr>
              <w:t>73 774 730</w:t>
            </w:r>
          </w:p>
        </w:tc>
      </w:tr>
      <w:tr w:rsidR="009958AA" w:rsidRPr="003B5EA4" w:rsidTr="00C11268">
        <w:tc>
          <w:tcPr>
            <w:tcW w:w="1475" w:type="dxa"/>
            <w:tcBorders>
              <w:top w:val="single" w:sz="4" w:space="0" w:color="auto"/>
              <w:bottom w:val="single" w:sz="12" w:space="0" w:color="auto"/>
            </w:tcBorders>
            <w:shd w:val="clear" w:color="auto" w:fill="auto"/>
          </w:tcPr>
          <w:p w:rsidR="009958AA" w:rsidRPr="003B5EA4" w:rsidRDefault="009958AA" w:rsidP="00C11268">
            <w:pPr>
              <w:suppressAutoHyphens w:val="0"/>
              <w:spacing w:before="80" w:after="80" w:line="220" w:lineRule="exact"/>
              <w:ind w:left="284"/>
              <w:rPr>
                <w:b/>
                <w:sz w:val="18"/>
              </w:rPr>
            </w:pPr>
            <w:r w:rsidRPr="003B5EA4">
              <w:rPr>
                <w:b/>
                <w:sz w:val="18"/>
              </w:rPr>
              <w:t>Total</w:t>
            </w:r>
          </w:p>
        </w:tc>
        <w:tc>
          <w:tcPr>
            <w:tcW w:w="2673" w:type="dxa"/>
            <w:tcBorders>
              <w:top w:val="single" w:sz="4" w:space="0" w:color="auto"/>
              <w:bottom w:val="single" w:sz="12" w:space="0" w:color="auto"/>
            </w:tcBorders>
            <w:shd w:val="clear" w:color="auto" w:fill="auto"/>
            <w:vAlign w:val="bottom"/>
          </w:tcPr>
          <w:p w:rsidR="009958AA" w:rsidRPr="003B5EA4" w:rsidRDefault="009958AA" w:rsidP="00C11268">
            <w:pPr>
              <w:suppressAutoHyphens w:val="0"/>
              <w:spacing w:before="80" w:after="80" w:line="220" w:lineRule="exact"/>
              <w:jc w:val="right"/>
              <w:rPr>
                <w:b/>
                <w:sz w:val="18"/>
              </w:rPr>
            </w:pPr>
            <w:r w:rsidRPr="003B5EA4">
              <w:rPr>
                <w:b/>
                <w:sz w:val="18"/>
              </w:rPr>
              <w:t>84 092 357</w:t>
            </w:r>
          </w:p>
        </w:tc>
        <w:tc>
          <w:tcPr>
            <w:tcW w:w="2269" w:type="dxa"/>
            <w:tcBorders>
              <w:top w:val="single" w:sz="4" w:space="0" w:color="auto"/>
              <w:bottom w:val="single" w:sz="12" w:space="0" w:color="auto"/>
            </w:tcBorders>
            <w:shd w:val="clear" w:color="auto" w:fill="auto"/>
            <w:vAlign w:val="bottom"/>
          </w:tcPr>
          <w:p w:rsidR="009958AA" w:rsidRPr="003B5EA4" w:rsidRDefault="009958AA" w:rsidP="00C11268">
            <w:pPr>
              <w:suppressAutoHyphens w:val="0"/>
              <w:spacing w:before="80" w:after="80" w:line="220" w:lineRule="exact"/>
              <w:jc w:val="right"/>
              <w:rPr>
                <w:b/>
                <w:sz w:val="18"/>
              </w:rPr>
            </w:pPr>
            <w:r w:rsidRPr="003B5EA4">
              <w:rPr>
                <w:b/>
                <w:sz w:val="18"/>
              </w:rPr>
              <w:t>41 235 629</w:t>
            </w:r>
          </w:p>
        </w:tc>
        <w:tc>
          <w:tcPr>
            <w:tcW w:w="2178" w:type="dxa"/>
            <w:tcBorders>
              <w:top w:val="single" w:sz="4" w:space="0" w:color="auto"/>
              <w:bottom w:val="single" w:sz="12" w:space="0" w:color="auto"/>
            </w:tcBorders>
            <w:shd w:val="clear" w:color="auto" w:fill="auto"/>
            <w:vAlign w:val="bottom"/>
          </w:tcPr>
          <w:p w:rsidR="009958AA" w:rsidRPr="003B5EA4" w:rsidRDefault="009958AA" w:rsidP="00C11268">
            <w:pPr>
              <w:suppressAutoHyphens w:val="0"/>
              <w:spacing w:before="80" w:after="80" w:line="220" w:lineRule="exact"/>
              <w:jc w:val="right"/>
              <w:rPr>
                <w:b/>
                <w:sz w:val="18"/>
              </w:rPr>
            </w:pPr>
            <w:r w:rsidRPr="003B5EA4">
              <w:rPr>
                <w:b/>
                <w:sz w:val="18"/>
              </w:rPr>
              <w:t>6 243 032</w:t>
            </w:r>
          </w:p>
        </w:tc>
        <w:tc>
          <w:tcPr>
            <w:tcW w:w="2361" w:type="dxa"/>
            <w:tcBorders>
              <w:top w:val="single" w:sz="4" w:space="0" w:color="auto"/>
              <w:bottom w:val="single" w:sz="12" w:space="0" w:color="auto"/>
            </w:tcBorders>
            <w:shd w:val="clear" w:color="auto" w:fill="auto"/>
            <w:vAlign w:val="bottom"/>
          </w:tcPr>
          <w:p w:rsidR="009958AA" w:rsidRPr="003B5EA4" w:rsidRDefault="009958AA" w:rsidP="00C11268">
            <w:pPr>
              <w:suppressAutoHyphens w:val="0"/>
              <w:spacing w:before="80" w:after="80" w:line="220" w:lineRule="exact"/>
              <w:jc w:val="right"/>
              <w:rPr>
                <w:b/>
                <w:sz w:val="18"/>
              </w:rPr>
            </w:pPr>
            <w:r w:rsidRPr="003B5EA4">
              <w:rPr>
                <w:b/>
                <w:sz w:val="18"/>
              </w:rPr>
              <w:t>179 370 919</w:t>
            </w:r>
          </w:p>
        </w:tc>
        <w:tc>
          <w:tcPr>
            <w:tcW w:w="2820" w:type="dxa"/>
            <w:tcBorders>
              <w:top w:val="single" w:sz="4" w:space="0" w:color="auto"/>
              <w:bottom w:val="single" w:sz="12" w:space="0" w:color="auto"/>
            </w:tcBorders>
            <w:shd w:val="clear" w:color="auto" w:fill="auto"/>
            <w:vAlign w:val="bottom"/>
          </w:tcPr>
          <w:p w:rsidR="009958AA" w:rsidRPr="003B5EA4" w:rsidRDefault="009958AA" w:rsidP="00C11268">
            <w:pPr>
              <w:suppressAutoHyphens w:val="0"/>
              <w:spacing w:before="80" w:after="80" w:line="220" w:lineRule="exact"/>
              <w:jc w:val="right"/>
              <w:rPr>
                <w:b/>
                <w:sz w:val="18"/>
              </w:rPr>
            </w:pPr>
            <w:r w:rsidRPr="003B5EA4">
              <w:rPr>
                <w:b/>
                <w:sz w:val="18"/>
              </w:rPr>
              <w:t>310 941 939</w:t>
            </w:r>
          </w:p>
        </w:tc>
      </w:tr>
    </w:tbl>
    <w:p w:rsidR="00E53FF6" w:rsidRPr="003B5EA4" w:rsidRDefault="00E53FF6" w:rsidP="00E53FF6">
      <w:pPr>
        <w:pStyle w:val="SingleTxtG"/>
        <w:spacing w:before="120" w:after="0"/>
        <w:ind w:left="284" w:right="284" w:firstLine="170"/>
        <w:jc w:val="left"/>
        <w:rPr>
          <w:sz w:val="18"/>
        </w:rPr>
      </w:pPr>
      <w:r w:rsidRPr="003B5EA4">
        <w:rPr>
          <w:i/>
          <w:sz w:val="18"/>
        </w:rPr>
        <w:t>Source</w:t>
      </w:r>
      <w:r w:rsidRPr="003B5EA4">
        <w:rPr>
          <w:sz w:val="18"/>
        </w:rPr>
        <w:t xml:space="preserve"> : </w:t>
      </w:r>
      <w:r w:rsidR="00AC3B25" w:rsidRPr="003B5EA4">
        <w:rPr>
          <w:sz w:val="18"/>
        </w:rPr>
        <w:t>Réponses au questionnaire envoyé par le CCI aux organismes participants.</w:t>
      </w:r>
    </w:p>
    <w:p w:rsidR="00AC3B25" w:rsidRPr="003B5EA4" w:rsidRDefault="00AC3B25" w:rsidP="00AC3B25">
      <w:pPr>
        <w:pStyle w:val="SingleTxtG"/>
        <w:spacing w:after="0"/>
        <w:ind w:left="284" w:right="284" w:firstLine="170"/>
        <w:jc w:val="left"/>
        <w:rPr>
          <w:sz w:val="18"/>
        </w:rPr>
      </w:pPr>
      <w:r w:rsidRPr="003B5EA4">
        <w:rPr>
          <w:i/>
          <w:sz w:val="18"/>
          <w:vertAlign w:val="superscript"/>
        </w:rPr>
        <w:t>a</w:t>
      </w:r>
      <w:r w:rsidRPr="003B5EA4">
        <w:rPr>
          <w:sz w:val="18"/>
        </w:rPr>
        <w:t xml:space="preserve">  Le Siège de l</w:t>
      </w:r>
      <w:r w:rsidR="00762E0A">
        <w:rPr>
          <w:sz w:val="18"/>
        </w:rPr>
        <w:t>’</w:t>
      </w:r>
      <w:r w:rsidRPr="003B5EA4">
        <w:rPr>
          <w:sz w:val="18"/>
        </w:rPr>
        <w:t>ONU a fourni ses dépenses pour les billets d</w:t>
      </w:r>
      <w:r w:rsidR="00762E0A">
        <w:rPr>
          <w:sz w:val="18"/>
        </w:rPr>
        <w:t>’</w:t>
      </w:r>
      <w:r w:rsidRPr="003B5EA4">
        <w:rPr>
          <w:sz w:val="18"/>
        </w:rPr>
        <w:t>avion uniquement.</w:t>
      </w:r>
    </w:p>
    <w:p w:rsidR="00AC3B25" w:rsidRPr="003B5EA4" w:rsidRDefault="00AC3B25" w:rsidP="00AC3B25">
      <w:pPr>
        <w:pStyle w:val="SingleTxtG"/>
        <w:spacing w:after="0"/>
        <w:ind w:left="284" w:right="284" w:firstLine="170"/>
        <w:jc w:val="left"/>
        <w:rPr>
          <w:iCs/>
          <w:sz w:val="18"/>
        </w:rPr>
      </w:pPr>
      <w:r w:rsidRPr="003B5EA4">
        <w:rPr>
          <w:i/>
          <w:sz w:val="18"/>
          <w:vertAlign w:val="superscript"/>
        </w:rPr>
        <w:t>b</w:t>
      </w:r>
      <w:r w:rsidRPr="003B5EA4">
        <w:rPr>
          <w:sz w:val="18"/>
        </w:rPr>
        <w:t xml:space="preserve">  L</w:t>
      </w:r>
      <w:r w:rsidR="002E30FF" w:rsidRPr="003B5EA4">
        <w:rPr>
          <w:sz w:val="18"/>
        </w:rPr>
        <w:t>es dépenses au titre des voyages en avion et des prestations connexes engagées par l</w:t>
      </w:r>
      <w:r w:rsidR="00762E0A">
        <w:rPr>
          <w:sz w:val="18"/>
        </w:rPr>
        <w:t>’</w:t>
      </w:r>
      <w:r w:rsidR="002E30FF" w:rsidRPr="003B5EA4">
        <w:rPr>
          <w:sz w:val="18"/>
        </w:rPr>
        <w:t>UNOG concernent les entités suivantes : le CCS, le Département des affaires économiques et sociales, la Commission de droit international, le CCI, le Bureau de la coordination des affaires humanitaires, le Bureau des affaires de désarmement, le Haut-Commissariat des Nations Unies aux droits de l</w:t>
      </w:r>
      <w:r w:rsidR="00762E0A">
        <w:rPr>
          <w:sz w:val="18"/>
        </w:rPr>
        <w:t>’</w:t>
      </w:r>
      <w:r w:rsidR="002E30FF" w:rsidRPr="003B5EA4">
        <w:rPr>
          <w:sz w:val="18"/>
        </w:rPr>
        <w:t>homme, le BSCI, la Commission d</w:t>
      </w:r>
      <w:r w:rsidR="00762E0A">
        <w:rPr>
          <w:sz w:val="18"/>
        </w:rPr>
        <w:t>’</w:t>
      </w:r>
      <w:r w:rsidR="002E30FF" w:rsidRPr="003B5EA4">
        <w:rPr>
          <w:sz w:val="18"/>
        </w:rPr>
        <w:t>indemnisation des Nations Unies, la CNUCED, le Département de la sûreté et de la sécurité des Nations Unies, la CEE, l</w:t>
      </w:r>
      <w:r w:rsidR="00762E0A">
        <w:rPr>
          <w:sz w:val="18"/>
        </w:rPr>
        <w:t>’</w:t>
      </w:r>
      <w:r w:rsidR="002E30FF" w:rsidRPr="003B5EA4">
        <w:rPr>
          <w:sz w:val="18"/>
        </w:rPr>
        <w:t xml:space="preserve">Institut des </w:t>
      </w:r>
      <w:r w:rsidR="002E30FF" w:rsidRPr="003B5EA4">
        <w:rPr>
          <w:iCs/>
          <w:sz w:val="18"/>
        </w:rPr>
        <w:t>Nations</w:t>
      </w:r>
      <w:r w:rsidR="002E30FF" w:rsidRPr="003B5EA4">
        <w:rPr>
          <w:sz w:val="18"/>
        </w:rPr>
        <w:t xml:space="preserve"> Unies pour la recherche sur le désarmement, le Bureau des </w:t>
      </w:r>
      <w:r w:rsidR="002E30FF" w:rsidRPr="003B5EA4">
        <w:rPr>
          <w:iCs/>
          <w:sz w:val="18"/>
        </w:rPr>
        <w:t>Nations</w:t>
      </w:r>
      <w:r w:rsidR="002E30FF" w:rsidRPr="003B5EA4">
        <w:rPr>
          <w:sz w:val="18"/>
        </w:rPr>
        <w:t xml:space="preserve"> Unies pour la réduction des risques de catastrophe, l</w:t>
      </w:r>
      <w:r w:rsidR="00762E0A">
        <w:rPr>
          <w:sz w:val="18"/>
        </w:rPr>
        <w:t>’</w:t>
      </w:r>
      <w:r w:rsidR="002E30FF" w:rsidRPr="003B5EA4">
        <w:rPr>
          <w:sz w:val="18"/>
        </w:rPr>
        <w:t xml:space="preserve">Institut des </w:t>
      </w:r>
      <w:r w:rsidR="002E30FF" w:rsidRPr="003B5EA4">
        <w:rPr>
          <w:iCs/>
          <w:sz w:val="18"/>
        </w:rPr>
        <w:t>Nations</w:t>
      </w:r>
      <w:r w:rsidR="002E30FF" w:rsidRPr="003B5EA4">
        <w:rPr>
          <w:sz w:val="18"/>
        </w:rPr>
        <w:t xml:space="preserve"> Unies pour la formation et la recherche, </w:t>
      </w:r>
      <w:r w:rsidR="002E30FF" w:rsidRPr="003B5EA4">
        <w:rPr>
          <w:sz w:val="18"/>
        </w:rPr>
        <w:lastRenderedPageBreak/>
        <w:t xml:space="preserve">la Caisse commune des pensions du personnel des </w:t>
      </w:r>
      <w:r w:rsidR="002E30FF" w:rsidRPr="003B5EA4">
        <w:rPr>
          <w:iCs/>
          <w:sz w:val="18"/>
        </w:rPr>
        <w:t>Nations</w:t>
      </w:r>
      <w:r w:rsidR="002E30FF" w:rsidRPr="003B5EA4">
        <w:rPr>
          <w:sz w:val="18"/>
        </w:rPr>
        <w:t xml:space="preserve"> Unies, la Division de l</w:t>
      </w:r>
      <w:r w:rsidR="00762E0A">
        <w:rPr>
          <w:sz w:val="18"/>
        </w:rPr>
        <w:t>’</w:t>
      </w:r>
      <w:r w:rsidR="002E30FF" w:rsidRPr="003B5EA4">
        <w:rPr>
          <w:sz w:val="18"/>
        </w:rPr>
        <w:t>administration, la Division de la gestion des conférences, le Département de la protection internationale, la Bibliothèque de l</w:t>
      </w:r>
      <w:r w:rsidR="00762E0A">
        <w:rPr>
          <w:sz w:val="18"/>
        </w:rPr>
        <w:t>’</w:t>
      </w:r>
      <w:r w:rsidR="002E30FF" w:rsidRPr="003B5EA4">
        <w:rPr>
          <w:sz w:val="18"/>
        </w:rPr>
        <w:t>UNOG, le Bureau du Directeur général, la Section des services spéciaux, le Bureau de l</w:t>
      </w:r>
      <w:r w:rsidR="00762E0A">
        <w:rPr>
          <w:sz w:val="18"/>
        </w:rPr>
        <w:t>’</w:t>
      </w:r>
      <w:r w:rsidR="002E30FF" w:rsidRPr="003B5EA4">
        <w:rPr>
          <w:sz w:val="18"/>
        </w:rPr>
        <w:t xml:space="preserve">Envoyé spécial du Secrétaire général pour la République arabe syrienne, le Bureau des Nations Unies pour le </w:t>
      </w:r>
      <w:r w:rsidR="002E30FF" w:rsidRPr="003B5EA4">
        <w:rPr>
          <w:iCs/>
          <w:sz w:val="18"/>
        </w:rPr>
        <w:t>sport</w:t>
      </w:r>
      <w:r w:rsidR="002E30FF" w:rsidRPr="003B5EA4">
        <w:rPr>
          <w:sz w:val="18"/>
        </w:rPr>
        <w:t xml:space="preserve"> au service du développement et de la paix, et l</w:t>
      </w:r>
      <w:r w:rsidR="00762E0A">
        <w:rPr>
          <w:sz w:val="18"/>
        </w:rPr>
        <w:t>’</w:t>
      </w:r>
      <w:r w:rsidR="002E30FF" w:rsidRPr="003B5EA4">
        <w:rPr>
          <w:sz w:val="18"/>
        </w:rPr>
        <w:t xml:space="preserve">Institut de recherche des </w:t>
      </w:r>
      <w:r w:rsidR="002E30FF" w:rsidRPr="003B5EA4">
        <w:rPr>
          <w:iCs/>
          <w:sz w:val="18"/>
        </w:rPr>
        <w:t>Nations</w:t>
      </w:r>
      <w:r w:rsidR="002E30FF" w:rsidRPr="003B5EA4">
        <w:rPr>
          <w:sz w:val="18"/>
        </w:rPr>
        <w:t xml:space="preserve"> Unies pour le développement </w:t>
      </w:r>
      <w:r w:rsidR="002E30FF" w:rsidRPr="003B5EA4">
        <w:rPr>
          <w:iCs/>
          <w:sz w:val="18"/>
        </w:rPr>
        <w:t>social.</w:t>
      </w:r>
    </w:p>
    <w:p w:rsidR="002E30FF" w:rsidRPr="003B5EA4" w:rsidRDefault="002E30FF" w:rsidP="00AC3B25">
      <w:pPr>
        <w:pStyle w:val="SingleTxtG"/>
        <w:spacing w:after="0"/>
        <w:ind w:left="284" w:right="284" w:firstLine="170"/>
        <w:jc w:val="left"/>
        <w:rPr>
          <w:sz w:val="18"/>
        </w:rPr>
      </w:pPr>
      <w:r w:rsidRPr="003B5EA4">
        <w:rPr>
          <w:i/>
          <w:sz w:val="18"/>
          <w:vertAlign w:val="superscript"/>
        </w:rPr>
        <w:t>c</w:t>
      </w:r>
      <w:r w:rsidRPr="003B5EA4">
        <w:rPr>
          <w:sz w:val="18"/>
        </w:rPr>
        <w:t xml:space="preserve">  Les dépenses au titre des voyages en avion et des prestations connexes engagées par l</w:t>
      </w:r>
      <w:r w:rsidR="00762E0A">
        <w:rPr>
          <w:sz w:val="18"/>
        </w:rPr>
        <w:t>’</w:t>
      </w:r>
      <w:r w:rsidRPr="003B5EA4">
        <w:rPr>
          <w:sz w:val="18"/>
        </w:rPr>
        <w:t>UNON concernent les entités suivantes : le PNUE (Nairobi, Afrique, participants aux réunions</w:t>
      </w:r>
      <w:r w:rsidR="00280933">
        <w:rPr>
          <w:sz w:val="18"/>
        </w:rPr>
        <w:t> − </w:t>
      </w:r>
      <w:r w:rsidRPr="003B5EA4">
        <w:rPr>
          <w:sz w:val="18"/>
        </w:rPr>
        <w:t>2010-2014</w:t>
      </w:r>
      <w:r w:rsidR="00280933">
        <w:rPr>
          <w:sz w:val="18"/>
        </w:rPr>
        <w:t> </w:t>
      </w:r>
      <w:r w:rsidRPr="003B5EA4">
        <w:rPr>
          <w:sz w:val="18"/>
        </w:rPr>
        <w:t>; Afrique, Moyen-Orient, participants aux réunions</w:t>
      </w:r>
      <w:r w:rsidR="00506DF9">
        <w:rPr>
          <w:sz w:val="18"/>
        </w:rPr>
        <w:t> − </w:t>
      </w:r>
      <w:r w:rsidRPr="003B5EA4">
        <w:rPr>
          <w:sz w:val="18"/>
        </w:rPr>
        <w:t xml:space="preserve">2015), ONU-Habitat (Nairobi, participants aux réunions </w:t>
      </w:r>
      <w:r w:rsidR="00FA28F4">
        <w:rPr>
          <w:sz w:val="18"/>
        </w:rPr>
        <w:t>−</w:t>
      </w:r>
      <w:r w:rsidRPr="003B5EA4">
        <w:rPr>
          <w:sz w:val="18"/>
        </w:rPr>
        <w:t> 2010-2014</w:t>
      </w:r>
      <w:r w:rsidR="00280933">
        <w:rPr>
          <w:sz w:val="18"/>
        </w:rPr>
        <w:t> </w:t>
      </w:r>
      <w:r w:rsidRPr="003B5EA4">
        <w:rPr>
          <w:sz w:val="18"/>
        </w:rPr>
        <w:t>; participants aux réunions</w:t>
      </w:r>
      <w:r w:rsidR="00FA28F4">
        <w:rPr>
          <w:sz w:val="18"/>
        </w:rPr>
        <w:t> −</w:t>
      </w:r>
      <w:r w:rsidRPr="003B5EA4">
        <w:rPr>
          <w:sz w:val="18"/>
        </w:rPr>
        <w:t> 2015), et UNON (</w:t>
      </w:r>
      <w:r w:rsidR="0055478D">
        <w:rPr>
          <w:sz w:val="18"/>
        </w:rPr>
        <w:t>y compris</w:t>
      </w:r>
      <w:r w:rsidRPr="003B5EA4">
        <w:rPr>
          <w:sz w:val="18"/>
        </w:rPr>
        <w:t xml:space="preserve"> le BSCI, la Division de la gestion des conférences et le Département de la sûreté et de la sécurité). Comprend également </w:t>
      </w:r>
      <w:r w:rsidR="0093326D">
        <w:rPr>
          <w:sz w:val="18"/>
        </w:rPr>
        <w:t>l</w:t>
      </w:r>
      <w:r w:rsidR="00762E0A">
        <w:rPr>
          <w:sz w:val="18"/>
        </w:rPr>
        <w:t>’</w:t>
      </w:r>
      <w:r w:rsidRPr="003B5EA4">
        <w:rPr>
          <w:sz w:val="18"/>
        </w:rPr>
        <w:t>ONUDC</w:t>
      </w:r>
      <w:r w:rsidR="00506DF9">
        <w:rPr>
          <w:sz w:val="18"/>
        </w:rPr>
        <w:t> − </w:t>
      </w:r>
      <w:r w:rsidRPr="003B5EA4">
        <w:rPr>
          <w:sz w:val="18"/>
        </w:rPr>
        <w:t>2014-2015, et voyages à destination et en provenance de Somalie et du Kenya effectués par le Bureau de la coordination des affaires humanitaires</w:t>
      </w:r>
      <w:r w:rsidR="00506DF9">
        <w:rPr>
          <w:sz w:val="18"/>
        </w:rPr>
        <w:t> − </w:t>
      </w:r>
      <w:r w:rsidRPr="003B5EA4">
        <w:rPr>
          <w:sz w:val="18"/>
        </w:rPr>
        <w:t>2015.</w:t>
      </w:r>
    </w:p>
    <w:p w:rsidR="002E30FF" w:rsidRPr="003B5EA4" w:rsidRDefault="002E30FF" w:rsidP="00AC3B25">
      <w:pPr>
        <w:pStyle w:val="SingleTxtG"/>
        <w:spacing w:after="0"/>
        <w:ind w:left="284" w:right="284" w:firstLine="170"/>
        <w:jc w:val="left"/>
        <w:rPr>
          <w:sz w:val="18"/>
        </w:rPr>
      </w:pPr>
      <w:r w:rsidRPr="003B5EA4">
        <w:rPr>
          <w:i/>
          <w:sz w:val="18"/>
          <w:vertAlign w:val="superscript"/>
        </w:rPr>
        <w:t>d</w:t>
      </w:r>
      <w:r w:rsidRPr="003B5EA4">
        <w:rPr>
          <w:sz w:val="18"/>
        </w:rPr>
        <w:t xml:space="preserve">  L</w:t>
      </w:r>
      <w:r w:rsidR="00732CF4" w:rsidRPr="003B5EA4">
        <w:rPr>
          <w:sz w:val="18"/>
        </w:rPr>
        <w:t>es dépenses au titre des voyages en avion et frais associés engagées par l</w:t>
      </w:r>
      <w:r w:rsidR="00762E0A">
        <w:rPr>
          <w:sz w:val="18"/>
        </w:rPr>
        <w:t>’</w:t>
      </w:r>
      <w:r w:rsidR="00732CF4" w:rsidRPr="003B5EA4">
        <w:rPr>
          <w:sz w:val="18"/>
        </w:rPr>
        <w:t>UNOV concernent les entités suivantes : le Bureau des affaires spatiales, l</w:t>
      </w:r>
      <w:r w:rsidR="00762E0A">
        <w:rPr>
          <w:sz w:val="18"/>
        </w:rPr>
        <w:t>’</w:t>
      </w:r>
      <w:r w:rsidR="00732CF4" w:rsidRPr="003B5EA4">
        <w:rPr>
          <w:sz w:val="18"/>
        </w:rPr>
        <w:t xml:space="preserve">Organe </w:t>
      </w:r>
      <w:r w:rsidR="00732CF4" w:rsidRPr="003B5EA4">
        <w:rPr>
          <w:iCs/>
          <w:sz w:val="18"/>
        </w:rPr>
        <w:t>international</w:t>
      </w:r>
      <w:r w:rsidR="00732CF4" w:rsidRPr="003B5EA4">
        <w:rPr>
          <w:i/>
          <w:sz w:val="18"/>
        </w:rPr>
        <w:t xml:space="preserve"> </w:t>
      </w:r>
      <w:r w:rsidR="00732CF4" w:rsidRPr="003B5EA4">
        <w:rPr>
          <w:sz w:val="18"/>
        </w:rPr>
        <w:t xml:space="preserve">de contrôle des stupéfiants, la </w:t>
      </w:r>
      <w:r w:rsidR="00732CF4" w:rsidRPr="003B5EA4">
        <w:rPr>
          <w:iCs/>
          <w:sz w:val="18"/>
        </w:rPr>
        <w:t>Commission</w:t>
      </w:r>
      <w:r w:rsidR="00732CF4" w:rsidRPr="003B5EA4">
        <w:rPr>
          <w:i/>
          <w:sz w:val="18"/>
        </w:rPr>
        <w:t xml:space="preserve"> </w:t>
      </w:r>
      <w:r w:rsidR="00732CF4" w:rsidRPr="003B5EA4">
        <w:rPr>
          <w:sz w:val="18"/>
        </w:rPr>
        <w:t>des</w:t>
      </w:r>
      <w:r w:rsidR="00732CF4" w:rsidRPr="003B5EA4">
        <w:rPr>
          <w:i/>
          <w:sz w:val="18"/>
        </w:rPr>
        <w:t xml:space="preserve"> </w:t>
      </w:r>
      <w:r w:rsidR="00732CF4" w:rsidRPr="003B5EA4">
        <w:rPr>
          <w:iCs/>
          <w:sz w:val="18"/>
        </w:rPr>
        <w:t>Nations</w:t>
      </w:r>
      <w:r w:rsidR="00732CF4" w:rsidRPr="003B5EA4">
        <w:rPr>
          <w:i/>
          <w:sz w:val="18"/>
        </w:rPr>
        <w:t xml:space="preserve"> </w:t>
      </w:r>
      <w:r w:rsidR="00732CF4" w:rsidRPr="003B5EA4">
        <w:rPr>
          <w:sz w:val="18"/>
        </w:rPr>
        <w:t>Unies pour le droit commercial</w:t>
      </w:r>
      <w:r w:rsidR="00732CF4" w:rsidRPr="003B5EA4">
        <w:rPr>
          <w:i/>
          <w:sz w:val="18"/>
        </w:rPr>
        <w:t xml:space="preserve"> </w:t>
      </w:r>
      <w:r w:rsidR="00732CF4" w:rsidRPr="003B5EA4">
        <w:rPr>
          <w:iCs/>
          <w:sz w:val="18"/>
        </w:rPr>
        <w:t>international</w:t>
      </w:r>
      <w:r w:rsidR="00732CF4" w:rsidRPr="003B5EA4">
        <w:rPr>
          <w:sz w:val="18"/>
        </w:rPr>
        <w:t xml:space="preserve">, le </w:t>
      </w:r>
      <w:r w:rsidR="00732CF4" w:rsidRPr="003B5EA4">
        <w:rPr>
          <w:iCs/>
          <w:sz w:val="18"/>
        </w:rPr>
        <w:t>Service</w:t>
      </w:r>
      <w:r w:rsidR="00732CF4" w:rsidRPr="003B5EA4">
        <w:rPr>
          <w:i/>
          <w:sz w:val="18"/>
        </w:rPr>
        <w:t xml:space="preserve"> </w:t>
      </w:r>
      <w:r w:rsidR="00732CF4" w:rsidRPr="003B5EA4">
        <w:rPr>
          <w:sz w:val="18"/>
        </w:rPr>
        <w:t>d</w:t>
      </w:r>
      <w:r w:rsidR="00762E0A">
        <w:rPr>
          <w:sz w:val="18"/>
        </w:rPr>
        <w:t>’</w:t>
      </w:r>
      <w:r w:rsidR="00732CF4" w:rsidRPr="003B5EA4">
        <w:rPr>
          <w:iCs/>
          <w:sz w:val="18"/>
        </w:rPr>
        <w:t>information</w:t>
      </w:r>
      <w:r w:rsidR="00732CF4" w:rsidRPr="003B5EA4">
        <w:rPr>
          <w:i/>
          <w:sz w:val="18"/>
        </w:rPr>
        <w:t xml:space="preserve"> </w:t>
      </w:r>
      <w:r w:rsidR="00732CF4" w:rsidRPr="003B5EA4">
        <w:rPr>
          <w:sz w:val="18"/>
        </w:rPr>
        <w:t>des</w:t>
      </w:r>
      <w:r w:rsidR="00732CF4" w:rsidRPr="003B5EA4">
        <w:rPr>
          <w:i/>
          <w:sz w:val="18"/>
        </w:rPr>
        <w:t xml:space="preserve"> </w:t>
      </w:r>
      <w:r w:rsidR="00732CF4" w:rsidRPr="003B5EA4">
        <w:rPr>
          <w:iCs/>
          <w:sz w:val="18"/>
        </w:rPr>
        <w:t>Nations</w:t>
      </w:r>
      <w:r w:rsidR="00732CF4" w:rsidRPr="003B5EA4">
        <w:rPr>
          <w:i/>
          <w:sz w:val="18"/>
        </w:rPr>
        <w:t xml:space="preserve"> </w:t>
      </w:r>
      <w:r w:rsidR="00732CF4" w:rsidRPr="003B5EA4">
        <w:rPr>
          <w:sz w:val="18"/>
        </w:rPr>
        <w:t>Unies, l</w:t>
      </w:r>
      <w:r w:rsidR="00762E0A">
        <w:rPr>
          <w:sz w:val="18"/>
        </w:rPr>
        <w:t>’</w:t>
      </w:r>
      <w:r w:rsidR="00732CF4" w:rsidRPr="003B5EA4">
        <w:rPr>
          <w:iCs/>
          <w:sz w:val="18"/>
        </w:rPr>
        <w:t>Administration</w:t>
      </w:r>
      <w:r w:rsidR="00732CF4" w:rsidRPr="003B5EA4">
        <w:rPr>
          <w:sz w:val="18"/>
        </w:rPr>
        <w:t xml:space="preserve"> postale de l</w:t>
      </w:r>
      <w:r w:rsidR="00762E0A">
        <w:rPr>
          <w:sz w:val="18"/>
        </w:rPr>
        <w:t>’</w:t>
      </w:r>
      <w:r w:rsidR="00732CF4" w:rsidRPr="003B5EA4">
        <w:rPr>
          <w:sz w:val="18"/>
        </w:rPr>
        <w:t xml:space="preserve">Organisation des </w:t>
      </w:r>
      <w:r w:rsidR="00732CF4" w:rsidRPr="003B5EA4">
        <w:rPr>
          <w:iCs/>
          <w:sz w:val="18"/>
        </w:rPr>
        <w:t>Nations</w:t>
      </w:r>
      <w:r w:rsidR="00732CF4" w:rsidRPr="003B5EA4">
        <w:rPr>
          <w:sz w:val="18"/>
        </w:rPr>
        <w:t xml:space="preserve"> Unies, le Registre de l</w:t>
      </w:r>
      <w:r w:rsidR="00762E0A">
        <w:rPr>
          <w:sz w:val="18"/>
        </w:rPr>
        <w:t>’</w:t>
      </w:r>
      <w:r w:rsidR="00732CF4" w:rsidRPr="003B5EA4">
        <w:rPr>
          <w:sz w:val="18"/>
        </w:rPr>
        <w:t xml:space="preserve">Organisation des </w:t>
      </w:r>
      <w:r w:rsidR="00732CF4" w:rsidRPr="003B5EA4">
        <w:rPr>
          <w:iCs/>
          <w:sz w:val="18"/>
        </w:rPr>
        <w:t>Nations</w:t>
      </w:r>
      <w:r w:rsidR="00732CF4" w:rsidRPr="003B5EA4">
        <w:rPr>
          <w:sz w:val="18"/>
        </w:rPr>
        <w:t xml:space="preserve"> Unies concernant les dommages causés par la </w:t>
      </w:r>
      <w:r w:rsidR="00732CF4" w:rsidRPr="003B5EA4">
        <w:rPr>
          <w:iCs/>
          <w:sz w:val="18"/>
        </w:rPr>
        <w:t>construction</w:t>
      </w:r>
      <w:r w:rsidR="00732CF4" w:rsidRPr="003B5EA4">
        <w:rPr>
          <w:sz w:val="18"/>
        </w:rPr>
        <w:t xml:space="preserve"> du mur dans le territoire palestinien occupé, et le Comité scientifique des </w:t>
      </w:r>
      <w:r w:rsidR="00732CF4" w:rsidRPr="003B5EA4">
        <w:rPr>
          <w:iCs/>
          <w:sz w:val="18"/>
        </w:rPr>
        <w:t>Nations</w:t>
      </w:r>
      <w:r w:rsidR="00732CF4" w:rsidRPr="003B5EA4">
        <w:rPr>
          <w:sz w:val="18"/>
        </w:rPr>
        <w:t xml:space="preserve"> Unies pour l</w:t>
      </w:r>
      <w:r w:rsidR="00762E0A">
        <w:rPr>
          <w:sz w:val="18"/>
        </w:rPr>
        <w:t>’</w:t>
      </w:r>
      <w:r w:rsidR="00732CF4" w:rsidRPr="003B5EA4">
        <w:rPr>
          <w:sz w:val="18"/>
        </w:rPr>
        <w:t>étude des effets des rayonnements ionisants</w:t>
      </w:r>
      <w:r w:rsidR="00D11998" w:rsidRPr="003B5EA4">
        <w:rPr>
          <w:sz w:val="18"/>
        </w:rPr>
        <w:t>.</w:t>
      </w:r>
    </w:p>
    <w:p w:rsidR="002E30FF" w:rsidRPr="003B5EA4" w:rsidRDefault="002E30FF" w:rsidP="002E30FF">
      <w:pPr>
        <w:pStyle w:val="SingleTxtG"/>
        <w:spacing w:after="0"/>
        <w:ind w:left="284" w:right="284" w:firstLine="170"/>
        <w:jc w:val="left"/>
        <w:rPr>
          <w:sz w:val="18"/>
        </w:rPr>
      </w:pPr>
      <w:r w:rsidRPr="003B5EA4">
        <w:rPr>
          <w:i/>
          <w:sz w:val="18"/>
          <w:vertAlign w:val="superscript"/>
        </w:rPr>
        <w:t>e</w:t>
      </w:r>
      <w:r w:rsidRPr="003B5EA4">
        <w:rPr>
          <w:sz w:val="18"/>
        </w:rPr>
        <w:t xml:space="preserve">  </w:t>
      </w:r>
      <w:r w:rsidR="00732CF4" w:rsidRPr="003B5EA4">
        <w:rPr>
          <w:sz w:val="18"/>
        </w:rPr>
        <w:t>Conversion francs suisses-dollars des États-Unis basée sur le taux de change annuel moyen de l</w:t>
      </w:r>
      <w:r w:rsidR="00762E0A">
        <w:rPr>
          <w:sz w:val="18"/>
        </w:rPr>
        <w:t>’</w:t>
      </w:r>
      <w:r w:rsidR="00732CF4" w:rsidRPr="003B5EA4">
        <w:rPr>
          <w:sz w:val="18"/>
        </w:rPr>
        <w:t>OCDE : 2012 (0,938), 2013 (0,927), 2014 (0,916), 2015 (0,962)</w:t>
      </w:r>
      <w:r w:rsidR="0093326D">
        <w:rPr>
          <w:sz w:val="18"/>
        </w:rPr>
        <w:t>.</w:t>
      </w:r>
    </w:p>
    <w:p w:rsidR="002E30FF" w:rsidRPr="003B5EA4" w:rsidRDefault="002E30FF" w:rsidP="002E30FF">
      <w:pPr>
        <w:pStyle w:val="SingleTxtG"/>
        <w:spacing w:after="0"/>
        <w:ind w:left="284" w:right="284" w:firstLine="170"/>
        <w:jc w:val="left"/>
        <w:rPr>
          <w:sz w:val="18"/>
        </w:rPr>
      </w:pPr>
      <w:r w:rsidRPr="003B5EA4">
        <w:rPr>
          <w:i/>
          <w:sz w:val="18"/>
          <w:vertAlign w:val="superscript"/>
        </w:rPr>
        <w:t>f</w:t>
      </w:r>
      <w:r w:rsidRPr="003B5EA4">
        <w:rPr>
          <w:sz w:val="18"/>
        </w:rPr>
        <w:t xml:space="preserve">  </w:t>
      </w:r>
      <w:r w:rsidR="00732CF4" w:rsidRPr="003B5EA4">
        <w:rPr>
          <w:sz w:val="18"/>
        </w:rPr>
        <w:t>Conversion euros-dollars des États-Unis basée sur le taux de change annuel moyen de l</w:t>
      </w:r>
      <w:r w:rsidR="00762E0A">
        <w:rPr>
          <w:sz w:val="18"/>
        </w:rPr>
        <w:t>’</w:t>
      </w:r>
      <w:r w:rsidR="00732CF4" w:rsidRPr="003B5EA4">
        <w:rPr>
          <w:sz w:val="18"/>
        </w:rPr>
        <w:t xml:space="preserve"> OCDE : 2012 (0,778), 2013 (0,753), 2014 (0,754), 2015 (0,902). </w:t>
      </w:r>
      <w:r w:rsidR="00C36EDB" w:rsidRPr="003B5EA4">
        <w:rPr>
          <w:sz w:val="18"/>
        </w:rPr>
        <w:br/>
      </w:r>
      <w:r w:rsidR="00732CF4" w:rsidRPr="003B5EA4">
        <w:rPr>
          <w:i/>
          <w:sz w:val="18"/>
        </w:rPr>
        <w:t>Source</w:t>
      </w:r>
      <w:r w:rsidR="00732CF4" w:rsidRPr="003B5EA4">
        <w:rPr>
          <w:sz w:val="18"/>
        </w:rPr>
        <w:t xml:space="preserve"> : </w:t>
      </w:r>
      <w:hyperlink r:id="rId39" w:history="1">
        <w:r w:rsidR="00872BB9" w:rsidRPr="00872BB9">
          <w:rPr>
            <w:rStyle w:val="Lienhypertexte"/>
            <w:sz w:val="18"/>
            <w:szCs w:val="18"/>
          </w:rPr>
          <w:t>https://data.oecd.org/fr/conversion/taux-de-change.htm</w:t>
        </w:r>
      </w:hyperlink>
      <w:r w:rsidR="00732CF4" w:rsidRPr="003B5EA4">
        <w:rPr>
          <w:sz w:val="18"/>
        </w:rPr>
        <w:t>.</w:t>
      </w:r>
    </w:p>
    <w:p w:rsidR="002E30FF" w:rsidRPr="003B5EA4" w:rsidRDefault="00E24339" w:rsidP="00E24339">
      <w:pPr>
        <w:pStyle w:val="HChG"/>
      </w:pPr>
      <w:r w:rsidRPr="003B5EA4">
        <w:br w:type="page"/>
      </w:r>
      <w:r w:rsidRPr="003B5EA4">
        <w:lastRenderedPageBreak/>
        <w:t>Annexe II</w:t>
      </w:r>
    </w:p>
    <w:p w:rsidR="00E24339" w:rsidRPr="003B5EA4" w:rsidRDefault="00E24339" w:rsidP="00751FD2">
      <w:pPr>
        <w:pStyle w:val="HChG"/>
        <w:spacing w:before="340" w:after="220"/>
        <w:rPr>
          <w:lang w:eastAsia="zh-CN"/>
        </w:rPr>
      </w:pPr>
      <w:r w:rsidRPr="003B5EA4">
        <w:rPr>
          <w:lang w:eastAsia="zh-CN"/>
        </w:rPr>
        <w:tab/>
      </w:r>
      <w:r w:rsidRPr="003B5EA4">
        <w:rPr>
          <w:lang w:eastAsia="zh-CN"/>
        </w:rPr>
        <w:tab/>
        <w:t>Catégories de voyages applicables aux organismes des Nations Unies</w:t>
      </w:r>
    </w:p>
    <w:tbl>
      <w:tblPr>
        <w:tblW w:w="1377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2"/>
        <w:gridCol w:w="380"/>
        <w:gridCol w:w="381"/>
        <w:gridCol w:w="381"/>
        <w:gridCol w:w="381"/>
        <w:gridCol w:w="380"/>
        <w:gridCol w:w="381"/>
        <w:gridCol w:w="381"/>
        <w:gridCol w:w="381"/>
        <w:gridCol w:w="380"/>
        <w:gridCol w:w="381"/>
        <w:gridCol w:w="381"/>
        <w:gridCol w:w="381"/>
        <w:gridCol w:w="380"/>
        <w:gridCol w:w="380"/>
        <w:gridCol w:w="380"/>
        <w:gridCol w:w="380"/>
        <w:gridCol w:w="379"/>
        <w:gridCol w:w="380"/>
        <w:gridCol w:w="380"/>
        <w:gridCol w:w="380"/>
        <w:gridCol w:w="379"/>
        <w:gridCol w:w="380"/>
        <w:gridCol w:w="380"/>
        <w:gridCol w:w="380"/>
        <w:gridCol w:w="379"/>
        <w:gridCol w:w="380"/>
        <w:gridCol w:w="380"/>
        <w:gridCol w:w="380"/>
      </w:tblGrid>
      <w:tr w:rsidR="001C5671" w:rsidRPr="003B5EA4" w:rsidTr="002A5753">
        <w:trPr>
          <w:cantSplit/>
          <w:trHeight w:val="1372"/>
          <w:tblHeader/>
        </w:trPr>
        <w:tc>
          <w:tcPr>
            <w:tcW w:w="3132" w:type="dxa"/>
            <w:shd w:val="clear" w:color="auto" w:fill="auto"/>
            <w:noWrap/>
            <w:vAlign w:val="bottom"/>
            <w:hideMark/>
          </w:tcPr>
          <w:p w:rsidR="001C5671" w:rsidRPr="003B5EA4" w:rsidRDefault="001C5671" w:rsidP="00B30F56">
            <w:pPr>
              <w:suppressAutoHyphens w:val="0"/>
              <w:spacing w:before="80" w:after="80" w:line="200" w:lineRule="exact"/>
              <w:rPr>
                <w:i/>
                <w:sz w:val="16"/>
              </w:rPr>
            </w:pP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FAO</w:t>
            </w:r>
          </w:p>
        </w:tc>
        <w:tc>
          <w:tcPr>
            <w:tcW w:w="381" w:type="dxa"/>
            <w:shd w:val="clear" w:color="auto" w:fill="auto"/>
            <w:textDirection w:val="btLr"/>
            <w:vAlign w:val="center"/>
            <w:hideMark/>
          </w:tcPr>
          <w:p w:rsidR="001C5671" w:rsidRPr="003B5EA4" w:rsidRDefault="001D4F13" w:rsidP="00B30F56">
            <w:pPr>
              <w:suppressAutoHyphens w:val="0"/>
              <w:spacing w:line="200" w:lineRule="exact"/>
              <w:ind w:left="57"/>
              <w:rPr>
                <w:i/>
                <w:sz w:val="18"/>
              </w:rPr>
            </w:pPr>
            <w:r w:rsidRPr="003B5EA4">
              <w:rPr>
                <w:i/>
                <w:sz w:val="18"/>
              </w:rPr>
              <w:t>A</w:t>
            </w:r>
            <w:r w:rsidR="001C5671" w:rsidRPr="003B5EA4">
              <w:rPr>
                <w:i/>
                <w:sz w:val="18"/>
              </w:rPr>
              <w:t>IEA</w:t>
            </w:r>
          </w:p>
        </w:tc>
        <w:tc>
          <w:tcPr>
            <w:tcW w:w="381"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OACI</w:t>
            </w:r>
          </w:p>
        </w:tc>
        <w:tc>
          <w:tcPr>
            <w:tcW w:w="381"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OIT</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OMI</w:t>
            </w:r>
          </w:p>
        </w:tc>
        <w:tc>
          <w:tcPr>
            <w:tcW w:w="381"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CCI</w:t>
            </w:r>
            <w:r w:rsidR="001D4F13" w:rsidRPr="003B5EA4">
              <w:rPr>
                <w:sz w:val="18"/>
              </w:rPr>
              <w:t>*</w:t>
            </w:r>
          </w:p>
        </w:tc>
        <w:tc>
          <w:tcPr>
            <w:tcW w:w="381"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UIT</w:t>
            </w:r>
          </w:p>
        </w:tc>
        <w:tc>
          <w:tcPr>
            <w:tcW w:w="381"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ONUSIDA</w:t>
            </w:r>
          </w:p>
        </w:tc>
        <w:tc>
          <w:tcPr>
            <w:tcW w:w="380" w:type="dxa"/>
            <w:shd w:val="clear" w:color="auto" w:fill="auto"/>
            <w:textDirection w:val="btLr"/>
            <w:vAlign w:val="center"/>
            <w:hideMark/>
          </w:tcPr>
          <w:p w:rsidR="001C5671" w:rsidRPr="003B5EA4" w:rsidRDefault="0025547D" w:rsidP="00B30F56">
            <w:pPr>
              <w:suppressAutoHyphens w:val="0"/>
              <w:spacing w:line="200" w:lineRule="exact"/>
              <w:ind w:left="57"/>
              <w:rPr>
                <w:i/>
                <w:sz w:val="18"/>
              </w:rPr>
            </w:pPr>
            <w:r>
              <w:rPr>
                <w:i/>
                <w:sz w:val="18"/>
              </w:rPr>
              <w:t>CNUCED</w:t>
            </w:r>
          </w:p>
        </w:tc>
        <w:tc>
          <w:tcPr>
            <w:tcW w:w="381"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PNUD</w:t>
            </w:r>
          </w:p>
        </w:tc>
        <w:tc>
          <w:tcPr>
            <w:tcW w:w="381" w:type="dxa"/>
            <w:shd w:val="clear" w:color="auto" w:fill="auto"/>
            <w:textDirection w:val="btLr"/>
            <w:vAlign w:val="center"/>
            <w:hideMark/>
          </w:tcPr>
          <w:p w:rsidR="001C5671" w:rsidRPr="003B5EA4" w:rsidRDefault="001C5671" w:rsidP="001D4F13">
            <w:pPr>
              <w:suppressAutoHyphens w:val="0"/>
              <w:spacing w:line="200" w:lineRule="exact"/>
              <w:ind w:left="57"/>
              <w:rPr>
                <w:i/>
                <w:sz w:val="18"/>
              </w:rPr>
            </w:pPr>
            <w:r w:rsidRPr="003B5EA4">
              <w:rPr>
                <w:i/>
                <w:sz w:val="18"/>
              </w:rPr>
              <w:t>PNU</w:t>
            </w:r>
            <w:r w:rsidR="001D4F13" w:rsidRPr="003B5EA4">
              <w:rPr>
                <w:i/>
                <w:sz w:val="18"/>
              </w:rPr>
              <w:t>E</w:t>
            </w:r>
          </w:p>
        </w:tc>
        <w:tc>
          <w:tcPr>
            <w:tcW w:w="381"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UNESCO</w:t>
            </w:r>
          </w:p>
        </w:tc>
        <w:tc>
          <w:tcPr>
            <w:tcW w:w="380" w:type="dxa"/>
            <w:shd w:val="clear" w:color="auto" w:fill="auto"/>
            <w:textDirection w:val="btLr"/>
            <w:vAlign w:val="center"/>
            <w:hideMark/>
          </w:tcPr>
          <w:p w:rsidR="001C5671" w:rsidRPr="003B5EA4" w:rsidRDefault="001D4F13" w:rsidP="00B30F56">
            <w:pPr>
              <w:suppressAutoHyphens w:val="0"/>
              <w:spacing w:line="200" w:lineRule="exact"/>
              <w:ind w:left="57"/>
              <w:rPr>
                <w:i/>
                <w:sz w:val="18"/>
              </w:rPr>
            </w:pPr>
            <w:r w:rsidRPr="003B5EA4">
              <w:rPr>
                <w:i/>
                <w:sz w:val="18"/>
              </w:rPr>
              <w:t>FNUAP</w:t>
            </w:r>
          </w:p>
        </w:tc>
        <w:tc>
          <w:tcPr>
            <w:tcW w:w="380" w:type="dxa"/>
            <w:shd w:val="clear" w:color="auto" w:fill="auto"/>
            <w:textDirection w:val="btLr"/>
            <w:vAlign w:val="center"/>
            <w:hideMark/>
          </w:tcPr>
          <w:p w:rsidR="001C5671" w:rsidRPr="003B5EA4" w:rsidRDefault="001C5671" w:rsidP="00E75432">
            <w:pPr>
              <w:suppressAutoHyphens w:val="0"/>
              <w:spacing w:line="200" w:lineRule="exact"/>
              <w:ind w:left="57"/>
              <w:rPr>
                <w:i/>
                <w:sz w:val="18"/>
              </w:rPr>
            </w:pPr>
            <w:r w:rsidRPr="003B5EA4">
              <w:rPr>
                <w:i/>
                <w:sz w:val="18"/>
              </w:rPr>
              <w:t>ONU-H</w:t>
            </w:r>
            <w:r w:rsidR="00E75432">
              <w:rPr>
                <w:i/>
                <w:sz w:val="18"/>
              </w:rPr>
              <w:t>a</w:t>
            </w:r>
            <w:r w:rsidRPr="003B5EA4">
              <w:rPr>
                <w:i/>
                <w:sz w:val="18"/>
              </w:rPr>
              <w:t>bitat</w:t>
            </w:r>
          </w:p>
        </w:tc>
        <w:tc>
          <w:tcPr>
            <w:tcW w:w="380" w:type="dxa"/>
            <w:shd w:val="clear" w:color="auto" w:fill="auto"/>
            <w:textDirection w:val="btLr"/>
            <w:vAlign w:val="center"/>
            <w:hideMark/>
          </w:tcPr>
          <w:p w:rsidR="001C5671" w:rsidRPr="003B5EA4" w:rsidRDefault="001D4F13" w:rsidP="00B30F56">
            <w:pPr>
              <w:suppressAutoHyphens w:val="0"/>
              <w:spacing w:line="200" w:lineRule="exact"/>
              <w:ind w:left="57"/>
              <w:rPr>
                <w:i/>
                <w:sz w:val="18"/>
              </w:rPr>
            </w:pPr>
            <w:r w:rsidRPr="003B5EA4">
              <w:rPr>
                <w:i/>
                <w:sz w:val="18"/>
              </w:rPr>
              <w:t>HCR</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UNICEF</w:t>
            </w:r>
          </w:p>
        </w:tc>
        <w:tc>
          <w:tcPr>
            <w:tcW w:w="379"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ONUDI</w:t>
            </w:r>
          </w:p>
        </w:tc>
        <w:tc>
          <w:tcPr>
            <w:tcW w:w="380" w:type="dxa"/>
            <w:shd w:val="clear" w:color="auto" w:fill="auto"/>
            <w:textDirection w:val="btLr"/>
            <w:vAlign w:val="center"/>
            <w:hideMark/>
          </w:tcPr>
          <w:p w:rsidR="001C5671" w:rsidRPr="003B5EA4" w:rsidRDefault="00CA634F" w:rsidP="00B30F56">
            <w:pPr>
              <w:suppressAutoHyphens w:val="0"/>
              <w:spacing w:line="200" w:lineRule="exact"/>
              <w:ind w:left="57"/>
              <w:rPr>
                <w:i/>
                <w:sz w:val="18"/>
              </w:rPr>
            </w:pPr>
            <w:r w:rsidRPr="003B5EA4">
              <w:rPr>
                <w:i/>
                <w:sz w:val="18"/>
              </w:rPr>
              <w:t>ONU</w:t>
            </w:r>
          </w:p>
        </w:tc>
        <w:tc>
          <w:tcPr>
            <w:tcW w:w="380" w:type="dxa"/>
            <w:shd w:val="clear" w:color="auto" w:fill="auto"/>
            <w:textDirection w:val="btLr"/>
            <w:vAlign w:val="center"/>
            <w:hideMark/>
          </w:tcPr>
          <w:p w:rsidR="001C5671" w:rsidRPr="003B5EA4" w:rsidRDefault="00CA634F" w:rsidP="00B30F56">
            <w:pPr>
              <w:suppressAutoHyphens w:val="0"/>
              <w:spacing w:line="200" w:lineRule="exact"/>
              <w:ind w:left="57"/>
              <w:rPr>
                <w:i/>
                <w:sz w:val="18"/>
              </w:rPr>
            </w:pPr>
            <w:r w:rsidRPr="003B5EA4">
              <w:rPr>
                <w:i/>
                <w:sz w:val="18"/>
              </w:rPr>
              <w:t>ONU</w:t>
            </w:r>
            <w:r w:rsidR="001C5671" w:rsidRPr="003B5EA4">
              <w:rPr>
                <w:i/>
                <w:sz w:val="18"/>
              </w:rPr>
              <w:t>DC</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UNOPS</w:t>
            </w:r>
          </w:p>
        </w:tc>
        <w:tc>
          <w:tcPr>
            <w:tcW w:w="379" w:type="dxa"/>
            <w:shd w:val="clear" w:color="auto" w:fill="auto"/>
            <w:textDirection w:val="btLr"/>
            <w:vAlign w:val="center"/>
            <w:hideMark/>
          </w:tcPr>
          <w:p w:rsidR="001C5671" w:rsidRPr="003B5EA4" w:rsidRDefault="00CA634F" w:rsidP="00B30F56">
            <w:pPr>
              <w:suppressAutoHyphens w:val="0"/>
              <w:spacing w:line="200" w:lineRule="exact"/>
              <w:ind w:left="57"/>
              <w:rPr>
                <w:i/>
                <w:sz w:val="18"/>
              </w:rPr>
            </w:pPr>
            <w:r w:rsidRPr="003B5EA4">
              <w:rPr>
                <w:i/>
                <w:sz w:val="18"/>
              </w:rPr>
              <w:t>UNRWA</w:t>
            </w:r>
          </w:p>
        </w:tc>
        <w:tc>
          <w:tcPr>
            <w:tcW w:w="380" w:type="dxa"/>
            <w:shd w:val="clear" w:color="auto" w:fill="auto"/>
            <w:textDirection w:val="btLr"/>
            <w:vAlign w:val="center"/>
            <w:hideMark/>
          </w:tcPr>
          <w:p w:rsidR="001C5671" w:rsidRPr="003B5EA4" w:rsidRDefault="001C5671" w:rsidP="00CA634F">
            <w:pPr>
              <w:suppressAutoHyphens w:val="0"/>
              <w:spacing w:line="200" w:lineRule="exact"/>
              <w:ind w:left="57"/>
              <w:rPr>
                <w:i/>
                <w:sz w:val="18"/>
              </w:rPr>
            </w:pPr>
            <w:r w:rsidRPr="003B5EA4">
              <w:rPr>
                <w:i/>
                <w:sz w:val="18"/>
              </w:rPr>
              <w:t>ONU-</w:t>
            </w:r>
            <w:r w:rsidR="00CA634F" w:rsidRPr="003B5EA4">
              <w:rPr>
                <w:i/>
                <w:sz w:val="18"/>
              </w:rPr>
              <w:t>Femmes</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OMT</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UPU</w:t>
            </w:r>
          </w:p>
        </w:tc>
        <w:tc>
          <w:tcPr>
            <w:tcW w:w="379" w:type="dxa"/>
            <w:shd w:val="clear" w:color="auto" w:fill="auto"/>
            <w:textDirection w:val="btLr"/>
            <w:vAlign w:val="center"/>
            <w:hideMark/>
          </w:tcPr>
          <w:p w:rsidR="001C5671" w:rsidRPr="003B5EA4" w:rsidRDefault="001C5671" w:rsidP="00CA634F">
            <w:pPr>
              <w:suppressAutoHyphens w:val="0"/>
              <w:spacing w:line="200" w:lineRule="exact"/>
              <w:ind w:left="57"/>
              <w:rPr>
                <w:i/>
                <w:sz w:val="18"/>
              </w:rPr>
            </w:pPr>
            <w:r w:rsidRPr="003B5EA4">
              <w:rPr>
                <w:i/>
                <w:sz w:val="18"/>
              </w:rPr>
              <w:t>P</w:t>
            </w:r>
            <w:r w:rsidR="00CA634F" w:rsidRPr="003B5EA4">
              <w:rPr>
                <w:i/>
                <w:sz w:val="18"/>
              </w:rPr>
              <w:t>AM</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OMS</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OMPI</w:t>
            </w:r>
          </w:p>
        </w:tc>
        <w:tc>
          <w:tcPr>
            <w:tcW w:w="380" w:type="dxa"/>
            <w:shd w:val="clear" w:color="auto" w:fill="auto"/>
            <w:textDirection w:val="btLr"/>
            <w:vAlign w:val="center"/>
            <w:hideMark/>
          </w:tcPr>
          <w:p w:rsidR="001C5671" w:rsidRPr="003B5EA4" w:rsidRDefault="001C5671" w:rsidP="00B30F56">
            <w:pPr>
              <w:suppressAutoHyphens w:val="0"/>
              <w:spacing w:line="200" w:lineRule="exact"/>
              <w:ind w:left="57"/>
              <w:rPr>
                <w:i/>
                <w:sz w:val="18"/>
              </w:rPr>
            </w:pPr>
            <w:r w:rsidRPr="003B5EA4">
              <w:rPr>
                <w:i/>
                <w:sz w:val="18"/>
              </w:rPr>
              <w:t>OMM</w:t>
            </w:r>
          </w:p>
        </w:tc>
      </w:tr>
      <w:tr w:rsidR="001C5671" w:rsidRPr="003B5EA4" w:rsidTr="002A5753">
        <w:trPr>
          <w:cantSplit/>
          <w:trHeight w:val="240"/>
        </w:trPr>
        <w:tc>
          <w:tcPr>
            <w:tcW w:w="3132" w:type="dxa"/>
            <w:shd w:val="clear" w:color="auto" w:fill="auto"/>
            <w:hideMark/>
          </w:tcPr>
          <w:p w:rsidR="001C5671" w:rsidRPr="003B5EA4" w:rsidRDefault="00CA634F" w:rsidP="00CA634F">
            <w:pPr>
              <w:suppressAutoHyphens w:val="0"/>
              <w:spacing w:before="40" w:after="40" w:line="220" w:lineRule="exact"/>
              <w:ind w:left="57"/>
              <w:rPr>
                <w:b/>
                <w:sz w:val="18"/>
                <w:szCs w:val="18"/>
              </w:rPr>
            </w:pPr>
            <w:r w:rsidRPr="003B5EA4">
              <w:rPr>
                <w:b/>
                <w:sz w:val="18"/>
                <w:szCs w:val="18"/>
              </w:rPr>
              <w:t>Nomination</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Mères allaitantes</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Changement de lieu d</w:t>
            </w:r>
            <w:r w:rsidR="00762E0A">
              <w:rPr>
                <w:b/>
                <w:bCs/>
                <w:sz w:val="18"/>
                <w:szCs w:val="18"/>
              </w:rPr>
              <w:t>’</w:t>
            </w:r>
            <w:r w:rsidRPr="003B5EA4">
              <w:rPr>
                <w:b/>
                <w:bCs/>
                <w:sz w:val="18"/>
                <w:szCs w:val="18"/>
              </w:rPr>
              <w:t>affectation</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Changement de statut familial</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Personnes décédées</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Partenaire/concubin</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Voyage au titre des études</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Voyage de visite familiale</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Congé dans les foyers</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Évacuation médicale</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Mission</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Approvisionnement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CA634F">
            <w:pPr>
              <w:suppressAutoHyphens w:val="0"/>
              <w:spacing w:before="40" w:after="40" w:line="220" w:lineRule="exact"/>
              <w:ind w:left="57"/>
              <w:rPr>
                <w:b/>
                <w:sz w:val="18"/>
                <w:szCs w:val="18"/>
              </w:rPr>
            </w:pPr>
            <w:r w:rsidRPr="003B5EA4">
              <w:rPr>
                <w:b/>
                <w:bCs/>
                <w:sz w:val="18"/>
                <w:szCs w:val="18"/>
              </w:rPr>
              <w:t>Congé de détente</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Voyage au lieu d</w:t>
            </w:r>
            <w:r w:rsidR="00762E0A">
              <w:rPr>
                <w:b/>
                <w:bCs/>
                <w:sz w:val="18"/>
                <w:szCs w:val="18"/>
              </w:rPr>
              <w:t>’</w:t>
            </w:r>
            <w:r w:rsidRPr="003B5EA4">
              <w:rPr>
                <w:b/>
                <w:bCs/>
                <w:sz w:val="18"/>
                <w:szCs w:val="18"/>
              </w:rPr>
              <w:t>études des enfants</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Évacuation pour raisons de sécurité</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Cessation de service</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r>
      <w:tr w:rsidR="001C5671" w:rsidRPr="003B5EA4" w:rsidTr="002A5753">
        <w:trPr>
          <w:cantSplit/>
          <w:trHeight w:val="240"/>
        </w:trPr>
        <w:tc>
          <w:tcPr>
            <w:tcW w:w="3132" w:type="dxa"/>
            <w:shd w:val="clear" w:color="auto" w:fill="auto"/>
            <w:hideMark/>
          </w:tcPr>
          <w:p w:rsidR="001C5671" w:rsidRPr="003B5EA4" w:rsidRDefault="00CA634F" w:rsidP="00B30F56">
            <w:pPr>
              <w:suppressAutoHyphens w:val="0"/>
              <w:spacing w:before="40" w:after="40" w:line="220" w:lineRule="exact"/>
              <w:ind w:left="57"/>
              <w:rPr>
                <w:b/>
                <w:sz w:val="18"/>
                <w:szCs w:val="18"/>
              </w:rPr>
            </w:pPr>
            <w:r w:rsidRPr="003B5EA4">
              <w:rPr>
                <w:b/>
                <w:bCs/>
                <w:sz w:val="18"/>
                <w:szCs w:val="18"/>
              </w:rPr>
              <w:t>Parent célibataire</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1"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r w:rsidRPr="003B5EA4">
              <w:rPr>
                <w:rFonts w:ascii="Segoe UI Symbol" w:hAnsi="Segoe UI Symbol" w:cs="Segoe UI Symbol"/>
                <w:sz w:val="18"/>
              </w:rPr>
              <w:t>✓</w:t>
            </w: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79"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c>
          <w:tcPr>
            <w:tcW w:w="380" w:type="dxa"/>
            <w:shd w:val="clear" w:color="auto" w:fill="auto"/>
            <w:noWrap/>
            <w:vAlign w:val="center"/>
            <w:hideMark/>
          </w:tcPr>
          <w:p w:rsidR="001C5671" w:rsidRPr="003B5EA4" w:rsidRDefault="001C5671" w:rsidP="00B30F56">
            <w:pPr>
              <w:pStyle w:val="SingleTxtG"/>
              <w:suppressAutoHyphens w:val="0"/>
              <w:spacing w:before="40" w:after="40" w:line="220" w:lineRule="exact"/>
              <w:ind w:left="113" w:right="0"/>
              <w:jc w:val="center"/>
              <w:rPr>
                <w:sz w:val="18"/>
              </w:rPr>
            </w:pPr>
          </w:p>
        </w:tc>
      </w:tr>
    </w:tbl>
    <w:p w:rsidR="00E24339" w:rsidRPr="003B5EA4" w:rsidRDefault="00D11998" w:rsidP="00D11998">
      <w:pPr>
        <w:pStyle w:val="SingleTxtG"/>
        <w:spacing w:before="120" w:after="0"/>
        <w:ind w:left="284" w:right="284" w:firstLine="170"/>
        <w:jc w:val="left"/>
        <w:rPr>
          <w:sz w:val="18"/>
          <w:szCs w:val="18"/>
        </w:rPr>
      </w:pPr>
      <w:r w:rsidRPr="003B5EA4">
        <w:rPr>
          <w:i/>
          <w:sz w:val="18"/>
          <w:szCs w:val="18"/>
        </w:rPr>
        <w:t>Sources</w:t>
      </w:r>
      <w:r w:rsidRPr="003B5EA4">
        <w:rPr>
          <w:sz w:val="18"/>
          <w:szCs w:val="18"/>
        </w:rPr>
        <w:t> :</w:t>
      </w:r>
      <w:r w:rsidRPr="003B5EA4">
        <w:rPr>
          <w:i/>
          <w:sz w:val="18"/>
          <w:szCs w:val="18"/>
        </w:rPr>
        <w:t xml:space="preserve"> </w:t>
      </w:r>
      <w:r w:rsidRPr="003B5EA4">
        <w:rPr>
          <w:sz w:val="18"/>
          <w:szCs w:val="18"/>
        </w:rPr>
        <w:t>Politiques des organismes et réponses des organismes au questionnaire.</w:t>
      </w:r>
    </w:p>
    <w:p w:rsidR="00A96D35" w:rsidRPr="00637C51" w:rsidRDefault="00D11998" w:rsidP="00751FD2">
      <w:pPr>
        <w:pStyle w:val="SingleTxtG"/>
        <w:spacing w:after="240"/>
        <w:ind w:left="284" w:right="284" w:firstLine="170"/>
        <w:jc w:val="left"/>
        <w:rPr>
          <w:bCs/>
          <w:sz w:val="18"/>
          <w:szCs w:val="18"/>
          <w:lang w:eastAsia="zh-CN"/>
        </w:rPr>
      </w:pPr>
      <w:r w:rsidRPr="00637C51">
        <w:rPr>
          <w:sz w:val="18"/>
          <w:szCs w:val="18"/>
          <w:lang w:eastAsia="zh-CN"/>
        </w:rPr>
        <w:t>Autres catégories de voyages : AIEA : voyage pour accompagner un fonctionnaire handicapé en mission officielle</w:t>
      </w:r>
      <w:r w:rsidR="00751FD2" w:rsidRPr="00637C51">
        <w:rPr>
          <w:sz w:val="18"/>
          <w:szCs w:val="18"/>
          <w:lang w:eastAsia="zh-CN"/>
        </w:rPr>
        <w:t> </w:t>
      </w:r>
      <w:r w:rsidRPr="00637C51">
        <w:rPr>
          <w:bCs/>
          <w:sz w:val="18"/>
          <w:szCs w:val="18"/>
          <w:lang w:eastAsia="zh-CN"/>
        </w:rPr>
        <w:t>;</w:t>
      </w:r>
      <w:r w:rsidRPr="00637C51">
        <w:rPr>
          <w:sz w:val="18"/>
          <w:szCs w:val="18"/>
          <w:lang w:eastAsia="zh-CN"/>
        </w:rPr>
        <w:t xml:space="preserve"> ONU et OIT : </w:t>
      </w:r>
      <w:r w:rsidRPr="00637C51">
        <w:rPr>
          <w:bCs/>
          <w:sz w:val="18"/>
          <w:szCs w:val="18"/>
          <w:lang w:eastAsia="zh-CN"/>
        </w:rPr>
        <w:t>entrevue ou concours, congés sabbatiques et détachement</w:t>
      </w:r>
      <w:r w:rsidR="00751FD2" w:rsidRPr="00637C51">
        <w:rPr>
          <w:bCs/>
          <w:sz w:val="18"/>
          <w:szCs w:val="18"/>
          <w:lang w:eastAsia="zh-CN"/>
        </w:rPr>
        <w:t> </w:t>
      </w:r>
      <w:r w:rsidRPr="00637C51">
        <w:rPr>
          <w:sz w:val="18"/>
          <w:szCs w:val="18"/>
          <w:lang w:eastAsia="zh-CN"/>
        </w:rPr>
        <w:t xml:space="preserve">; PNUD : </w:t>
      </w:r>
      <w:r w:rsidRPr="00637C51">
        <w:rPr>
          <w:bCs/>
          <w:sz w:val="18"/>
          <w:szCs w:val="18"/>
          <w:lang w:eastAsia="zh-CN"/>
        </w:rPr>
        <w:t>apprentissage, développement personnel, programmes conjoints</w:t>
      </w:r>
      <w:r w:rsidR="00751FD2" w:rsidRPr="00637C51">
        <w:rPr>
          <w:bCs/>
          <w:sz w:val="18"/>
          <w:szCs w:val="18"/>
          <w:lang w:eastAsia="zh-CN"/>
        </w:rPr>
        <w:t> </w:t>
      </w:r>
      <w:r w:rsidRPr="00637C51">
        <w:rPr>
          <w:bCs/>
          <w:sz w:val="18"/>
          <w:szCs w:val="18"/>
          <w:lang w:eastAsia="zh-CN"/>
        </w:rPr>
        <w:t>;</w:t>
      </w:r>
      <w:r w:rsidRPr="00637C51">
        <w:rPr>
          <w:sz w:val="18"/>
          <w:szCs w:val="18"/>
          <w:lang w:eastAsia="zh-CN"/>
        </w:rPr>
        <w:t xml:space="preserve"> FNUAP : </w:t>
      </w:r>
      <w:r w:rsidRPr="00637C51">
        <w:rPr>
          <w:bCs/>
          <w:sz w:val="18"/>
          <w:szCs w:val="18"/>
          <w:lang w:eastAsia="zh-CN"/>
        </w:rPr>
        <w:t>détachement, apprentissage pour le personnel du FNUAP et formation pour le personnel de contrepartie</w:t>
      </w:r>
      <w:r w:rsidR="007959C4" w:rsidRPr="00637C51">
        <w:rPr>
          <w:sz w:val="18"/>
          <w:szCs w:val="18"/>
          <w:lang w:eastAsia="zh-CN"/>
        </w:rPr>
        <w:t> ;</w:t>
      </w:r>
      <w:r w:rsidRPr="00637C51">
        <w:rPr>
          <w:sz w:val="18"/>
          <w:szCs w:val="18"/>
          <w:lang w:eastAsia="zh-CN"/>
        </w:rPr>
        <w:t xml:space="preserve"> ONUDI : voyages de </w:t>
      </w:r>
      <w:r w:rsidRPr="00637C51">
        <w:rPr>
          <w:bCs/>
          <w:sz w:val="18"/>
          <w:szCs w:val="18"/>
          <w:lang w:eastAsia="zh-CN"/>
        </w:rPr>
        <w:t>reconnaissance</w:t>
      </w:r>
      <w:r w:rsidR="00751FD2" w:rsidRPr="00637C51">
        <w:rPr>
          <w:bCs/>
          <w:sz w:val="18"/>
          <w:szCs w:val="18"/>
          <w:lang w:eastAsia="zh-CN"/>
        </w:rPr>
        <w:t>.</w:t>
      </w:r>
    </w:p>
    <w:p w:rsidR="00D11998" w:rsidRPr="00EB384C" w:rsidRDefault="00A96D35" w:rsidP="00EB384C">
      <w:pPr>
        <w:pStyle w:val="HChG"/>
      </w:pPr>
      <w:r w:rsidRPr="003B5EA4">
        <w:rPr>
          <w:lang w:eastAsia="zh-CN"/>
        </w:rPr>
        <w:br w:type="page"/>
      </w:r>
      <w:r w:rsidRPr="003B5EA4">
        <w:rPr>
          <w:lang w:eastAsia="zh-CN"/>
        </w:rPr>
        <w:lastRenderedPageBreak/>
        <w:t>Annexe III</w:t>
      </w:r>
    </w:p>
    <w:p w:rsidR="00A96D35" w:rsidRPr="003B5EA4" w:rsidRDefault="00A96D35" w:rsidP="00EB384C">
      <w:pPr>
        <w:pStyle w:val="HChG"/>
      </w:pPr>
      <w:r w:rsidRPr="003B5EA4">
        <w:rPr>
          <w:lang w:eastAsia="zh-CN"/>
        </w:rPr>
        <w:tab/>
      </w:r>
      <w:r w:rsidRPr="003B5EA4">
        <w:rPr>
          <w:lang w:eastAsia="zh-CN"/>
        </w:rPr>
        <w:tab/>
      </w:r>
      <w:r w:rsidRPr="003B5EA4">
        <w:t>Conditions de voyage en avion appliquées aux fonctionnaires de haut rang par l</w:t>
      </w:r>
      <w:r w:rsidR="00762E0A">
        <w:t>’</w:t>
      </w:r>
      <w:r w:rsidRPr="003B5EA4">
        <w:t xml:space="preserve">ONU, les fonds </w:t>
      </w:r>
      <w:r w:rsidRPr="003B5EA4">
        <w:br/>
        <w:t xml:space="preserve">et programmes, les </w:t>
      </w:r>
      <w:r w:rsidRPr="00EB384C">
        <w:t>institutions</w:t>
      </w:r>
      <w:r w:rsidRPr="003B5EA4">
        <w:t xml:space="preserve"> spécialisées et l</w:t>
      </w:r>
      <w:r w:rsidR="00762E0A">
        <w:t>’</w:t>
      </w:r>
      <w:r w:rsidRPr="003B5EA4">
        <w:t>Agence internationale de l</w:t>
      </w:r>
      <w:r w:rsidR="00762E0A">
        <w:t>’</w:t>
      </w:r>
      <w:r w:rsidRPr="003B5EA4">
        <w:t>énergie atomique</w:t>
      </w:r>
    </w:p>
    <w:tbl>
      <w:tblPr>
        <w:tblW w:w="13783" w:type="dxa"/>
        <w:tblInd w:w="284" w:type="dxa"/>
        <w:tblBorders>
          <w:top w:val="single" w:sz="4" w:space="0" w:color="auto"/>
        </w:tblBorders>
        <w:tblLayout w:type="fixed"/>
        <w:tblCellMar>
          <w:left w:w="0" w:type="dxa"/>
          <w:right w:w="0" w:type="dxa"/>
        </w:tblCellMar>
        <w:tblLook w:val="04A0" w:firstRow="1" w:lastRow="0" w:firstColumn="1" w:lastColumn="0" w:noHBand="0" w:noVBand="1"/>
      </w:tblPr>
      <w:tblGrid>
        <w:gridCol w:w="1770"/>
        <w:gridCol w:w="2484"/>
        <w:gridCol w:w="5463"/>
        <w:gridCol w:w="1298"/>
        <w:gridCol w:w="1272"/>
        <w:gridCol w:w="1496"/>
      </w:tblGrid>
      <w:tr w:rsidR="009305D1" w:rsidRPr="003B5EA4" w:rsidTr="00C04BC8">
        <w:trPr>
          <w:trHeight w:val="240"/>
          <w:tblHeader/>
        </w:trPr>
        <w:tc>
          <w:tcPr>
            <w:tcW w:w="1770" w:type="dxa"/>
            <w:tcBorders>
              <w:top w:val="single" w:sz="4" w:space="0" w:color="auto"/>
              <w:bottom w:val="single" w:sz="12" w:space="0" w:color="auto"/>
            </w:tcBorders>
            <w:shd w:val="clear" w:color="auto" w:fill="auto"/>
            <w:vAlign w:val="bottom"/>
          </w:tcPr>
          <w:p w:rsidR="00B30F56" w:rsidRPr="003B5EA4" w:rsidRDefault="00E53502" w:rsidP="00216160">
            <w:pPr>
              <w:suppressAutoHyphens w:val="0"/>
              <w:spacing w:before="80" w:after="80" w:line="200" w:lineRule="exact"/>
              <w:ind w:right="113"/>
              <w:rPr>
                <w:i/>
                <w:sz w:val="16"/>
              </w:rPr>
            </w:pPr>
            <w:r w:rsidRPr="003B5EA4">
              <w:rPr>
                <w:i/>
                <w:sz w:val="16"/>
              </w:rPr>
              <w:t>Catégorie de voyage</w:t>
            </w:r>
          </w:p>
        </w:tc>
        <w:tc>
          <w:tcPr>
            <w:tcW w:w="2484" w:type="dxa"/>
            <w:tcBorders>
              <w:top w:val="single" w:sz="4" w:space="0" w:color="auto"/>
              <w:bottom w:val="single" w:sz="12" w:space="0" w:color="auto"/>
            </w:tcBorders>
            <w:shd w:val="clear" w:color="auto" w:fill="auto"/>
            <w:vAlign w:val="bottom"/>
          </w:tcPr>
          <w:p w:rsidR="00B30F56" w:rsidRPr="003B5EA4" w:rsidRDefault="00E211B3" w:rsidP="00303CF8">
            <w:pPr>
              <w:suppressAutoHyphens w:val="0"/>
              <w:spacing w:before="80" w:after="80" w:line="200" w:lineRule="exact"/>
              <w:ind w:right="113"/>
              <w:rPr>
                <w:i/>
                <w:sz w:val="16"/>
              </w:rPr>
            </w:pPr>
            <w:r w:rsidRPr="003B5EA4">
              <w:rPr>
                <w:bCs/>
                <w:i/>
                <w:sz w:val="16"/>
              </w:rPr>
              <w:t xml:space="preserve">Première classe quelle que soit </w:t>
            </w:r>
            <w:r w:rsidR="00C04BC8">
              <w:rPr>
                <w:bCs/>
                <w:i/>
                <w:sz w:val="16"/>
              </w:rPr>
              <w:br/>
            </w:r>
            <w:r w:rsidRPr="003B5EA4">
              <w:rPr>
                <w:bCs/>
                <w:i/>
                <w:sz w:val="16"/>
              </w:rPr>
              <w:t>la durée</w:t>
            </w:r>
            <w:r w:rsidR="00E75432">
              <w:rPr>
                <w:bCs/>
                <w:i/>
                <w:sz w:val="16"/>
              </w:rPr>
              <w:t xml:space="preserve"> </w:t>
            </w:r>
            <w:r w:rsidRPr="003B5EA4">
              <w:rPr>
                <w:bCs/>
                <w:i/>
                <w:sz w:val="16"/>
              </w:rPr>
              <w:t>du voyage</w:t>
            </w:r>
          </w:p>
        </w:tc>
        <w:tc>
          <w:tcPr>
            <w:tcW w:w="5463" w:type="dxa"/>
            <w:tcBorders>
              <w:top w:val="single" w:sz="4" w:space="0" w:color="auto"/>
              <w:bottom w:val="single" w:sz="12" w:space="0" w:color="auto"/>
            </w:tcBorders>
            <w:shd w:val="clear" w:color="auto" w:fill="auto"/>
            <w:vAlign w:val="bottom"/>
          </w:tcPr>
          <w:p w:rsidR="00B30F56" w:rsidRPr="003B5EA4" w:rsidRDefault="00E211B3" w:rsidP="00216160">
            <w:pPr>
              <w:suppressAutoHyphens w:val="0"/>
              <w:spacing w:before="80" w:after="80" w:line="200" w:lineRule="exact"/>
              <w:ind w:right="113"/>
              <w:rPr>
                <w:i/>
                <w:sz w:val="16"/>
              </w:rPr>
            </w:pPr>
            <w:r w:rsidRPr="003B5EA4">
              <w:rPr>
                <w:bCs/>
                <w:i/>
                <w:sz w:val="16"/>
              </w:rPr>
              <w:t>Classe affaires quelle que soit la durée du voyage</w:t>
            </w:r>
          </w:p>
        </w:tc>
        <w:tc>
          <w:tcPr>
            <w:tcW w:w="1298" w:type="dxa"/>
            <w:tcBorders>
              <w:top w:val="single" w:sz="4" w:space="0" w:color="auto"/>
              <w:bottom w:val="single" w:sz="12" w:space="0" w:color="auto"/>
            </w:tcBorders>
            <w:shd w:val="clear" w:color="auto" w:fill="auto"/>
            <w:vAlign w:val="bottom"/>
          </w:tcPr>
          <w:p w:rsidR="00B30F56" w:rsidRPr="003B5EA4" w:rsidRDefault="00E211B3" w:rsidP="00216160">
            <w:pPr>
              <w:suppressAutoHyphens w:val="0"/>
              <w:spacing w:before="80" w:after="80" w:line="200" w:lineRule="exact"/>
              <w:ind w:right="113"/>
              <w:rPr>
                <w:i/>
                <w:sz w:val="16"/>
              </w:rPr>
            </w:pPr>
            <w:r w:rsidRPr="003B5EA4">
              <w:rPr>
                <w:bCs/>
                <w:i/>
                <w:sz w:val="16"/>
              </w:rPr>
              <w:t xml:space="preserve">Classe affaires </w:t>
            </w:r>
            <w:r w:rsidRPr="003B5EA4">
              <w:rPr>
                <w:bCs/>
                <w:i/>
                <w:sz w:val="16"/>
              </w:rPr>
              <w:br/>
              <w:t xml:space="preserve">à partir </w:t>
            </w:r>
            <w:r w:rsidR="00303CF8">
              <w:rPr>
                <w:bCs/>
                <w:i/>
                <w:sz w:val="16"/>
              </w:rPr>
              <w:br/>
            </w:r>
            <w:r w:rsidRPr="003B5EA4">
              <w:rPr>
                <w:bCs/>
                <w:i/>
                <w:sz w:val="16"/>
              </w:rPr>
              <w:t>de 9 heures</w:t>
            </w:r>
          </w:p>
        </w:tc>
        <w:tc>
          <w:tcPr>
            <w:tcW w:w="1272" w:type="dxa"/>
            <w:tcBorders>
              <w:top w:val="single" w:sz="4" w:space="0" w:color="auto"/>
              <w:bottom w:val="single" w:sz="12" w:space="0" w:color="auto"/>
            </w:tcBorders>
            <w:shd w:val="clear" w:color="auto" w:fill="auto"/>
            <w:vAlign w:val="bottom"/>
          </w:tcPr>
          <w:p w:rsidR="00B30F56" w:rsidRPr="003B5EA4" w:rsidRDefault="00E211B3" w:rsidP="00216160">
            <w:pPr>
              <w:suppressAutoHyphens w:val="0"/>
              <w:spacing w:before="80" w:after="80" w:line="200" w:lineRule="exact"/>
              <w:ind w:right="113"/>
              <w:rPr>
                <w:i/>
                <w:sz w:val="16"/>
              </w:rPr>
            </w:pPr>
            <w:r w:rsidRPr="003B5EA4">
              <w:rPr>
                <w:bCs/>
                <w:i/>
                <w:sz w:val="16"/>
              </w:rPr>
              <w:t xml:space="preserve">Classe affaires </w:t>
            </w:r>
            <w:r w:rsidRPr="003B5EA4">
              <w:rPr>
                <w:bCs/>
                <w:i/>
                <w:sz w:val="16"/>
              </w:rPr>
              <w:br/>
              <w:t xml:space="preserve">à partir </w:t>
            </w:r>
            <w:r w:rsidR="001C6D3B" w:rsidRPr="003B5EA4">
              <w:rPr>
                <w:bCs/>
                <w:i/>
                <w:sz w:val="16"/>
              </w:rPr>
              <w:br/>
            </w:r>
            <w:r w:rsidRPr="003B5EA4">
              <w:rPr>
                <w:bCs/>
                <w:i/>
                <w:sz w:val="16"/>
              </w:rPr>
              <w:t>de 12 heures</w:t>
            </w:r>
          </w:p>
        </w:tc>
        <w:tc>
          <w:tcPr>
            <w:tcW w:w="1495" w:type="dxa"/>
            <w:tcBorders>
              <w:top w:val="single" w:sz="4" w:space="0" w:color="auto"/>
              <w:bottom w:val="single" w:sz="12" w:space="0" w:color="auto"/>
            </w:tcBorders>
            <w:shd w:val="clear" w:color="auto" w:fill="auto"/>
            <w:tcMar>
              <w:right w:w="0" w:type="dxa"/>
            </w:tcMar>
            <w:vAlign w:val="bottom"/>
          </w:tcPr>
          <w:p w:rsidR="00B30F56" w:rsidRPr="003B5EA4" w:rsidRDefault="00E211B3" w:rsidP="00B8409D">
            <w:pPr>
              <w:suppressAutoHyphens w:val="0"/>
              <w:spacing w:before="80" w:after="80" w:line="200" w:lineRule="exact"/>
              <w:rPr>
                <w:i/>
                <w:sz w:val="16"/>
              </w:rPr>
            </w:pPr>
            <w:r w:rsidRPr="003B5EA4">
              <w:rPr>
                <w:bCs/>
                <w:i/>
                <w:spacing w:val="-2"/>
                <w:sz w:val="16"/>
              </w:rPr>
              <w:t>Classe économique</w:t>
            </w:r>
            <w:r w:rsidRPr="003B5EA4">
              <w:rPr>
                <w:bCs/>
                <w:i/>
                <w:sz w:val="16"/>
              </w:rPr>
              <w:t xml:space="preserve"> quelle que soit </w:t>
            </w:r>
            <w:r w:rsidR="00B8409D">
              <w:rPr>
                <w:bCs/>
                <w:i/>
                <w:sz w:val="16"/>
              </w:rPr>
              <w:br/>
              <w:t>l</w:t>
            </w:r>
            <w:r w:rsidRPr="003B5EA4">
              <w:rPr>
                <w:bCs/>
                <w:i/>
                <w:sz w:val="16"/>
              </w:rPr>
              <w:t>a durée du voyage</w:t>
            </w:r>
          </w:p>
        </w:tc>
      </w:tr>
      <w:tr w:rsidR="009305D1" w:rsidRPr="003B5EA4" w:rsidTr="00C04BC8">
        <w:trPr>
          <w:trHeight w:hRule="exact" w:val="113"/>
          <w:tblHeader/>
        </w:trPr>
        <w:tc>
          <w:tcPr>
            <w:tcW w:w="1770" w:type="dxa"/>
            <w:tcBorders>
              <w:top w:val="single" w:sz="12" w:space="0" w:color="auto"/>
              <w:bottom w:val="nil"/>
            </w:tcBorders>
            <w:shd w:val="clear" w:color="auto" w:fill="auto"/>
          </w:tcPr>
          <w:p w:rsidR="00B30F56" w:rsidRPr="003B5EA4" w:rsidRDefault="00B30F56" w:rsidP="00216160">
            <w:pPr>
              <w:suppressAutoHyphens w:val="0"/>
              <w:spacing w:before="40" w:after="120"/>
              <w:ind w:right="113"/>
            </w:pPr>
          </w:p>
        </w:tc>
        <w:tc>
          <w:tcPr>
            <w:tcW w:w="2484" w:type="dxa"/>
            <w:tcBorders>
              <w:top w:val="single" w:sz="12" w:space="0" w:color="auto"/>
              <w:bottom w:val="nil"/>
            </w:tcBorders>
            <w:shd w:val="clear" w:color="auto" w:fill="auto"/>
          </w:tcPr>
          <w:p w:rsidR="00B30F56" w:rsidRPr="003B5EA4" w:rsidRDefault="00B30F56" w:rsidP="00216160">
            <w:pPr>
              <w:suppressAutoHyphens w:val="0"/>
              <w:spacing w:before="40" w:after="120"/>
              <w:ind w:right="113"/>
            </w:pPr>
          </w:p>
        </w:tc>
        <w:tc>
          <w:tcPr>
            <w:tcW w:w="5463" w:type="dxa"/>
            <w:tcBorders>
              <w:top w:val="single" w:sz="12" w:space="0" w:color="auto"/>
              <w:bottom w:val="nil"/>
            </w:tcBorders>
            <w:shd w:val="clear" w:color="auto" w:fill="auto"/>
          </w:tcPr>
          <w:p w:rsidR="00B30F56" w:rsidRPr="003B5EA4" w:rsidRDefault="00B30F56" w:rsidP="00216160">
            <w:pPr>
              <w:suppressAutoHyphens w:val="0"/>
              <w:spacing w:before="40" w:after="120"/>
              <w:ind w:right="113"/>
            </w:pPr>
          </w:p>
        </w:tc>
        <w:tc>
          <w:tcPr>
            <w:tcW w:w="1298" w:type="dxa"/>
            <w:tcBorders>
              <w:top w:val="single" w:sz="12" w:space="0" w:color="auto"/>
              <w:bottom w:val="nil"/>
            </w:tcBorders>
            <w:shd w:val="clear" w:color="auto" w:fill="auto"/>
          </w:tcPr>
          <w:p w:rsidR="00B30F56" w:rsidRPr="003B5EA4" w:rsidRDefault="00B30F56" w:rsidP="00216160">
            <w:pPr>
              <w:suppressAutoHyphens w:val="0"/>
              <w:spacing w:before="40" w:after="120"/>
              <w:ind w:right="113"/>
            </w:pPr>
          </w:p>
        </w:tc>
        <w:tc>
          <w:tcPr>
            <w:tcW w:w="1272" w:type="dxa"/>
            <w:tcBorders>
              <w:top w:val="single" w:sz="12" w:space="0" w:color="auto"/>
              <w:bottom w:val="nil"/>
            </w:tcBorders>
            <w:shd w:val="clear" w:color="auto" w:fill="auto"/>
          </w:tcPr>
          <w:p w:rsidR="00B30F56" w:rsidRPr="003B5EA4" w:rsidRDefault="00B30F56" w:rsidP="00216160">
            <w:pPr>
              <w:suppressAutoHyphens w:val="0"/>
              <w:spacing w:before="40" w:after="120"/>
              <w:ind w:right="113"/>
            </w:pPr>
          </w:p>
        </w:tc>
        <w:tc>
          <w:tcPr>
            <w:tcW w:w="1495" w:type="dxa"/>
            <w:tcBorders>
              <w:top w:val="single" w:sz="12" w:space="0" w:color="auto"/>
              <w:bottom w:val="nil"/>
            </w:tcBorders>
            <w:shd w:val="clear" w:color="auto" w:fill="auto"/>
            <w:tcMar>
              <w:right w:w="0" w:type="dxa"/>
            </w:tcMar>
          </w:tcPr>
          <w:p w:rsidR="00B30F56" w:rsidRPr="003B5EA4" w:rsidRDefault="00B30F56" w:rsidP="00B30F56">
            <w:pPr>
              <w:suppressAutoHyphens w:val="0"/>
              <w:spacing w:before="40" w:after="120"/>
            </w:pPr>
          </w:p>
        </w:tc>
      </w:tr>
      <w:tr w:rsidR="009305D1" w:rsidRPr="003B5EA4" w:rsidTr="00C04BC8">
        <w:trPr>
          <w:trHeight w:val="240"/>
        </w:trPr>
        <w:tc>
          <w:tcPr>
            <w:tcW w:w="1770" w:type="dxa"/>
            <w:tcBorders>
              <w:top w:val="nil"/>
            </w:tcBorders>
            <w:shd w:val="clear" w:color="auto" w:fill="auto"/>
          </w:tcPr>
          <w:p w:rsidR="00B30F56" w:rsidRPr="008F601A" w:rsidRDefault="00685936" w:rsidP="00216160">
            <w:pPr>
              <w:suppressAutoHyphens w:val="0"/>
              <w:spacing w:before="40" w:after="120"/>
              <w:ind w:right="113"/>
            </w:pPr>
            <w:r w:rsidRPr="008F601A">
              <w:rPr>
                <w:bCs/>
              </w:rPr>
              <w:t>Voyage officiel</w:t>
            </w:r>
          </w:p>
        </w:tc>
        <w:tc>
          <w:tcPr>
            <w:tcW w:w="2484" w:type="dxa"/>
            <w:tcBorders>
              <w:top w:val="nil"/>
            </w:tcBorders>
            <w:shd w:val="clear" w:color="auto" w:fill="auto"/>
          </w:tcPr>
          <w:p w:rsidR="00B30F56" w:rsidRPr="008F601A" w:rsidRDefault="00685936" w:rsidP="00C04BC8">
            <w:pPr>
              <w:suppressAutoHyphens w:val="0"/>
              <w:spacing w:before="40" w:after="120"/>
              <w:ind w:right="113"/>
            </w:pPr>
            <w:r w:rsidRPr="008F601A">
              <w:rPr>
                <w:rFonts w:asciiTheme="majorBidi" w:hAnsiTheme="majorBidi" w:cstheme="majorBidi"/>
              </w:rPr>
              <w:t xml:space="preserve">OMI (SG), </w:t>
            </w:r>
            <w:r w:rsidR="00E270F5" w:rsidRPr="008F601A">
              <w:rPr>
                <w:rFonts w:asciiTheme="majorBidi" w:hAnsiTheme="majorBidi" w:cstheme="majorBidi"/>
              </w:rPr>
              <w:t xml:space="preserve">OMM, </w:t>
            </w:r>
            <w:r w:rsidRPr="008F601A">
              <w:rPr>
                <w:rFonts w:asciiTheme="majorBidi" w:hAnsiTheme="majorBidi" w:cstheme="majorBidi"/>
              </w:rPr>
              <w:t>OMPI (DG)</w:t>
            </w:r>
            <w:r w:rsidR="004B6D5F" w:rsidRPr="008F601A">
              <w:rPr>
                <w:rFonts w:asciiTheme="majorBidi" w:hAnsiTheme="majorBidi" w:cstheme="majorBidi"/>
              </w:rPr>
              <w:t>,</w:t>
            </w:r>
            <w:r w:rsidRPr="008F601A">
              <w:rPr>
                <w:rFonts w:asciiTheme="majorBidi" w:hAnsiTheme="majorBidi" w:cstheme="majorBidi"/>
              </w:rPr>
              <w:t xml:space="preserve"> </w:t>
            </w:r>
            <w:r w:rsidR="004B6D5F" w:rsidRPr="008F601A">
              <w:rPr>
                <w:rFonts w:asciiTheme="majorBidi" w:hAnsiTheme="majorBidi" w:cstheme="majorBidi"/>
              </w:rPr>
              <w:t>OMT (SG), ONU (SG, VSG, PAG)</w:t>
            </w:r>
            <w:r w:rsidR="004B6D5F" w:rsidRPr="00A36315">
              <w:rPr>
                <w:rFonts w:asciiTheme="majorBidi" w:hAnsiTheme="majorBidi" w:cstheme="majorBidi"/>
                <w:i/>
                <w:sz w:val="18"/>
                <w:szCs w:val="18"/>
                <w:vertAlign w:val="superscript"/>
              </w:rPr>
              <w:t>a</w:t>
            </w:r>
            <w:r w:rsidR="004B6D5F" w:rsidRPr="008F601A">
              <w:rPr>
                <w:rFonts w:asciiTheme="majorBidi" w:hAnsiTheme="majorBidi" w:cstheme="majorBidi"/>
              </w:rPr>
              <w:t xml:space="preserve"> et UIT (SG,</w:t>
            </w:r>
            <w:r w:rsidR="00C04BC8">
              <w:rPr>
                <w:rFonts w:asciiTheme="majorBidi" w:hAnsiTheme="majorBidi" w:cstheme="majorBidi"/>
              </w:rPr>
              <w:t xml:space="preserve"> </w:t>
            </w:r>
            <w:r w:rsidR="004B6D5F" w:rsidRPr="008F601A">
              <w:rPr>
                <w:rFonts w:asciiTheme="majorBidi" w:hAnsiTheme="majorBidi" w:cstheme="majorBidi"/>
              </w:rPr>
              <w:t>VSG, 3 directeurs de bureau)</w:t>
            </w:r>
          </w:p>
        </w:tc>
        <w:tc>
          <w:tcPr>
            <w:tcW w:w="5463" w:type="dxa"/>
            <w:tcBorders>
              <w:top w:val="nil"/>
            </w:tcBorders>
            <w:shd w:val="clear" w:color="auto" w:fill="auto"/>
          </w:tcPr>
          <w:p w:rsidR="00B30F56" w:rsidRPr="008F601A" w:rsidRDefault="00816242" w:rsidP="00216160">
            <w:pPr>
              <w:suppressAutoHyphens w:val="0"/>
              <w:spacing w:before="40" w:after="120"/>
              <w:ind w:right="113"/>
            </w:pPr>
            <w:r w:rsidRPr="008F601A">
              <w:t xml:space="preserve">CCI*, FNUAP (DE), HCR, </w:t>
            </w:r>
            <w:r w:rsidR="00C61AA8" w:rsidRPr="008F601A">
              <w:t>OACI, OIT (DG)</w:t>
            </w:r>
            <w:r w:rsidR="00C61AA8" w:rsidRPr="00A36315">
              <w:rPr>
                <w:i/>
                <w:sz w:val="18"/>
                <w:szCs w:val="18"/>
                <w:vertAlign w:val="superscript"/>
              </w:rPr>
              <w:t>b</w:t>
            </w:r>
            <w:r w:rsidR="00C61AA8" w:rsidRPr="008F601A">
              <w:t xml:space="preserve">, </w:t>
            </w:r>
            <w:r w:rsidR="000F5D01" w:rsidRPr="008F601A">
              <w:t>OMS</w:t>
            </w:r>
            <w:r w:rsidR="00F36B1A" w:rsidRPr="008F601A">
              <w:t> </w:t>
            </w:r>
            <w:r w:rsidR="000F5D01" w:rsidRPr="008F601A">
              <w:t xml:space="preserve">(DG, DGA, DE, 6 DR), </w:t>
            </w:r>
            <w:r w:rsidR="00C61AA8" w:rsidRPr="008F601A">
              <w:t xml:space="preserve">ONU (SGA, SSG), </w:t>
            </w:r>
            <w:r w:rsidR="00F36B1A" w:rsidRPr="008F601A">
              <w:t>ONU</w:t>
            </w:r>
            <w:r w:rsidR="00F36B1A" w:rsidRPr="008F601A">
              <w:noBreakHyphen/>
              <w:t xml:space="preserve">Femmes (DE), </w:t>
            </w:r>
            <w:r w:rsidR="000F5D01" w:rsidRPr="008F601A">
              <w:t xml:space="preserve">ONUDC, ONUDI, </w:t>
            </w:r>
            <w:r w:rsidR="00C61AA8" w:rsidRPr="008F601A">
              <w:t xml:space="preserve">ONUSIDA, </w:t>
            </w:r>
            <w:r w:rsidR="00C61AA8" w:rsidRPr="008F601A">
              <w:rPr>
                <w:spacing w:val="-4"/>
              </w:rPr>
              <w:t>PNUD (SGA), UNESCO, UNICEF, UNOPS</w:t>
            </w:r>
            <w:r w:rsidR="00216160" w:rsidRPr="008F601A">
              <w:rPr>
                <w:spacing w:val="-4"/>
              </w:rPr>
              <w:t xml:space="preserve"> et </w:t>
            </w:r>
            <w:r w:rsidR="00C61AA8" w:rsidRPr="008F601A">
              <w:rPr>
                <w:spacing w:val="-4"/>
              </w:rPr>
              <w:t>UNRWA</w:t>
            </w:r>
          </w:p>
        </w:tc>
        <w:tc>
          <w:tcPr>
            <w:tcW w:w="1298" w:type="dxa"/>
            <w:tcBorders>
              <w:top w:val="nil"/>
            </w:tcBorders>
            <w:shd w:val="clear" w:color="auto" w:fill="auto"/>
          </w:tcPr>
          <w:p w:rsidR="00B30F56" w:rsidRPr="008F601A" w:rsidRDefault="00745262" w:rsidP="00216160">
            <w:pPr>
              <w:suppressAutoHyphens w:val="0"/>
              <w:spacing w:before="40" w:after="120"/>
              <w:ind w:right="113"/>
            </w:pPr>
            <w:r w:rsidRPr="008F601A">
              <w:t>OMT, OMPI (DGA, SDG)</w:t>
            </w:r>
            <w:r w:rsidR="001A7D0C" w:rsidRPr="008F601A">
              <w:t xml:space="preserve"> et</w:t>
            </w:r>
            <w:r w:rsidR="00216160" w:rsidRPr="008F601A">
              <w:t> </w:t>
            </w:r>
            <w:r w:rsidR="001A7D0C" w:rsidRPr="008F601A">
              <w:t>PAM</w:t>
            </w:r>
          </w:p>
        </w:tc>
        <w:tc>
          <w:tcPr>
            <w:tcW w:w="1272" w:type="dxa"/>
            <w:tcBorders>
              <w:top w:val="nil"/>
            </w:tcBorders>
            <w:shd w:val="clear" w:color="auto" w:fill="auto"/>
          </w:tcPr>
          <w:p w:rsidR="00B30F56" w:rsidRPr="008F601A" w:rsidRDefault="00B30F56" w:rsidP="00216160">
            <w:pPr>
              <w:suppressAutoHyphens w:val="0"/>
              <w:spacing w:before="40" w:after="120"/>
              <w:ind w:right="113"/>
            </w:pPr>
            <w:r w:rsidRPr="008F601A">
              <w:t>FAO</w:t>
            </w:r>
          </w:p>
        </w:tc>
        <w:tc>
          <w:tcPr>
            <w:tcW w:w="1495" w:type="dxa"/>
            <w:tcBorders>
              <w:top w:val="nil"/>
            </w:tcBorders>
            <w:shd w:val="clear" w:color="auto" w:fill="auto"/>
            <w:tcMar>
              <w:right w:w="0" w:type="dxa"/>
            </w:tcMar>
          </w:tcPr>
          <w:p w:rsidR="00B30F56" w:rsidRPr="008F601A" w:rsidRDefault="00B30F56" w:rsidP="00B30F56">
            <w:pPr>
              <w:suppressAutoHyphens w:val="0"/>
              <w:spacing w:before="40" w:after="120"/>
            </w:pPr>
          </w:p>
        </w:tc>
      </w:tr>
      <w:tr w:rsidR="00B30F56" w:rsidRPr="003B5EA4" w:rsidTr="00C04BC8">
        <w:trPr>
          <w:trHeight w:val="240"/>
        </w:trPr>
        <w:tc>
          <w:tcPr>
            <w:tcW w:w="13783" w:type="dxa"/>
            <w:gridSpan w:val="6"/>
            <w:shd w:val="clear" w:color="auto" w:fill="auto"/>
            <w:tcMar>
              <w:right w:w="0" w:type="dxa"/>
            </w:tcMar>
          </w:tcPr>
          <w:p w:rsidR="00B30F56" w:rsidRPr="008F601A" w:rsidRDefault="00593349" w:rsidP="00216160">
            <w:pPr>
              <w:suppressAutoHyphens w:val="0"/>
              <w:spacing w:before="40" w:after="120"/>
              <w:ind w:right="113"/>
            </w:pPr>
            <w:r w:rsidRPr="008F601A">
              <w:rPr>
                <w:bCs/>
              </w:rPr>
              <w:t xml:space="preserve">Tous autres seuils : </w:t>
            </w:r>
            <w:r w:rsidRPr="008F601A">
              <w:t>AIEA (DG, 6 DGA − première classe à partir de 7 heures)</w:t>
            </w:r>
            <w:r w:rsidR="007A7CC7" w:rsidRPr="008F601A">
              <w:t> ;</w:t>
            </w:r>
            <w:r w:rsidRPr="008F601A">
              <w:t xml:space="preserve"> </w:t>
            </w:r>
            <w:r w:rsidR="007A7CC7" w:rsidRPr="008F601A">
              <w:t xml:space="preserve">FNUAP (SSG − classe affaires, sauf si le voyage dure 4 heures ou moins au sein même continent) ; </w:t>
            </w:r>
            <w:r w:rsidRPr="008F601A">
              <w:rPr>
                <w:bCs/>
              </w:rPr>
              <w:t>PNUD et ONU-Femmes (SSG − classe</w:t>
            </w:r>
            <w:r w:rsidR="007A7CC7" w:rsidRPr="008F601A">
              <w:rPr>
                <w:bCs/>
              </w:rPr>
              <w:t xml:space="preserve"> affaires à partir de 4 heures).</w:t>
            </w:r>
          </w:p>
        </w:tc>
      </w:tr>
      <w:tr w:rsidR="009305D1" w:rsidRPr="003B5EA4" w:rsidTr="00C04BC8">
        <w:trPr>
          <w:trHeight w:val="240"/>
        </w:trPr>
        <w:tc>
          <w:tcPr>
            <w:tcW w:w="1770" w:type="dxa"/>
            <w:shd w:val="clear" w:color="auto" w:fill="auto"/>
          </w:tcPr>
          <w:p w:rsidR="00A95B85" w:rsidRPr="008F601A" w:rsidRDefault="00A95B85" w:rsidP="00216160">
            <w:pPr>
              <w:suppressAutoHyphens w:val="0"/>
              <w:spacing w:before="40" w:after="120"/>
              <w:ind w:right="113"/>
            </w:pPr>
            <w:r w:rsidRPr="008F601A">
              <w:t>Nomination</w:t>
            </w:r>
          </w:p>
        </w:tc>
        <w:tc>
          <w:tcPr>
            <w:tcW w:w="2484" w:type="dxa"/>
            <w:shd w:val="clear" w:color="auto" w:fill="auto"/>
          </w:tcPr>
          <w:p w:rsidR="00A95B85" w:rsidRPr="008F601A" w:rsidRDefault="00A95B85" w:rsidP="00A36315">
            <w:pPr>
              <w:suppressAutoHyphens w:val="0"/>
              <w:spacing w:before="40" w:after="120"/>
              <w:ind w:right="113"/>
            </w:pPr>
            <w:r w:rsidRPr="008F601A">
              <w:t>OMM</w:t>
            </w:r>
            <w:r w:rsidR="0020153A" w:rsidRPr="008F601A">
              <w:t>, OMPI (DG)</w:t>
            </w:r>
            <w:r w:rsidR="00236316" w:rsidRPr="008F601A">
              <w:t>,</w:t>
            </w:r>
            <w:r w:rsidR="0020153A" w:rsidRPr="008F601A">
              <w:t xml:space="preserve"> </w:t>
            </w:r>
            <w:r w:rsidR="00236316" w:rsidRPr="008F601A">
              <w:t>ONU (SG, VSG, PAG) et</w:t>
            </w:r>
            <w:r w:rsidR="00A36315">
              <w:t xml:space="preserve"> </w:t>
            </w:r>
            <w:r w:rsidR="0020153A" w:rsidRPr="008F601A">
              <w:t>UIT</w:t>
            </w:r>
          </w:p>
        </w:tc>
        <w:tc>
          <w:tcPr>
            <w:tcW w:w="5463" w:type="dxa"/>
            <w:shd w:val="clear" w:color="auto" w:fill="auto"/>
          </w:tcPr>
          <w:p w:rsidR="00A95B85" w:rsidRPr="008F601A" w:rsidRDefault="0020153A" w:rsidP="00216160">
            <w:pPr>
              <w:suppressAutoHyphens w:val="0"/>
              <w:spacing w:before="40" w:after="120"/>
              <w:ind w:right="113"/>
            </w:pPr>
            <w:r w:rsidRPr="008F601A">
              <w:t>CCI</w:t>
            </w:r>
            <w:r w:rsidRPr="00A36315">
              <w:rPr>
                <w:sz w:val="18"/>
                <w:szCs w:val="18"/>
              </w:rPr>
              <w:t>*</w:t>
            </w:r>
            <w:r w:rsidRPr="008F601A">
              <w:t xml:space="preserve">, HCR, </w:t>
            </w:r>
            <w:r w:rsidR="00B60725" w:rsidRPr="008F601A">
              <w:t xml:space="preserve">FNUAP (DE), </w:t>
            </w:r>
            <w:r w:rsidR="00A95B85" w:rsidRPr="008F601A">
              <w:t xml:space="preserve">OACI, OIT (DG), ONU (SGA, SSG), </w:t>
            </w:r>
            <w:r w:rsidR="00B60725" w:rsidRPr="008F601A">
              <w:t xml:space="preserve">ONUDC, ONUDI, </w:t>
            </w:r>
            <w:r w:rsidR="00A95B85" w:rsidRPr="008F601A">
              <w:t>PNUD (SGA), UNESCO, UNICEF, UNOPS</w:t>
            </w:r>
            <w:r w:rsidR="00B51A1E" w:rsidRPr="008F601A">
              <w:t xml:space="preserve"> et </w:t>
            </w:r>
            <w:r w:rsidR="00A95B85" w:rsidRPr="008F601A">
              <w:t>UNRWA</w:t>
            </w:r>
          </w:p>
        </w:tc>
        <w:tc>
          <w:tcPr>
            <w:tcW w:w="1298" w:type="dxa"/>
            <w:shd w:val="clear" w:color="auto" w:fill="auto"/>
          </w:tcPr>
          <w:p w:rsidR="00A95B85" w:rsidRPr="008F601A" w:rsidRDefault="0016782A" w:rsidP="0016782A">
            <w:pPr>
              <w:suppressAutoHyphens w:val="0"/>
              <w:spacing w:before="40" w:after="120"/>
              <w:ind w:right="113"/>
              <w:rPr>
                <w:rFonts w:asciiTheme="majorBidi" w:hAnsiTheme="majorBidi" w:cstheme="majorBidi"/>
              </w:rPr>
            </w:pPr>
            <w:r w:rsidRPr="008F601A">
              <w:rPr>
                <w:rFonts w:asciiTheme="majorBidi" w:hAnsiTheme="majorBidi" w:cstheme="majorBidi"/>
              </w:rPr>
              <w:t>OMPI (DGA, SDG) et PAM</w:t>
            </w:r>
          </w:p>
        </w:tc>
        <w:tc>
          <w:tcPr>
            <w:tcW w:w="1272" w:type="dxa"/>
            <w:shd w:val="clear" w:color="auto" w:fill="auto"/>
          </w:tcPr>
          <w:p w:rsidR="00A95B85" w:rsidRPr="008F601A" w:rsidRDefault="00A95B85" w:rsidP="00216160">
            <w:pPr>
              <w:suppressAutoHyphens w:val="0"/>
              <w:spacing w:before="40" w:after="120"/>
              <w:ind w:right="113"/>
            </w:pPr>
            <w:r w:rsidRPr="008F601A">
              <w:t>FAO</w:t>
            </w:r>
          </w:p>
        </w:tc>
        <w:tc>
          <w:tcPr>
            <w:tcW w:w="1495" w:type="dxa"/>
            <w:shd w:val="clear" w:color="auto" w:fill="auto"/>
            <w:tcMar>
              <w:right w:w="0" w:type="dxa"/>
            </w:tcMar>
          </w:tcPr>
          <w:p w:rsidR="00A95B85" w:rsidRPr="008F601A" w:rsidRDefault="00CA42E0" w:rsidP="00B60725">
            <w:pPr>
              <w:suppressAutoHyphens w:val="0"/>
              <w:spacing w:before="40" w:after="120"/>
            </w:pPr>
            <w:r w:rsidRPr="008F601A">
              <w:t>AIEA</w:t>
            </w:r>
            <w:r w:rsidRPr="00A36315">
              <w:rPr>
                <w:i/>
                <w:sz w:val="18"/>
                <w:szCs w:val="18"/>
                <w:vertAlign w:val="superscript"/>
              </w:rPr>
              <w:t>c</w:t>
            </w:r>
            <w:r w:rsidRPr="008F601A">
              <w:t>, OMI, OMT</w:t>
            </w:r>
            <w:r w:rsidR="00B60725" w:rsidRPr="008F601A">
              <w:t>,</w:t>
            </w:r>
            <w:r w:rsidR="00B51A1E" w:rsidRPr="008F601A">
              <w:t xml:space="preserve"> </w:t>
            </w:r>
            <w:r w:rsidRPr="008F601A">
              <w:t>OMS</w:t>
            </w:r>
            <w:bookmarkStart w:id="2" w:name="_Ref472687690"/>
            <w:bookmarkEnd w:id="2"/>
            <w:r w:rsidR="00B60725" w:rsidRPr="008F601A">
              <w:t xml:space="preserve"> et ONUSIDA</w:t>
            </w:r>
          </w:p>
        </w:tc>
      </w:tr>
      <w:tr w:rsidR="00A95B85" w:rsidRPr="003B5EA4" w:rsidTr="00C04BC8">
        <w:trPr>
          <w:trHeight w:val="240"/>
        </w:trPr>
        <w:tc>
          <w:tcPr>
            <w:tcW w:w="13783" w:type="dxa"/>
            <w:gridSpan w:val="6"/>
            <w:shd w:val="clear" w:color="auto" w:fill="auto"/>
            <w:tcMar>
              <w:right w:w="0" w:type="dxa"/>
            </w:tcMar>
          </w:tcPr>
          <w:p w:rsidR="00A95B85" w:rsidRPr="008F601A" w:rsidRDefault="00A95B85" w:rsidP="00E835E0">
            <w:pPr>
              <w:suppressAutoHyphens w:val="0"/>
              <w:spacing w:before="40" w:after="120"/>
              <w:ind w:right="113"/>
            </w:pPr>
            <w:r w:rsidRPr="008F601A">
              <w:rPr>
                <w:bCs/>
              </w:rPr>
              <w:t xml:space="preserve">Tous autres seuils : </w:t>
            </w:r>
            <w:r w:rsidR="00D718A4" w:rsidRPr="008F601A">
              <w:t xml:space="preserve">FNUAP (SSG − classe affaires, sauf si le voyage dure 4 heures ou moins au sein du même continent) ; </w:t>
            </w:r>
            <w:r w:rsidRPr="008F601A">
              <w:t>ONU-Femmes (classe affaires quelle que soit la durée du voyage, mais classe économique si le voyage dure 4 heures ou moins au sein du même continent)</w:t>
            </w:r>
            <w:r w:rsidR="00D718A4" w:rsidRPr="008F601A">
              <w:t xml:space="preserve"> ; </w:t>
            </w:r>
            <w:r w:rsidR="00D718A4" w:rsidRPr="008F601A">
              <w:rPr>
                <w:bCs/>
              </w:rPr>
              <w:t xml:space="preserve">PNUD (SSG </w:t>
            </w:r>
            <w:r w:rsidR="00E835E0" w:rsidRPr="008F601A">
              <w:rPr>
                <w:bCs/>
              </w:rPr>
              <w:t>−</w:t>
            </w:r>
            <w:r w:rsidR="00D718A4" w:rsidRPr="008F601A">
              <w:rPr>
                <w:bCs/>
              </w:rPr>
              <w:t xml:space="preserve"> classe affaires à partir de 4 heures)</w:t>
            </w:r>
            <w:r w:rsidR="00C72521" w:rsidRPr="008F601A">
              <w:rPr>
                <w:bCs/>
              </w:rPr>
              <w:t>.</w:t>
            </w:r>
          </w:p>
        </w:tc>
      </w:tr>
      <w:tr w:rsidR="009305D1" w:rsidRPr="003B5EA4" w:rsidTr="00C04BC8">
        <w:trPr>
          <w:trHeight w:val="240"/>
        </w:trPr>
        <w:tc>
          <w:tcPr>
            <w:tcW w:w="1770" w:type="dxa"/>
            <w:shd w:val="clear" w:color="auto" w:fill="auto"/>
          </w:tcPr>
          <w:p w:rsidR="00CE5E7D" w:rsidRPr="008F601A" w:rsidRDefault="00CE5E7D" w:rsidP="00216160">
            <w:pPr>
              <w:keepNext/>
              <w:keepLines/>
              <w:suppressAutoHyphens w:val="0"/>
              <w:spacing w:before="40" w:after="120"/>
              <w:ind w:right="113"/>
            </w:pPr>
            <w:r w:rsidRPr="008F601A">
              <w:rPr>
                <w:bCs/>
              </w:rPr>
              <w:t>Réaffectation</w:t>
            </w:r>
          </w:p>
        </w:tc>
        <w:tc>
          <w:tcPr>
            <w:tcW w:w="2484" w:type="dxa"/>
            <w:shd w:val="clear" w:color="auto" w:fill="auto"/>
          </w:tcPr>
          <w:p w:rsidR="00CE5E7D" w:rsidRPr="008F601A" w:rsidRDefault="00CE5E7D" w:rsidP="00216160">
            <w:pPr>
              <w:keepNext/>
              <w:keepLines/>
              <w:suppressAutoHyphens w:val="0"/>
              <w:spacing w:before="40" w:after="120"/>
              <w:ind w:right="113"/>
            </w:pPr>
            <w:r w:rsidRPr="008F601A">
              <w:t>OMM</w:t>
            </w:r>
            <w:r w:rsidR="00C72521" w:rsidRPr="008F601A">
              <w:t>, OMPI (DG), ONU (SG, VSG, PAG) et UIT</w:t>
            </w:r>
          </w:p>
        </w:tc>
        <w:tc>
          <w:tcPr>
            <w:tcW w:w="5463" w:type="dxa"/>
            <w:shd w:val="clear" w:color="auto" w:fill="auto"/>
          </w:tcPr>
          <w:p w:rsidR="00CE5E7D" w:rsidRPr="008F601A" w:rsidRDefault="00CE5E7D" w:rsidP="00A36315">
            <w:pPr>
              <w:keepNext/>
              <w:keepLines/>
              <w:suppressAutoHyphens w:val="0"/>
              <w:spacing w:before="40" w:after="120"/>
              <w:ind w:right="113"/>
            </w:pPr>
            <w:r w:rsidRPr="008F601A">
              <w:t>OACI, OIT (DG), CCI</w:t>
            </w:r>
            <w:r w:rsidRPr="00A36315">
              <w:rPr>
                <w:sz w:val="18"/>
                <w:szCs w:val="18"/>
              </w:rPr>
              <w:t>*</w:t>
            </w:r>
            <w:r w:rsidRPr="008F601A">
              <w:t>, ONU (SGA, SSG), PNUD (SGA), UNESCO, FNUAP (DE), HCR, UNICEF, ONUDI, ONUDC, UNOPS</w:t>
            </w:r>
            <w:r w:rsidR="00B51A1E" w:rsidRPr="008F601A">
              <w:t xml:space="preserve"> et</w:t>
            </w:r>
            <w:r w:rsidR="00A36315">
              <w:t xml:space="preserve"> </w:t>
            </w:r>
            <w:r w:rsidRPr="008F601A">
              <w:t>UNRWA</w:t>
            </w:r>
          </w:p>
        </w:tc>
        <w:tc>
          <w:tcPr>
            <w:tcW w:w="1298" w:type="dxa"/>
            <w:shd w:val="clear" w:color="auto" w:fill="auto"/>
          </w:tcPr>
          <w:p w:rsidR="00CE5E7D" w:rsidRPr="008F601A" w:rsidRDefault="00CE5E7D" w:rsidP="0016782A">
            <w:pPr>
              <w:suppressAutoHyphens w:val="0"/>
              <w:spacing w:before="40" w:after="120"/>
              <w:ind w:right="113"/>
              <w:rPr>
                <w:rFonts w:asciiTheme="majorBidi" w:hAnsiTheme="majorBidi" w:cstheme="majorBidi"/>
              </w:rPr>
            </w:pPr>
            <w:r w:rsidRPr="008F601A">
              <w:rPr>
                <w:rFonts w:asciiTheme="majorBidi" w:hAnsiTheme="majorBidi" w:cstheme="majorBidi"/>
              </w:rPr>
              <w:t>OMPI (DGA, SDG)</w:t>
            </w:r>
            <w:r w:rsidR="0016782A" w:rsidRPr="008F601A">
              <w:rPr>
                <w:rFonts w:asciiTheme="majorBidi" w:hAnsiTheme="majorBidi" w:cstheme="majorBidi"/>
              </w:rPr>
              <w:t xml:space="preserve"> et PAM</w:t>
            </w:r>
          </w:p>
        </w:tc>
        <w:tc>
          <w:tcPr>
            <w:tcW w:w="1272" w:type="dxa"/>
            <w:shd w:val="clear" w:color="auto" w:fill="auto"/>
          </w:tcPr>
          <w:p w:rsidR="00CE5E7D" w:rsidRPr="008F601A" w:rsidRDefault="00CE5E7D" w:rsidP="00216160">
            <w:pPr>
              <w:keepNext/>
              <w:keepLines/>
              <w:suppressAutoHyphens w:val="0"/>
              <w:spacing w:before="40" w:after="120"/>
              <w:ind w:right="113"/>
            </w:pPr>
            <w:r w:rsidRPr="008F601A">
              <w:t>FAO</w:t>
            </w:r>
          </w:p>
        </w:tc>
        <w:tc>
          <w:tcPr>
            <w:tcW w:w="1495" w:type="dxa"/>
            <w:shd w:val="clear" w:color="auto" w:fill="auto"/>
            <w:tcMar>
              <w:right w:w="0" w:type="dxa"/>
            </w:tcMar>
          </w:tcPr>
          <w:p w:rsidR="00CE5E7D" w:rsidRPr="008F601A" w:rsidRDefault="002C5AD8" w:rsidP="00D342FC">
            <w:pPr>
              <w:keepNext/>
              <w:keepLines/>
              <w:suppressAutoHyphens w:val="0"/>
              <w:spacing w:before="40" w:after="120"/>
            </w:pPr>
            <w:r w:rsidRPr="008F601A">
              <w:t>AIEA</w:t>
            </w:r>
            <w:r w:rsidRPr="00A36315">
              <w:rPr>
                <w:i/>
                <w:sz w:val="18"/>
                <w:szCs w:val="18"/>
                <w:vertAlign w:val="superscript"/>
              </w:rPr>
              <w:t>c</w:t>
            </w:r>
            <w:r w:rsidRPr="008F601A">
              <w:t xml:space="preserve">, OMI, </w:t>
            </w:r>
            <w:r w:rsidR="00D342FC" w:rsidRPr="008F601A">
              <w:t xml:space="preserve">OMS, </w:t>
            </w:r>
            <w:r w:rsidRPr="008F601A">
              <w:t>OMT</w:t>
            </w:r>
            <w:r w:rsidR="00D342FC" w:rsidRPr="008F601A">
              <w:t xml:space="preserve"> et ONUSIDA</w:t>
            </w:r>
          </w:p>
        </w:tc>
      </w:tr>
      <w:tr w:rsidR="00CE5E7D" w:rsidRPr="003B5EA4" w:rsidTr="00C04BC8">
        <w:trPr>
          <w:trHeight w:val="240"/>
        </w:trPr>
        <w:tc>
          <w:tcPr>
            <w:tcW w:w="13783" w:type="dxa"/>
            <w:gridSpan w:val="6"/>
            <w:shd w:val="clear" w:color="auto" w:fill="auto"/>
            <w:tcMar>
              <w:right w:w="0" w:type="dxa"/>
            </w:tcMar>
          </w:tcPr>
          <w:p w:rsidR="00CE5E7D" w:rsidRPr="008F601A" w:rsidRDefault="00CE5E7D" w:rsidP="001E6AC0">
            <w:pPr>
              <w:suppressAutoHyphens w:val="0"/>
              <w:spacing w:before="40" w:after="120"/>
              <w:ind w:right="113"/>
            </w:pPr>
            <w:r w:rsidRPr="008F601A">
              <w:rPr>
                <w:bCs/>
              </w:rPr>
              <w:t xml:space="preserve">Tous autres seuils : </w:t>
            </w:r>
            <w:r w:rsidR="00136866" w:rsidRPr="008F601A">
              <w:t xml:space="preserve">FNUAP (SSG </w:t>
            </w:r>
            <w:r w:rsidR="00D342FC" w:rsidRPr="008F601A">
              <w:t>−</w:t>
            </w:r>
            <w:r w:rsidR="00136866" w:rsidRPr="008F601A">
              <w:t xml:space="preserve"> classe affaires, sauf si le voyage dure 4 heures ou moins au sein du même continent) ; </w:t>
            </w:r>
            <w:r w:rsidRPr="008F601A">
              <w:rPr>
                <w:bCs/>
              </w:rPr>
              <w:t xml:space="preserve">PNUD (SSG </w:t>
            </w:r>
            <w:r w:rsidR="00B537FB" w:rsidRPr="008F601A">
              <w:rPr>
                <w:bCs/>
              </w:rPr>
              <w:t>−</w:t>
            </w:r>
            <w:r w:rsidRPr="008F601A">
              <w:rPr>
                <w:bCs/>
              </w:rPr>
              <w:t xml:space="preserve"> classe</w:t>
            </w:r>
            <w:r w:rsidR="00136866" w:rsidRPr="008F601A">
              <w:rPr>
                <w:bCs/>
              </w:rPr>
              <w:t xml:space="preserve"> affaires à partir de</w:t>
            </w:r>
            <w:r w:rsidR="001E6AC0">
              <w:rPr>
                <w:bCs/>
              </w:rPr>
              <w:t> </w:t>
            </w:r>
            <w:r w:rsidR="00136866" w:rsidRPr="008F601A">
              <w:rPr>
                <w:bCs/>
              </w:rPr>
              <w:t>4 heures).</w:t>
            </w:r>
          </w:p>
        </w:tc>
      </w:tr>
      <w:tr w:rsidR="009305D1" w:rsidRPr="003B5EA4" w:rsidTr="00C04BC8">
        <w:trPr>
          <w:trHeight w:val="240"/>
        </w:trPr>
        <w:tc>
          <w:tcPr>
            <w:tcW w:w="1770" w:type="dxa"/>
            <w:shd w:val="clear" w:color="auto" w:fill="auto"/>
          </w:tcPr>
          <w:p w:rsidR="00CE5E7D" w:rsidRPr="008F601A" w:rsidRDefault="002C5AD8" w:rsidP="00216160">
            <w:pPr>
              <w:suppressAutoHyphens w:val="0"/>
              <w:spacing w:before="40" w:after="120"/>
              <w:ind w:right="113"/>
            </w:pPr>
            <w:r w:rsidRPr="008F601A">
              <w:rPr>
                <w:bCs/>
              </w:rPr>
              <w:t>Rapatriement/</w:t>
            </w:r>
            <w:r w:rsidR="002E01C4">
              <w:rPr>
                <w:bCs/>
              </w:rPr>
              <w:br/>
            </w:r>
            <w:r w:rsidRPr="008F601A">
              <w:rPr>
                <w:bCs/>
              </w:rPr>
              <w:t>cessation de service</w:t>
            </w:r>
          </w:p>
        </w:tc>
        <w:tc>
          <w:tcPr>
            <w:tcW w:w="2484" w:type="dxa"/>
            <w:shd w:val="clear" w:color="auto" w:fill="auto"/>
          </w:tcPr>
          <w:p w:rsidR="00CE5E7D" w:rsidRPr="008F601A" w:rsidRDefault="00136866" w:rsidP="001E6AC0">
            <w:pPr>
              <w:suppressAutoHyphens w:val="0"/>
              <w:spacing w:before="40" w:after="120"/>
              <w:ind w:right="113"/>
            </w:pPr>
            <w:r w:rsidRPr="008F601A">
              <w:t xml:space="preserve">OMM, </w:t>
            </w:r>
            <w:r w:rsidR="002C5AD8" w:rsidRPr="008F601A">
              <w:t>OMPI (DG)</w:t>
            </w:r>
            <w:r w:rsidRPr="008F601A">
              <w:t>, ONU (SG, VSG, PAG) et</w:t>
            </w:r>
            <w:r w:rsidR="001E6AC0">
              <w:t xml:space="preserve"> </w:t>
            </w:r>
            <w:r w:rsidRPr="008F601A">
              <w:t>UIT</w:t>
            </w:r>
          </w:p>
        </w:tc>
        <w:tc>
          <w:tcPr>
            <w:tcW w:w="5463" w:type="dxa"/>
            <w:shd w:val="clear" w:color="auto" w:fill="auto"/>
          </w:tcPr>
          <w:p w:rsidR="00CE5E7D" w:rsidRPr="008F601A" w:rsidRDefault="00B537FB" w:rsidP="00216160">
            <w:pPr>
              <w:suppressAutoHyphens w:val="0"/>
              <w:spacing w:before="40" w:after="120"/>
              <w:ind w:right="113"/>
            </w:pPr>
            <w:r w:rsidRPr="008F601A">
              <w:t>CCI</w:t>
            </w:r>
            <w:r w:rsidRPr="001E6AC0">
              <w:rPr>
                <w:sz w:val="18"/>
                <w:szCs w:val="18"/>
              </w:rPr>
              <w:t>*</w:t>
            </w:r>
            <w:r w:rsidRPr="008F601A">
              <w:t xml:space="preserve">, HCR, </w:t>
            </w:r>
            <w:r w:rsidR="005A2552" w:rsidRPr="008F601A">
              <w:t xml:space="preserve">FNUAP (DE), </w:t>
            </w:r>
            <w:r w:rsidR="002C5AD8" w:rsidRPr="008F601A">
              <w:t xml:space="preserve">OACI, OIT (DG), </w:t>
            </w:r>
            <w:r w:rsidRPr="008F601A">
              <w:t xml:space="preserve">ONU </w:t>
            </w:r>
            <w:r w:rsidRPr="008F601A">
              <w:rPr>
                <w:spacing w:val="-3"/>
              </w:rPr>
              <w:t xml:space="preserve">(SGA, SSG), </w:t>
            </w:r>
            <w:r w:rsidR="005A2552" w:rsidRPr="008F601A">
              <w:rPr>
                <w:spacing w:val="-3"/>
              </w:rPr>
              <w:t>ONU</w:t>
            </w:r>
            <w:r w:rsidR="005A2552" w:rsidRPr="008F601A">
              <w:rPr>
                <w:spacing w:val="-3"/>
              </w:rPr>
              <w:noBreakHyphen/>
              <w:t xml:space="preserve">Femmes, ONUDC, ONUDI, </w:t>
            </w:r>
            <w:r w:rsidR="002C5AD8" w:rsidRPr="008F601A">
              <w:rPr>
                <w:spacing w:val="-3"/>
              </w:rPr>
              <w:t>PNUD</w:t>
            </w:r>
            <w:r w:rsidR="002C5AD8" w:rsidRPr="008F601A">
              <w:t xml:space="preserve"> (SGA), UNESCO, UNICEF, </w:t>
            </w:r>
            <w:r w:rsidR="005A2552" w:rsidRPr="008F601A">
              <w:t>UNOPS et</w:t>
            </w:r>
            <w:r w:rsidR="002C5AD8" w:rsidRPr="008F601A">
              <w:t xml:space="preserve"> UNRWA</w:t>
            </w:r>
          </w:p>
        </w:tc>
        <w:tc>
          <w:tcPr>
            <w:tcW w:w="1298" w:type="dxa"/>
            <w:shd w:val="clear" w:color="auto" w:fill="auto"/>
          </w:tcPr>
          <w:p w:rsidR="00CE5E7D" w:rsidRPr="008F601A" w:rsidRDefault="0016782A" w:rsidP="00216160">
            <w:pPr>
              <w:suppressAutoHyphens w:val="0"/>
              <w:spacing w:before="40" w:after="120"/>
              <w:ind w:right="113"/>
            </w:pPr>
            <w:r w:rsidRPr="008F601A">
              <w:rPr>
                <w:rFonts w:asciiTheme="majorBidi" w:hAnsiTheme="majorBidi" w:cstheme="majorBidi"/>
              </w:rPr>
              <w:t>OMPI (DGA, SDG) et PAM</w:t>
            </w:r>
          </w:p>
        </w:tc>
        <w:tc>
          <w:tcPr>
            <w:tcW w:w="1272" w:type="dxa"/>
            <w:shd w:val="clear" w:color="auto" w:fill="auto"/>
          </w:tcPr>
          <w:p w:rsidR="00CE5E7D" w:rsidRPr="008F601A" w:rsidRDefault="00CE5E7D" w:rsidP="00216160">
            <w:pPr>
              <w:suppressAutoHyphens w:val="0"/>
              <w:spacing w:before="40" w:after="120"/>
              <w:ind w:right="113"/>
            </w:pPr>
            <w:r w:rsidRPr="008F601A">
              <w:t>FAO</w:t>
            </w:r>
          </w:p>
        </w:tc>
        <w:tc>
          <w:tcPr>
            <w:tcW w:w="1495" w:type="dxa"/>
            <w:shd w:val="clear" w:color="auto" w:fill="auto"/>
            <w:tcMar>
              <w:right w:w="0" w:type="dxa"/>
            </w:tcMar>
          </w:tcPr>
          <w:p w:rsidR="00CE5E7D" w:rsidRPr="008F601A" w:rsidRDefault="002C5AD8" w:rsidP="007A5BF1">
            <w:pPr>
              <w:suppressAutoHyphens w:val="0"/>
              <w:spacing w:before="40" w:after="120"/>
            </w:pPr>
            <w:r w:rsidRPr="008F601A">
              <w:t>AIEA</w:t>
            </w:r>
            <w:r w:rsidRPr="001E6AC0">
              <w:rPr>
                <w:i/>
                <w:sz w:val="18"/>
                <w:szCs w:val="18"/>
                <w:vertAlign w:val="superscript"/>
              </w:rPr>
              <w:t>c</w:t>
            </w:r>
            <w:r w:rsidRPr="008F601A">
              <w:t>, OMI, OMT</w:t>
            </w:r>
            <w:r w:rsidR="00DB70B1" w:rsidRPr="008F601A">
              <w:t>,</w:t>
            </w:r>
            <w:r w:rsidR="001A5BC3" w:rsidRPr="008F601A">
              <w:t xml:space="preserve"> </w:t>
            </w:r>
            <w:r w:rsidRPr="008F601A">
              <w:t>OMS</w:t>
            </w:r>
            <w:r w:rsidR="00DB70B1" w:rsidRPr="008F601A">
              <w:t xml:space="preserve"> et</w:t>
            </w:r>
            <w:r w:rsidR="007A5BF1" w:rsidRPr="008F601A">
              <w:t> </w:t>
            </w:r>
            <w:r w:rsidR="00DB70B1" w:rsidRPr="008F601A">
              <w:t>ONUSIDA</w:t>
            </w:r>
          </w:p>
        </w:tc>
      </w:tr>
      <w:tr w:rsidR="00CE5E7D" w:rsidRPr="003B5EA4" w:rsidTr="00C04BC8">
        <w:trPr>
          <w:trHeight w:val="240"/>
        </w:trPr>
        <w:tc>
          <w:tcPr>
            <w:tcW w:w="13783" w:type="dxa"/>
            <w:gridSpan w:val="6"/>
            <w:shd w:val="clear" w:color="auto" w:fill="auto"/>
            <w:tcMar>
              <w:right w:w="0" w:type="dxa"/>
            </w:tcMar>
          </w:tcPr>
          <w:p w:rsidR="00CE5E7D" w:rsidRPr="00F7156E" w:rsidRDefault="002C5AD8" w:rsidP="009305D1">
            <w:pPr>
              <w:suppressAutoHyphens w:val="0"/>
              <w:spacing w:before="40" w:after="120"/>
              <w:ind w:right="113"/>
              <w:rPr>
                <w:rFonts w:asciiTheme="majorBidi" w:hAnsiTheme="majorBidi"/>
                <w:spacing w:val="-2"/>
              </w:rPr>
            </w:pPr>
            <w:r w:rsidRPr="00F7156E">
              <w:rPr>
                <w:rFonts w:asciiTheme="majorBidi" w:hAnsiTheme="majorBidi" w:cstheme="majorBidi"/>
                <w:bCs/>
                <w:color w:val="000000"/>
                <w:spacing w:val="-2"/>
              </w:rPr>
              <w:t>Tous autres seuils :</w:t>
            </w:r>
            <w:r w:rsidRPr="00F7156E">
              <w:rPr>
                <w:rFonts w:asciiTheme="majorBidi" w:hAnsiTheme="majorBidi" w:cstheme="majorBidi"/>
                <w:bCs/>
                <w:spacing w:val="-2"/>
              </w:rPr>
              <w:t xml:space="preserve"> </w:t>
            </w:r>
            <w:r w:rsidR="009965D8" w:rsidRPr="00F7156E">
              <w:rPr>
                <w:rFonts w:asciiTheme="majorBidi" w:hAnsiTheme="majorBidi" w:cstheme="majorBidi"/>
                <w:spacing w:val="-2"/>
              </w:rPr>
              <w:t xml:space="preserve">FNUAP (SSG </w:t>
            </w:r>
            <w:r w:rsidR="008F601A" w:rsidRPr="00F7156E">
              <w:rPr>
                <w:rFonts w:asciiTheme="majorBidi" w:hAnsiTheme="majorBidi" w:cstheme="majorBidi"/>
                <w:spacing w:val="-2"/>
              </w:rPr>
              <w:t>−</w:t>
            </w:r>
            <w:r w:rsidR="009965D8" w:rsidRPr="00F7156E">
              <w:rPr>
                <w:rFonts w:asciiTheme="majorBidi" w:hAnsiTheme="majorBidi" w:cstheme="majorBidi"/>
                <w:spacing w:val="-2"/>
              </w:rPr>
              <w:t xml:space="preserve"> classe affaires, sauf si le voyage dure 4 heures ou moins au sein du même continent) ; </w:t>
            </w:r>
            <w:r w:rsidRPr="00F7156E">
              <w:rPr>
                <w:rFonts w:asciiTheme="majorBidi" w:hAnsiTheme="majorBidi" w:cstheme="majorBidi"/>
                <w:bCs/>
                <w:spacing w:val="-2"/>
              </w:rPr>
              <w:t xml:space="preserve">PNUD (SSG </w:t>
            </w:r>
            <w:r w:rsidR="00D662BD" w:rsidRPr="00F7156E">
              <w:rPr>
                <w:rFonts w:asciiTheme="majorBidi" w:hAnsiTheme="majorBidi" w:cstheme="majorBidi"/>
                <w:bCs/>
                <w:spacing w:val="-2"/>
              </w:rPr>
              <w:t>−</w:t>
            </w:r>
            <w:r w:rsidRPr="00F7156E">
              <w:rPr>
                <w:rFonts w:asciiTheme="majorBidi" w:hAnsiTheme="majorBidi" w:cstheme="majorBidi"/>
                <w:bCs/>
                <w:spacing w:val="-2"/>
              </w:rPr>
              <w:t xml:space="preserve"> classe affaires à partir de</w:t>
            </w:r>
            <w:r w:rsidR="008F601A" w:rsidRPr="00F7156E">
              <w:rPr>
                <w:rFonts w:asciiTheme="majorBidi" w:hAnsiTheme="majorBidi" w:cstheme="majorBidi"/>
                <w:bCs/>
                <w:spacing w:val="-2"/>
              </w:rPr>
              <w:t> </w:t>
            </w:r>
            <w:r w:rsidRPr="00F7156E">
              <w:rPr>
                <w:rFonts w:asciiTheme="majorBidi" w:hAnsiTheme="majorBidi" w:cstheme="majorBidi"/>
                <w:bCs/>
                <w:spacing w:val="-2"/>
              </w:rPr>
              <w:t>4 heures)</w:t>
            </w:r>
            <w:r w:rsidR="00CE5E7D" w:rsidRPr="00F7156E">
              <w:rPr>
                <w:rFonts w:asciiTheme="majorBidi" w:hAnsiTheme="majorBidi"/>
                <w:spacing w:val="-2"/>
              </w:rPr>
              <w:t>.</w:t>
            </w:r>
          </w:p>
        </w:tc>
      </w:tr>
      <w:tr w:rsidR="009305D1" w:rsidRPr="003B5EA4" w:rsidTr="00C04BC8">
        <w:trPr>
          <w:cantSplit/>
          <w:trHeight w:val="240"/>
        </w:trPr>
        <w:tc>
          <w:tcPr>
            <w:tcW w:w="1770" w:type="dxa"/>
            <w:shd w:val="clear" w:color="auto" w:fill="auto"/>
          </w:tcPr>
          <w:p w:rsidR="00CE5E7D" w:rsidRPr="008F601A" w:rsidRDefault="00D662BD" w:rsidP="00216160">
            <w:pPr>
              <w:suppressAutoHyphens w:val="0"/>
              <w:spacing w:before="40" w:after="120"/>
              <w:ind w:right="113"/>
            </w:pPr>
            <w:r w:rsidRPr="008F601A">
              <w:rPr>
                <w:bCs/>
              </w:rPr>
              <w:t>Évacuation</w:t>
            </w:r>
          </w:p>
        </w:tc>
        <w:tc>
          <w:tcPr>
            <w:tcW w:w="2484" w:type="dxa"/>
            <w:shd w:val="clear" w:color="auto" w:fill="auto"/>
          </w:tcPr>
          <w:p w:rsidR="00CE5E7D" w:rsidRPr="008F601A" w:rsidRDefault="009965D8" w:rsidP="00216160">
            <w:pPr>
              <w:suppressAutoHyphens w:val="0"/>
              <w:spacing w:before="40" w:after="120"/>
              <w:ind w:right="113"/>
            </w:pPr>
            <w:r w:rsidRPr="008F601A">
              <w:rPr>
                <w:rFonts w:asciiTheme="majorBidi" w:hAnsiTheme="majorBidi" w:cstheme="majorBidi"/>
              </w:rPr>
              <w:t>OMM, OMPI (DG) et ONU (SG, VSG, PAG)</w:t>
            </w:r>
          </w:p>
        </w:tc>
        <w:tc>
          <w:tcPr>
            <w:tcW w:w="5463" w:type="dxa"/>
            <w:shd w:val="clear" w:color="auto" w:fill="auto"/>
          </w:tcPr>
          <w:p w:rsidR="00CE5E7D" w:rsidRPr="008F601A" w:rsidRDefault="009965D8" w:rsidP="001E6AC0">
            <w:pPr>
              <w:suppressAutoHyphens w:val="0"/>
              <w:spacing w:before="40" w:after="120"/>
              <w:ind w:right="113"/>
            </w:pPr>
            <w:r w:rsidRPr="008F601A">
              <w:rPr>
                <w:spacing w:val="-2"/>
              </w:rPr>
              <w:t>CCI</w:t>
            </w:r>
            <w:r w:rsidRPr="001E6AC0">
              <w:rPr>
                <w:spacing w:val="-2"/>
                <w:sz w:val="18"/>
                <w:szCs w:val="18"/>
              </w:rPr>
              <w:t>*</w:t>
            </w:r>
            <w:r w:rsidRPr="008F601A">
              <w:rPr>
                <w:spacing w:val="-2"/>
              </w:rPr>
              <w:t xml:space="preserve">, </w:t>
            </w:r>
            <w:r w:rsidR="00D662BD" w:rsidRPr="008F601A">
              <w:rPr>
                <w:spacing w:val="-2"/>
              </w:rPr>
              <w:t xml:space="preserve">OACI, OIT (DG), ONU (SGA, SSG), </w:t>
            </w:r>
            <w:r w:rsidR="006C0C47" w:rsidRPr="008F601A">
              <w:rPr>
                <w:spacing w:val="-2"/>
              </w:rPr>
              <w:t>ONUDC,</w:t>
            </w:r>
            <w:r w:rsidR="006C0C47" w:rsidRPr="008F601A">
              <w:t xml:space="preserve"> ONUDI, </w:t>
            </w:r>
            <w:r w:rsidR="00D662BD" w:rsidRPr="008F601A">
              <w:t>PNUD (SGA)</w:t>
            </w:r>
            <w:r w:rsidR="006C0C47" w:rsidRPr="008F601A">
              <w:t>,</w:t>
            </w:r>
            <w:r w:rsidR="00D662BD" w:rsidRPr="008F601A">
              <w:t xml:space="preserve"> UNESCO </w:t>
            </w:r>
            <w:r w:rsidR="001A5BC3" w:rsidRPr="008F601A">
              <w:t>et</w:t>
            </w:r>
            <w:r w:rsidR="001E6AC0">
              <w:t xml:space="preserve"> </w:t>
            </w:r>
            <w:r w:rsidR="00D662BD" w:rsidRPr="008F601A">
              <w:t>UNOPS</w:t>
            </w:r>
          </w:p>
        </w:tc>
        <w:tc>
          <w:tcPr>
            <w:tcW w:w="1298" w:type="dxa"/>
            <w:shd w:val="clear" w:color="auto" w:fill="auto"/>
          </w:tcPr>
          <w:p w:rsidR="00CE5E7D" w:rsidRPr="008F601A" w:rsidRDefault="00D662BD" w:rsidP="00216160">
            <w:pPr>
              <w:suppressAutoHyphens w:val="0"/>
              <w:spacing w:before="40" w:after="120"/>
              <w:ind w:right="113"/>
            </w:pPr>
            <w:r w:rsidRPr="008F601A">
              <w:t>OMPI (DGA, SDG)</w:t>
            </w:r>
            <w:r w:rsidR="006C0C47" w:rsidRPr="008F601A">
              <w:t xml:space="preserve"> et PAM</w:t>
            </w:r>
          </w:p>
        </w:tc>
        <w:tc>
          <w:tcPr>
            <w:tcW w:w="1272" w:type="dxa"/>
            <w:shd w:val="clear" w:color="auto" w:fill="auto"/>
          </w:tcPr>
          <w:p w:rsidR="00CE5E7D" w:rsidRPr="008F601A" w:rsidRDefault="00CE5E7D" w:rsidP="00216160">
            <w:pPr>
              <w:suppressAutoHyphens w:val="0"/>
              <w:spacing w:before="40" w:after="120"/>
              <w:ind w:right="113"/>
            </w:pPr>
            <w:r w:rsidRPr="008F601A">
              <w:t>FAO</w:t>
            </w:r>
          </w:p>
        </w:tc>
        <w:tc>
          <w:tcPr>
            <w:tcW w:w="1495" w:type="dxa"/>
            <w:shd w:val="clear" w:color="auto" w:fill="auto"/>
            <w:tcMar>
              <w:right w:w="0" w:type="dxa"/>
            </w:tcMar>
          </w:tcPr>
          <w:p w:rsidR="00CE5E7D" w:rsidRPr="008F601A" w:rsidRDefault="00DE1B3F" w:rsidP="0055353C">
            <w:pPr>
              <w:suppressAutoHyphens w:val="0"/>
              <w:spacing w:before="40" w:after="120"/>
            </w:pPr>
            <w:r w:rsidRPr="008F601A">
              <w:rPr>
                <w:rFonts w:asciiTheme="majorBidi" w:hAnsiTheme="majorBidi" w:cstheme="majorBidi"/>
                <w:color w:val="000000"/>
              </w:rPr>
              <w:t>ONUSIDA</w:t>
            </w:r>
            <w:r w:rsidR="001A5BC3" w:rsidRPr="008F601A">
              <w:rPr>
                <w:rFonts w:asciiTheme="majorBidi" w:hAnsiTheme="majorBidi" w:cstheme="majorBidi"/>
                <w:color w:val="000000"/>
              </w:rPr>
              <w:t xml:space="preserve"> et</w:t>
            </w:r>
            <w:r w:rsidR="00DA19B3" w:rsidRPr="008F601A">
              <w:rPr>
                <w:rFonts w:asciiTheme="majorBidi" w:hAnsiTheme="majorBidi" w:cstheme="majorBidi"/>
                <w:color w:val="000000"/>
              </w:rPr>
              <w:t> </w:t>
            </w:r>
            <w:r w:rsidRPr="008F601A">
              <w:rPr>
                <w:rFonts w:asciiTheme="majorBidi" w:hAnsiTheme="majorBidi" w:cstheme="majorBidi"/>
                <w:color w:val="000000"/>
              </w:rPr>
              <w:t>UNRWA</w:t>
            </w:r>
          </w:p>
        </w:tc>
      </w:tr>
      <w:tr w:rsidR="00CE5E7D" w:rsidRPr="003B5EA4" w:rsidTr="00C04BC8">
        <w:trPr>
          <w:trHeight w:val="240"/>
        </w:trPr>
        <w:tc>
          <w:tcPr>
            <w:tcW w:w="13783" w:type="dxa"/>
            <w:gridSpan w:val="6"/>
            <w:shd w:val="clear" w:color="auto" w:fill="auto"/>
            <w:tcMar>
              <w:right w:w="0" w:type="dxa"/>
            </w:tcMar>
          </w:tcPr>
          <w:p w:rsidR="00CE5E7D" w:rsidRPr="008F601A" w:rsidRDefault="00DE1B3F" w:rsidP="008F601A">
            <w:pPr>
              <w:suppressAutoHyphens w:val="0"/>
              <w:spacing w:before="40" w:after="120"/>
              <w:ind w:right="113"/>
              <w:rPr>
                <w:spacing w:val="-3"/>
              </w:rPr>
            </w:pPr>
            <w:r w:rsidRPr="008F601A">
              <w:rPr>
                <w:bCs/>
                <w:spacing w:val="-3"/>
              </w:rPr>
              <w:t xml:space="preserve">Tous autres seuils : </w:t>
            </w:r>
            <w:r w:rsidRPr="008F601A">
              <w:rPr>
                <w:spacing w:val="-3"/>
              </w:rPr>
              <w:t xml:space="preserve">FNUAP (SSG </w:t>
            </w:r>
            <w:r w:rsidR="008F601A">
              <w:rPr>
                <w:spacing w:val="-3"/>
              </w:rPr>
              <w:t>−</w:t>
            </w:r>
            <w:r w:rsidRPr="008F601A">
              <w:rPr>
                <w:spacing w:val="-3"/>
              </w:rPr>
              <w:t xml:space="preserve"> classe affaires, sauf si le voyage dure 4 heures ou moins au sein du même continent)</w:t>
            </w:r>
            <w:r w:rsidR="00A05033" w:rsidRPr="008F601A">
              <w:rPr>
                <w:spacing w:val="-3"/>
              </w:rPr>
              <w:t xml:space="preserve"> ; </w:t>
            </w:r>
            <w:r w:rsidR="00A05033" w:rsidRPr="008F601A">
              <w:rPr>
                <w:bCs/>
                <w:spacing w:val="-3"/>
              </w:rPr>
              <w:t xml:space="preserve">PNUD (SSG </w:t>
            </w:r>
            <w:r w:rsidR="008F601A">
              <w:rPr>
                <w:bCs/>
                <w:spacing w:val="-3"/>
              </w:rPr>
              <w:t>−</w:t>
            </w:r>
            <w:r w:rsidR="00A05033" w:rsidRPr="008F601A">
              <w:rPr>
                <w:bCs/>
                <w:spacing w:val="-3"/>
              </w:rPr>
              <w:t xml:space="preserve"> classe affaires à partir de</w:t>
            </w:r>
            <w:r w:rsidR="00DA19B3" w:rsidRPr="008F601A">
              <w:rPr>
                <w:bCs/>
                <w:spacing w:val="-3"/>
              </w:rPr>
              <w:t> </w:t>
            </w:r>
            <w:r w:rsidR="00A05033" w:rsidRPr="008F601A">
              <w:rPr>
                <w:bCs/>
                <w:spacing w:val="-3"/>
              </w:rPr>
              <w:t>4 heures).</w:t>
            </w:r>
          </w:p>
        </w:tc>
      </w:tr>
      <w:tr w:rsidR="009305D1" w:rsidRPr="003B5EA4" w:rsidTr="00C04BC8">
        <w:trPr>
          <w:trHeight w:val="240"/>
        </w:trPr>
        <w:tc>
          <w:tcPr>
            <w:tcW w:w="1770" w:type="dxa"/>
            <w:shd w:val="clear" w:color="auto" w:fill="auto"/>
          </w:tcPr>
          <w:p w:rsidR="00CE5E7D" w:rsidRPr="008F601A" w:rsidRDefault="00DE1B3F" w:rsidP="00216160">
            <w:pPr>
              <w:suppressAutoHyphens w:val="0"/>
              <w:spacing w:before="40" w:after="120"/>
              <w:ind w:right="113"/>
            </w:pPr>
            <w:r w:rsidRPr="008F601A">
              <w:rPr>
                <w:bCs/>
              </w:rPr>
              <w:lastRenderedPageBreak/>
              <w:t>Raisons médicales, sûreté et sécurité</w:t>
            </w:r>
          </w:p>
        </w:tc>
        <w:tc>
          <w:tcPr>
            <w:tcW w:w="2484" w:type="dxa"/>
            <w:shd w:val="clear" w:color="auto" w:fill="auto"/>
          </w:tcPr>
          <w:p w:rsidR="00CE5E7D" w:rsidRPr="008F601A" w:rsidRDefault="00DE1B3F" w:rsidP="00216160">
            <w:pPr>
              <w:suppressAutoHyphens w:val="0"/>
              <w:spacing w:before="40" w:after="120"/>
              <w:ind w:right="113"/>
            </w:pPr>
            <w:r w:rsidRPr="008F601A">
              <w:t>OMM</w:t>
            </w:r>
            <w:r w:rsidR="00A05033" w:rsidRPr="008F601A">
              <w:t>, OMPI (DG) et ONU (SG, VSG, PAG)</w:t>
            </w:r>
          </w:p>
        </w:tc>
        <w:tc>
          <w:tcPr>
            <w:tcW w:w="5463" w:type="dxa"/>
            <w:shd w:val="clear" w:color="auto" w:fill="auto"/>
          </w:tcPr>
          <w:p w:rsidR="00CE5E7D" w:rsidRPr="008F601A" w:rsidRDefault="00A05033" w:rsidP="00216160">
            <w:pPr>
              <w:suppressAutoHyphens w:val="0"/>
              <w:spacing w:before="40" w:after="120"/>
              <w:ind w:right="113"/>
            </w:pPr>
            <w:r w:rsidRPr="008F601A">
              <w:t>CCI</w:t>
            </w:r>
            <w:r w:rsidRPr="001E6AC0">
              <w:rPr>
                <w:sz w:val="18"/>
                <w:szCs w:val="18"/>
              </w:rPr>
              <w:t>*</w:t>
            </w:r>
            <w:r w:rsidRPr="008F601A">
              <w:t xml:space="preserve">, </w:t>
            </w:r>
            <w:r w:rsidR="00DE1B3F" w:rsidRPr="008F601A">
              <w:t>OACI,</w:t>
            </w:r>
            <w:r w:rsidRPr="008F601A">
              <w:t xml:space="preserve"> </w:t>
            </w:r>
            <w:r w:rsidR="00DE1B3F" w:rsidRPr="008F601A">
              <w:t xml:space="preserve">OIT (DG), ONU (SGA, SSG), </w:t>
            </w:r>
            <w:r w:rsidRPr="008F601A">
              <w:t>ONU</w:t>
            </w:r>
            <w:r w:rsidR="00935EF8" w:rsidRPr="008F601A">
              <w:noBreakHyphen/>
            </w:r>
            <w:r w:rsidRPr="008F601A">
              <w:t xml:space="preserve">Femmes, </w:t>
            </w:r>
            <w:r w:rsidR="00DE1B3F" w:rsidRPr="008F601A">
              <w:t xml:space="preserve">ONUDC, </w:t>
            </w:r>
            <w:r w:rsidR="00935EF8" w:rsidRPr="008F601A">
              <w:t xml:space="preserve">ONUDI, PNUD (SGA), </w:t>
            </w:r>
            <w:r w:rsidR="00DE1B3F" w:rsidRPr="008F601A">
              <w:t>UNESCO</w:t>
            </w:r>
            <w:r w:rsidR="00935EF8" w:rsidRPr="008F601A">
              <w:t xml:space="preserve"> et UNOPS</w:t>
            </w:r>
          </w:p>
        </w:tc>
        <w:tc>
          <w:tcPr>
            <w:tcW w:w="1298" w:type="dxa"/>
            <w:shd w:val="clear" w:color="auto" w:fill="auto"/>
          </w:tcPr>
          <w:p w:rsidR="00CE5E7D" w:rsidRPr="008F601A" w:rsidRDefault="00DE1B3F" w:rsidP="00216160">
            <w:pPr>
              <w:suppressAutoHyphens w:val="0"/>
              <w:spacing w:before="40" w:after="120"/>
              <w:ind w:right="113"/>
            </w:pPr>
            <w:r w:rsidRPr="008F601A">
              <w:t>OMPI (DGA, SDG)</w:t>
            </w:r>
            <w:r w:rsidR="00935EF8" w:rsidRPr="008F601A">
              <w:t xml:space="preserve"> et PAM</w:t>
            </w:r>
          </w:p>
        </w:tc>
        <w:tc>
          <w:tcPr>
            <w:tcW w:w="1272" w:type="dxa"/>
            <w:shd w:val="clear" w:color="auto" w:fill="auto"/>
          </w:tcPr>
          <w:p w:rsidR="00CE5E7D" w:rsidRPr="008F601A" w:rsidRDefault="00CE5E7D" w:rsidP="00216160">
            <w:pPr>
              <w:suppressAutoHyphens w:val="0"/>
              <w:spacing w:before="40" w:after="120"/>
              <w:ind w:right="113"/>
            </w:pPr>
          </w:p>
        </w:tc>
        <w:tc>
          <w:tcPr>
            <w:tcW w:w="1495" w:type="dxa"/>
            <w:shd w:val="clear" w:color="auto" w:fill="auto"/>
            <w:tcMar>
              <w:right w:w="0" w:type="dxa"/>
            </w:tcMar>
          </w:tcPr>
          <w:p w:rsidR="00CE5E7D" w:rsidRPr="008F601A" w:rsidRDefault="00DE1B3F" w:rsidP="00DA19B3">
            <w:pPr>
              <w:suppressAutoHyphens w:val="0"/>
              <w:spacing w:before="40" w:after="120"/>
            </w:pPr>
            <w:r w:rsidRPr="008F601A">
              <w:t>FAO,</w:t>
            </w:r>
            <w:r w:rsidR="00935EF8" w:rsidRPr="008F601A">
              <w:t xml:space="preserve"> OMS,</w:t>
            </w:r>
            <w:r w:rsidRPr="008F601A">
              <w:t xml:space="preserve"> ONUSIDA</w:t>
            </w:r>
            <w:r w:rsidR="00935EF8" w:rsidRPr="008F601A">
              <w:t xml:space="preserve"> et</w:t>
            </w:r>
            <w:r w:rsidR="00DA19B3" w:rsidRPr="008F601A">
              <w:t> </w:t>
            </w:r>
            <w:r w:rsidRPr="008F601A">
              <w:t>UNRWA</w:t>
            </w:r>
          </w:p>
        </w:tc>
      </w:tr>
      <w:tr w:rsidR="00CE5E7D" w:rsidRPr="003B5EA4" w:rsidTr="00C04BC8">
        <w:trPr>
          <w:trHeight w:val="240"/>
        </w:trPr>
        <w:tc>
          <w:tcPr>
            <w:tcW w:w="13783" w:type="dxa"/>
            <w:gridSpan w:val="6"/>
            <w:shd w:val="clear" w:color="auto" w:fill="auto"/>
            <w:tcMar>
              <w:right w:w="0" w:type="dxa"/>
            </w:tcMar>
          </w:tcPr>
          <w:p w:rsidR="00CE5E7D" w:rsidRPr="008F601A" w:rsidRDefault="00DE1B3F" w:rsidP="00216160">
            <w:pPr>
              <w:suppressAutoHyphens w:val="0"/>
              <w:spacing w:before="40" w:after="120"/>
              <w:ind w:right="113"/>
            </w:pPr>
            <w:r w:rsidRPr="008F601A">
              <w:rPr>
                <w:bCs/>
              </w:rPr>
              <w:t>Tous autres seuils :</w:t>
            </w:r>
            <w:r w:rsidRPr="008F601A">
              <w:t xml:space="preserve"> AIEA : au cas par cas ;</w:t>
            </w:r>
            <w:r w:rsidRPr="008F601A">
              <w:rPr>
                <w:bCs/>
              </w:rPr>
              <w:t xml:space="preserve"> </w:t>
            </w:r>
            <w:r w:rsidR="00614F14" w:rsidRPr="008F601A">
              <w:t xml:space="preserve">FNUAP (SSG − classe affaires, sauf si le voyage dure 4 heures ou moins au sein du même continent) ; </w:t>
            </w:r>
            <w:r w:rsidRPr="008F601A">
              <w:rPr>
                <w:bCs/>
              </w:rPr>
              <w:t xml:space="preserve">PNUD (SSG </w:t>
            </w:r>
            <w:r w:rsidR="00A21ECF" w:rsidRPr="008F601A">
              <w:rPr>
                <w:bCs/>
              </w:rPr>
              <w:t>−</w:t>
            </w:r>
            <w:r w:rsidRPr="008F601A">
              <w:rPr>
                <w:bCs/>
              </w:rPr>
              <w:t xml:space="preserve"> classe affaires à partir de 4 heures au sein du même continent)</w:t>
            </w:r>
            <w:r w:rsidR="00614F14" w:rsidRPr="008F601A">
              <w:rPr>
                <w:bCs/>
              </w:rPr>
              <w:t>.</w:t>
            </w:r>
          </w:p>
        </w:tc>
      </w:tr>
      <w:tr w:rsidR="009305D1" w:rsidRPr="003B5EA4" w:rsidTr="00C04BC8">
        <w:trPr>
          <w:trHeight w:val="240"/>
        </w:trPr>
        <w:tc>
          <w:tcPr>
            <w:tcW w:w="1770" w:type="dxa"/>
            <w:shd w:val="clear" w:color="auto" w:fill="auto"/>
          </w:tcPr>
          <w:p w:rsidR="00CE5E7D" w:rsidRPr="008F601A" w:rsidRDefault="00DE1B3F" w:rsidP="00216160">
            <w:pPr>
              <w:suppressAutoHyphens w:val="0"/>
              <w:spacing w:before="40" w:after="120"/>
              <w:ind w:right="113"/>
            </w:pPr>
            <w:r w:rsidRPr="008F601A">
              <w:rPr>
                <w:bCs/>
              </w:rPr>
              <w:t>Formation et perfectionnement</w:t>
            </w:r>
          </w:p>
        </w:tc>
        <w:tc>
          <w:tcPr>
            <w:tcW w:w="2484" w:type="dxa"/>
            <w:shd w:val="clear" w:color="auto" w:fill="auto"/>
          </w:tcPr>
          <w:p w:rsidR="00CE5E7D" w:rsidRPr="008F601A" w:rsidRDefault="00DE1B3F" w:rsidP="00216160">
            <w:pPr>
              <w:suppressAutoHyphens w:val="0"/>
              <w:spacing w:before="40" w:after="120"/>
              <w:ind w:right="113"/>
            </w:pPr>
            <w:r w:rsidRPr="008F601A">
              <w:t xml:space="preserve">OMI (SG), </w:t>
            </w:r>
            <w:r w:rsidR="00134B6D" w:rsidRPr="008F601A">
              <w:t xml:space="preserve">OMM, </w:t>
            </w:r>
            <w:r w:rsidRPr="008F601A">
              <w:t>OMPI (DG)</w:t>
            </w:r>
            <w:r w:rsidR="00E2473F" w:rsidRPr="008F601A">
              <w:t xml:space="preserve"> et ONU (SG, VSG, PAG)</w:t>
            </w:r>
          </w:p>
        </w:tc>
        <w:tc>
          <w:tcPr>
            <w:tcW w:w="5463" w:type="dxa"/>
            <w:shd w:val="clear" w:color="auto" w:fill="auto"/>
          </w:tcPr>
          <w:p w:rsidR="00CE5E7D" w:rsidRPr="008F601A" w:rsidRDefault="00134B6D" w:rsidP="00216160">
            <w:pPr>
              <w:suppressAutoHyphens w:val="0"/>
              <w:spacing w:before="40" w:after="120"/>
              <w:ind w:right="113"/>
            </w:pPr>
            <w:r w:rsidRPr="008F601A">
              <w:t>CCI</w:t>
            </w:r>
            <w:r w:rsidRPr="001E6AC0">
              <w:rPr>
                <w:sz w:val="18"/>
                <w:szCs w:val="18"/>
              </w:rPr>
              <w:t>*</w:t>
            </w:r>
            <w:r w:rsidRPr="008F601A">
              <w:t xml:space="preserve">, HCR, </w:t>
            </w:r>
            <w:r w:rsidR="00C839F8" w:rsidRPr="008F601A">
              <w:t>OACI,</w:t>
            </w:r>
            <w:r w:rsidR="009A07FF" w:rsidRPr="008F601A">
              <w:t xml:space="preserve"> </w:t>
            </w:r>
            <w:r w:rsidR="00C839F8" w:rsidRPr="008F601A">
              <w:t xml:space="preserve">OIT (DG), ONU (SGA, SSG), </w:t>
            </w:r>
            <w:r w:rsidR="004A7D04" w:rsidRPr="008F601A">
              <w:t xml:space="preserve">ONUDC, ONUDI, </w:t>
            </w:r>
            <w:r w:rsidR="00C839F8" w:rsidRPr="008F601A">
              <w:t>UNESCO</w:t>
            </w:r>
            <w:r w:rsidR="004A7D04" w:rsidRPr="008F601A">
              <w:t xml:space="preserve"> et</w:t>
            </w:r>
            <w:r w:rsidR="00C839F8" w:rsidRPr="008F601A">
              <w:t xml:space="preserve"> UNICEF</w:t>
            </w:r>
          </w:p>
        </w:tc>
        <w:tc>
          <w:tcPr>
            <w:tcW w:w="1298" w:type="dxa"/>
            <w:shd w:val="clear" w:color="auto" w:fill="auto"/>
          </w:tcPr>
          <w:p w:rsidR="00CE5E7D" w:rsidRPr="008F601A" w:rsidRDefault="00C839F8" w:rsidP="00216160">
            <w:pPr>
              <w:suppressAutoHyphens w:val="0"/>
              <w:spacing w:before="40" w:after="120"/>
              <w:ind w:right="113"/>
            </w:pPr>
            <w:r w:rsidRPr="008F601A">
              <w:t>OMPI (DGA, SDG)</w:t>
            </w:r>
          </w:p>
        </w:tc>
        <w:tc>
          <w:tcPr>
            <w:tcW w:w="1272" w:type="dxa"/>
            <w:shd w:val="clear" w:color="auto" w:fill="auto"/>
          </w:tcPr>
          <w:p w:rsidR="00CE5E7D" w:rsidRPr="008F601A" w:rsidRDefault="00CE5E7D" w:rsidP="00216160">
            <w:pPr>
              <w:suppressAutoHyphens w:val="0"/>
              <w:spacing w:before="40" w:after="120"/>
              <w:ind w:right="113"/>
            </w:pPr>
          </w:p>
        </w:tc>
        <w:tc>
          <w:tcPr>
            <w:tcW w:w="1495" w:type="dxa"/>
            <w:shd w:val="clear" w:color="auto" w:fill="auto"/>
            <w:tcMar>
              <w:right w:w="0" w:type="dxa"/>
            </w:tcMar>
          </w:tcPr>
          <w:p w:rsidR="00CE5E7D" w:rsidRPr="008F601A" w:rsidRDefault="00C839F8" w:rsidP="007A5BF1">
            <w:pPr>
              <w:suppressAutoHyphens w:val="0"/>
              <w:spacing w:before="40" w:after="120"/>
            </w:pPr>
            <w:r w:rsidRPr="008F601A">
              <w:t xml:space="preserve">FAO, FNUAP, </w:t>
            </w:r>
            <w:r w:rsidR="004A7D04" w:rsidRPr="008F601A">
              <w:t xml:space="preserve">ONUSIDA, PAM, PNUD, UIT, </w:t>
            </w:r>
            <w:r w:rsidRPr="008F601A">
              <w:t>UNOPS</w:t>
            </w:r>
            <w:r w:rsidR="004A7D04" w:rsidRPr="008F601A">
              <w:t xml:space="preserve"> et</w:t>
            </w:r>
            <w:r w:rsidR="007A5BF1" w:rsidRPr="008F601A">
              <w:t xml:space="preserve"> </w:t>
            </w:r>
            <w:r w:rsidRPr="008F601A">
              <w:t>UNRWA</w:t>
            </w:r>
          </w:p>
        </w:tc>
      </w:tr>
      <w:tr w:rsidR="009305D1" w:rsidRPr="003B5EA4" w:rsidTr="00C04BC8">
        <w:trPr>
          <w:trHeight w:val="240"/>
        </w:trPr>
        <w:tc>
          <w:tcPr>
            <w:tcW w:w="1770" w:type="dxa"/>
            <w:shd w:val="clear" w:color="auto" w:fill="auto"/>
          </w:tcPr>
          <w:p w:rsidR="00CE5E7D" w:rsidRPr="008F601A" w:rsidRDefault="009A07FF" w:rsidP="00216160">
            <w:pPr>
              <w:suppressAutoHyphens w:val="0"/>
              <w:spacing w:before="40" w:after="120"/>
              <w:ind w:right="113"/>
            </w:pPr>
            <w:r w:rsidRPr="008F601A">
              <w:rPr>
                <w:bCs/>
              </w:rPr>
              <w:t>Congé dans les foyers</w:t>
            </w:r>
          </w:p>
        </w:tc>
        <w:tc>
          <w:tcPr>
            <w:tcW w:w="2484" w:type="dxa"/>
            <w:shd w:val="clear" w:color="auto" w:fill="auto"/>
          </w:tcPr>
          <w:p w:rsidR="00CE5E7D" w:rsidRPr="008F601A" w:rsidRDefault="009A07FF" w:rsidP="00216160">
            <w:pPr>
              <w:suppressAutoHyphens w:val="0"/>
              <w:spacing w:before="40" w:after="120"/>
              <w:ind w:right="113"/>
            </w:pPr>
            <w:r w:rsidRPr="008F601A">
              <w:t>OMPI</w:t>
            </w:r>
            <w:r w:rsidRPr="008B4094">
              <w:rPr>
                <w:i/>
                <w:sz w:val="18"/>
                <w:szCs w:val="18"/>
                <w:vertAlign w:val="superscript"/>
              </w:rPr>
              <w:t>e</w:t>
            </w:r>
            <w:r w:rsidRPr="008F601A">
              <w:t xml:space="preserve"> (DG)</w:t>
            </w:r>
            <w:r w:rsidR="00E2473F" w:rsidRPr="008F601A">
              <w:t xml:space="preserve">, </w:t>
            </w:r>
            <w:r w:rsidRPr="008F601A">
              <w:t>OMM</w:t>
            </w:r>
            <w:r w:rsidR="00E2473F" w:rsidRPr="008F601A">
              <w:t xml:space="preserve"> et ONU (SG, VSG, PAG)</w:t>
            </w:r>
          </w:p>
        </w:tc>
        <w:tc>
          <w:tcPr>
            <w:tcW w:w="5463" w:type="dxa"/>
            <w:shd w:val="clear" w:color="auto" w:fill="auto"/>
          </w:tcPr>
          <w:p w:rsidR="00CE5E7D" w:rsidRPr="008F601A" w:rsidRDefault="00E2473F" w:rsidP="00216160">
            <w:pPr>
              <w:suppressAutoHyphens w:val="0"/>
              <w:spacing w:before="40" w:after="120"/>
              <w:ind w:right="113"/>
            </w:pPr>
            <w:r w:rsidRPr="008F601A">
              <w:t>CCI</w:t>
            </w:r>
            <w:r w:rsidRPr="008B4094">
              <w:rPr>
                <w:sz w:val="18"/>
                <w:szCs w:val="18"/>
              </w:rPr>
              <w:t>*</w:t>
            </w:r>
            <w:r w:rsidRPr="008F601A">
              <w:t xml:space="preserve">, </w:t>
            </w:r>
            <w:r w:rsidR="00562008" w:rsidRPr="008F601A">
              <w:t xml:space="preserve">FNUAP (DE), HCR, </w:t>
            </w:r>
            <w:r w:rsidR="009A07FF" w:rsidRPr="008F601A">
              <w:t xml:space="preserve">OACI, </w:t>
            </w:r>
            <w:r w:rsidRPr="008F601A">
              <w:t>OIT (DG)</w:t>
            </w:r>
            <w:r w:rsidRPr="008B4094">
              <w:rPr>
                <w:i/>
                <w:sz w:val="18"/>
                <w:szCs w:val="18"/>
                <w:vertAlign w:val="superscript"/>
              </w:rPr>
              <w:t>g</w:t>
            </w:r>
            <w:r w:rsidRPr="008F601A">
              <w:t xml:space="preserve">, ONU (SGA, SSG), </w:t>
            </w:r>
            <w:r w:rsidR="00562008" w:rsidRPr="008F601A">
              <w:t xml:space="preserve">ONU-Femmes, ONUDC, </w:t>
            </w:r>
            <w:r w:rsidR="009A07FF" w:rsidRPr="008F601A">
              <w:t>ONUDI</w:t>
            </w:r>
            <w:r w:rsidR="009A07FF" w:rsidRPr="008B4094">
              <w:rPr>
                <w:i/>
                <w:sz w:val="18"/>
                <w:szCs w:val="18"/>
                <w:vertAlign w:val="superscript"/>
              </w:rPr>
              <w:t>d</w:t>
            </w:r>
            <w:r w:rsidR="009A07FF" w:rsidRPr="008F601A">
              <w:t>, PNUD (SGA, SSG), UNESCO,</w:t>
            </w:r>
            <w:r w:rsidR="00562008" w:rsidRPr="008F601A">
              <w:t xml:space="preserve"> UNICEF</w:t>
            </w:r>
            <w:r w:rsidR="00562008" w:rsidRPr="008F601A">
              <w:rPr>
                <w:i/>
                <w:vertAlign w:val="superscript"/>
              </w:rPr>
              <w:t>f</w:t>
            </w:r>
            <w:r w:rsidR="00562008" w:rsidRPr="008F601A">
              <w:t xml:space="preserve">, UNOPS, </w:t>
            </w:r>
            <w:r w:rsidR="001A5BC3" w:rsidRPr="008F601A">
              <w:t>et</w:t>
            </w:r>
            <w:r w:rsidR="009A07FF" w:rsidRPr="008F601A">
              <w:t xml:space="preserve"> UNRWA</w:t>
            </w:r>
            <w:bookmarkStart w:id="3" w:name="_Ref471465070"/>
            <w:bookmarkEnd w:id="3"/>
          </w:p>
        </w:tc>
        <w:tc>
          <w:tcPr>
            <w:tcW w:w="1298" w:type="dxa"/>
            <w:shd w:val="clear" w:color="auto" w:fill="auto"/>
          </w:tcPr>
          <w:p w:rsidR="00CE5E7D" w:rsidRPr="008F601A" w:rsidRDefault="00CE5E7D" w:rsidP="00216160">
            <w:pPr>
              <w:suppressAutoHyphens w:val="0"/>
              <w:spacing w:before="40" w:after="120"/>
              <w:ind w:right="113"/>
            </w:pPr>
            <w:r w:rsidRPr="008F601A">
              <w:t>PA</w:t>
            </w:r>
            <w:r w:rsidR="00072B28" w:rsidRPr="008F601A">
              <w:t>M</w:t>
            </w:r>
          </w:p>
        </w:tc>
        <w:tc>
          <w:tcPr>
            <w:tcW w:w="1272" w:type="dxa"/>
            <w:shd w:val="clear" w:color="auto" w:fill="auto"/>
          </w:tcPr>
          <w:p w:rsidR="00CE5E7D" w:rsidRPr="008F601A" w:rsidRDefault="00CE5E7D" w:rsidP="00216160">
            <w:pPr>
              <w:suppressAutoHyphens w:val="0"/>
              <w:spacing w:before="40" w:after="120"/>
              <w:ind w:right="113"/>
            </w:pPr>
            <w:r w:rsidRPr="008F601A">
              <w:t>FAO</w:t>
            </w:r>
          </w:p>
        </w:tc>
        <w:tc>
          <w:tcPr>
            <w:tcW w:w="1495" w:type="dxa"/>
            <w:shd w:val="clear" w:color="auto" w:fill="auto"/>
            <w:tcMar>
              <w:right w:w="0" w:type="dxa"/>
            </w:tcMar>
          </w:tcPr>
          <w:p w:rsidR="00CE5E7D" w:rsidRPr="008F601A" w:rsidRDefault="00072B28" w:rsidP="00106FD9">
            <w:pPr>
              <w:suppressAutoHyphens w:val="0"/>
              <w:spacing w:before="40" w:after="120"/>
            </w:pPr>
            <w:r w:rsidRPr="008F601A">
              <w:t>AIEA</w:t>
            </w:r>
            <w:r w:rsidRPr="008B4094">
              <w:rPr>
                <w:i/>
                <w:sz w:val="18"/>
                <w:szCs w:val="18"/>
                <w:vertAlign w:val="superscript"/>
              </w:rPr>
              <w:t>c</w:t>
            </w:r>
            <w:r w:rsidRPr="008F601A">
              <w:t xml:space="preserve">, OMI, </w:t>
            </w:r>
            <w:r w:rsidR="009A74A1" w:rsidRPr="008F601A">
              <w:t>OMPI (DGA/ SDG)</w:t>
            </w:r>
            <w:r w:rsidR="009A74A1" w:rsidRPr="008B4094">
              <w:rPr>
                <w:i/>
                <w:sz w:val="18"/>
                <w:szCs w:val="18"/>
                <w:vertAlign w:val="superscript"/>
              </w:rPr>
              <w:t>e</w:t>
            </w:r>
            <w:r w:rsidR="009A74A1" w:rsidRPr="008F601A">
              <w:t xml:space="preserve">, </w:t>
            </w:r>
            <w:r w:rsidR="00F73E24" w:rsidRPr="008F601A">
              <w:t xml:space="preserve">OMS, </w:t>
            </w:r>
            <w:r w:rsidRPr="008F601A">
              <w:t xml:space="preserve">OMT, </w:t>
            </w:r>
            <w:r w:rsidR="00F73E24" w:rsidRPr="008F601A">
              <w:t>ONUSIDA et</w:t>
            </w:r>
            <w:r w:rsidR="00106FD9" w:rsidRPr="008F601A">
              <w:t> </w:t>
            </w:r>
            <w:r w:rsidR="00F73E24" w:rsidRPr="008F601A">
              <w:t>UIT</w:t>
            </w:r>
            <w:r w:rsidR="00F73E24" w:rsidRPr="008B4094">
              <w:rPr>
                <w:i/>
                <w:sz w:val="18"/>
                <w:szCs w:val="18"/>
                <w:vertAlign w:val="superscript"/>
              </w:rPr>
              <w:t>g</w:t>
            </w:r>
          </w:p>
        </w:tc>
      </w:tr>
      <w:tr w:rsidR="009305D1" w:rsidRPr="003B5EA4" w:rsidTr="00C04BC8">
        <w:trPr>
          <w:trHeight w:val="240"/>
        </w:trPr>
        <w:tc>
          <w:tcPr>
            <w:tcW w:w="1770" w:type="dxa"/>
            <w:tcBorders>
              <w:bottom w:val="nil"/>
            </w:tcBorders>
            <w:shd w:val="clear" w:color="auto" w:fill="auto"/>
          </w:tcPr>
          <w:p w:rsidR="00CE5E7D" w:rsidRPr="008F601A" w:rsidRDefault="00072B28" w:rsidP="00216160">
            <w:pPr>
              <w:suppressAutoHyphens w:val="0"/>
              <w:spacing w:before="40" w:after="120"/>
              <w:ind w:right="113"/>
            </w:pPr>
            <w:r w:rsidRPr="008F601A">
              <w:rPr>
                <w:bCs/>
              </w:rPr>
              <w:t>Visite familiale</w:t>
            </w:r>
          </w:p>
        </w:tc>
        <w:tc>
          <w:tcPr>
            <w:tcW w:w="2484" w:type="dxa"/>
            <w:tcBorders>
              <w:bottom w:val="nil"/>
            </w:tcBorders>
            <w:shd w:val="clear" w:color="auto" w:fill="auto"/>
          </w:tcPr>
          <w:p w:rsidR="00CE5E7D" w:rsidRPr="008F601A" w:rsidRDefault="009A74A1" w:rsidP="00216160">
            <w:pPr>
              <w:suppressAutoHyphens w:val="0"/>
              <w:spacing w:before="40" w:after="120"/>
              <w:ind w:right="113"/>
            </w:pPr>
            <w:r w:rsidRPr="008F601A">
              <w:t>OMM</w:t>
            </w:r>
            <w:r w:rsidR="00657E19" w:rsidRPr="008F601A">
              <w:t>,</w:t>
            </w:r>
            <w:r w:rsidRPr="008F601A">
              <w:t xml:space="preserve"> </w:t>
            </w:r>
            <w:r w:rsidR="00072B28" w:rsidRPr="008F601A">
              <w:t xml:space="preserve">ONU (SG, VSG, PAG) et </w:t>
            </w:r>
            <w:r w:rsidRPr="008F601A">
              <w:t>UIT</w:t>
            </w:r>
          </w:p>
        </w:tc>
        <w:tc>
          <w:tcPr>
            <w:tcW w:w="5463" w:type="dxa"/>
            <w:tcBorders>
              <w:bottom w:val="nil"/>
            </w:tcBorders>
            <w:shd w:val="clear" w:color="auto" w:fill="auto"/>
          </w:tcPr>
          <w:p w:rsidR="00CE5E7D" w:rsidRPr="008F601A" w:rsidRDefault="009A74A1" w:rsidP="00216160">
            <w:pPr>
              <w:suppressAutoHyphens w:val="0"/>
              <w:spacing w:before="40" w:after="120"/>
              <w:ind w:right="113"/>
              <w:rPr>
                <w:spacing w:val="-2"/>
              </w:rPr>
            </w:pPr>
            <w:r w:rsidRPr="008F601A">
              <w:rPr>
                <w:spacing w:val="-2"/>
              </w:rPr>
              <w:t>CCI</w:t>
            </w:r>
            <w:r w:rsidRPr="00F0586D">
              <w:rPr>
                <w:spacing w:val="-2"/>
                <w:sz w:val="18"/>
                <w:szCs w:val="18"/>
              </w:rPr>
              <w:t>*</w:t>
            </w:r>
            <w:r w:rsidRPr="008F601A">
              <w:rPr>
                <w:spacing w:val="-2"/>
              </w:rPr>
              <w:t xml:space="preserve">, </w:t>
            </w:r>
            <w:r w:rsidR="004D1BC9" w:rsidRPr="008F601A">
              <w:rPr>
                <w:spacing w:val="-2"/>
              </w:rPr>
              <w:t xml:space="preserve">FNUAP (DE), HCR, </w:t>
            </w:r>
            <w:r w:rsidR="00072B28" w:rsidRPr="008F601A">
              <w:rPr>
                <w:spacing w:val="-2"/>
              </w:rPr>
              <w:t>OACI, OIT (DG)</w:t>
            </w:r>
            <w:r w:rsidR="00072B28" w:rsidRPr="00F0586D">
              <w:rPr>
                <w:i/>
                <w:spacing w:val="-2"/>
                <w:sz w:val="18"/>
                <w:szCs w:val="18"/>
                <w:vertAlign w:val="superscript"/>
              </w:rPr>
              <w:t>g</w:t>
            </w:r>
            <w:r w:rsidR="00072B28" w:rsidRPr="008F601A">
              <w:rPr>
                <w:spacing w:val="-2"/>
              </w:rPr>
              <w:t xml:space="preserve">, ONU (SGA, SSG), </w:t>
            </w:r>
            <w:r w:rsidR="004D1BC9" w:rsidRPr="008F601A">
              <w:rPr>
                <w:spacing w:val="-2"/>
              </w:rPr>
              <w:t>ONUDC, ONUDI</w:t>
            </w:r>
            <w:r w:rsidR="004D1BC9" w:rsidRPr="00F0586D">
              <w:rPr>
                <w:i/>
                <w:sz w:val="18"/>
                <w:szCs w:val="18"/>
                <w:vertAlign w:val="superscript"/>
              </w:rPr>
              <w:t>d</w:t>
            </w:r>
            <w:r w:rsidR="004D1BC9" w:rsidRPr="008F601A">
              <w:rPr>
                <w:spacing w:val="-2"/>
              </w:rPr>
              <w:t xml:space="preserve">, </w:t>
            </w:r>
            <w:r w:rsidR="00072B28" w:rsidRPr="008F601A">
              <w:rPr>
                <w:spacing w:val="-2"/>
              </w:rPr>
              <w:t xml:space="preserve">PNUD (SGA, SSG), </w:t>
            </w:r>
            <w:r w:rsidR="004D1BC9" w:rsidRPr="008F601A">
              <w:rPr>
                <w:spacing w:val="-2"/>
              </w:rPr>
              <w:t>UNESCO, UNICEF</w:t>
            </w:r>
            <w:r w:rsidR="004D1BC9" w:rsidRPr="00F0586D">
              <w:rPr>
                <w:i/>
                <w:sz w:val="18"/>
                <w:szCs w:val="18"/>
                <w:vertAlign w:val="superscript"/>
              </w:rPr>
              <w:t>f</w:t>
            </w:r>
            <w:r w:rsidR="004D1BC9" w:rsidRPr="008F601A">
              <w:rPr>
                <w:spacing w:val="-2"/>
              </w:rPr>
              <w:t xml:space="preserve">, </w:t>
            </w:r>
            <w:r w:rsidR="00072B28" w:rsidRPr="008F601A">
              <w:rPr>
                <w:spacing w:val="-2"/>
              </w:rPr>
              <w:t>UNOPS</w:t>
            </w:r>
            <w:r w:rsidR="00444F7B" w:rsidRPr="008F601A">
              <w:rPr>
                <w:spacing w:val="-2"/>
              </w:rPr>
              <w:t xml:space="preserve"> et</w:t>
            </w:r>
            <w:r w:rsidR="00072B28" w:rsidRPr="008F601A">
              <w:rPr>
                <w:spacing w:val="-2"/>
              </w:rPr>
              <w:t xml:space="preserve"> UNRWA</w:t>
            </w:r>
          </w:p>
        </w:tc>
        <w:tc>
          <w:tcPr>
            <w:tcW w:w="1298" w:type="dxa"/>
            <w:tcBorders>
              <w:bottom w:val="nil"/>
            </w:tcBorders>
            <w:shd w:val="clear" w:color="auto" w:fill="auto"/>
          </w:tcPr>
          <w:p w:rsidR="00CE5E7D" w:rsidRPr="008F601A" w:rsidRDefault="00CE5E7D" w:rsidP="00216160">
            <w:pPr>
              <w:suppressAutoHyphens w:val="0"/>
              <w:spacing w:before="40" w:after="120"/>
              <w:ind w:right="113"/>
            </w:pPr>
            <w:r w:rsidRPr="008F601A">
              <w:t>P</w:t>
            </w:r>
            <w:r w:rsidR="00444F7B" w:rsidRPr="008F601A">
              <w:t>AM</w:t>
            </w:r>
          </w:p>
        </w:tc>
        <w:tc>
          <w:tcPr>
            <w:tcW w:w="1272" w:type="dxa"/>
            <w:tcBorders>
              <w:bottom w:val="nil"/>
            </w:tcBorders>
            <w:shd w:val="clear" w:color="auto" w:fill="auto"/>
          </w:tcPr>
          <w:p w:rsidR="00CE5E7D" w:rsidRPr="008F601A" w:rsidRDefault="00CE5E7D" w:rsidP="00216160">
            <w:pPr>
              <w:suppressAutoHyphens w:val="0"/>
              <w:spacing w:before="40" w:after="120"/>
              <w:ind w:right="113"/>
            </w:pPr>
            <w:r w:rsidRPr="008F601A">
              <w:t>FAO</w:t>
            </w:r>
          </w:p>
        </w:tc>
        <w:tc>
          <w:tcPr>
            <w:tcW w:w="1495" w:type="dxa"/>
            <w:tcBorders>
              <w:bottom w:val="nil"/>
            </w:tcBorders>
            <w:shd w:val="clear" w:color="auto" w:fill="auto"/>
            <w:tcMar>
              <w:right w:w="0" w:type="dxa"/>
            </w:tcMar>
          </w:tcPr>
          <w:p w:rsidR="00CE5E7D" w:rsidRPr="008F601A" w:rsidRDefault="00444F7B" w:rsidP="0012273E">
            <w:pPr>
              <w:suppressAutoHyphens w:val="0"/>
              <w:spacing w:before="40" w:after="120"/>
            </w:pPr>
            <w:r w:rsidRPr="008F601A">
              <w:t>AIEA</w:t>
            </w:r>
            <w:r w:rsidRPr="008B4094">
              <w:rPr>
                <w:i/>
                <w:sz w:val="18"/>
                <w:szCs w:val="18"/>
                <w:vertAlign w:val="superscript"/>
              </w:rPr>
              <w:t>c</w:t>
            </w:r>
            <w:r w:rsidRPr="008F601A">
              <w:t>, OMI, OMT</w:t>
            </w:r>
            <w:r w:rsidR="0012273E" w:rsidRPr="008F601A">
              <w:t>,</w:t>
            </w:r>
            <w:r w:rsidRPr="008F601A">
              <w:t xml:space="preserve"> OMS</w:t>
            </w:r>
            <w:r w:rsidR="0012273E" w:rsidRPr="008F601A">
              <w:t xml:space="preserve"> et ONUSIDA</w:t>
            </w:r>
          </w:p>
        </w:tc>
      </w:tr>
      <w:tr w:rsidR="009305D1" w:rsidRPr="003B5EA4" w:rsidTr="00C04BC8">
        <w:trPr>
          <w:trHeight w:val="240"/>
        </w:trPr>
        <w:tc>
          <w:tcPr>
            <w:tcW w:w="1770" w:type="dxa"/>
            <w:tcBorders>
              <w:top w:val="nil"/>
              <w:bottom w:val="single" w:sz="12" w:space="0" w:color="auto"/>
            </w:tcBorders>
            <w:shd w:val="clear" w:color="auto" w:fill="auto"/>
          </w:tcPr>
          <w:p w:rsidR="00CE5E7D" w:rsidRPr="008F601A" w:rsidRDefault="00444F7B" w:rsidP="00216160">
            <w:pPr>
              <w:suppressAutoHyphens w:val="0"/>
              <w:spacing w:before="40" w:after="120"/>
              <w:ind w:right="113"/>
            </w:pPr>
            <w:r w:rsidRPr="008F601A">
              <w:rPr>
                <w:bCs/>
              </w:rPr>
              <w:t xml:space="preserve">Voyage au titre </w:t>
            </w:r>
            <w:r w:rsidRPr="008F601A">
              <w:rPr>
                <w:bCs/>
              </w:rPr>
              <w:br/>
              <w:t>des études</w:t>
            </w:r>
          </w:p>
        </w:tc>
        <w:tc>
          <w:tcPr>
            <w:tcW w:w="2484" w:type="dxa"/>
            <w:tcBorders>
              <w:top w:val="nil"/>
              <w:bottom w:val="single" w:sz="12" w:space="0" w:color="auto"/>
            </w:tcBorders>
            <w:shd w:val="clear" w:color="auto" w:fill="auto"/>
          </w:tcPr>
          <w:p w:rsidR="00CE5E7D" w:rsidRPr="008F601A" w:rsidRDefault="00CE5E7D" w:rsidP="00216160">
            <w:pPr>
              <w:suppressAutoHyphens w:val="0"/>
              <w:spacing w:before="40" w:after="120"/>
              <w:ind w:right="113"/>
            </w:pPr>
          </w:p>
        </w:tc>
        <w:tc>
          <w:tcPr>
            <w:tcW w:w="5463" w:type="dxa"/>
            <w:tcBorders>
              <w:top w:val="nil"/>
              <w:bottom w:val="single" w:sz="12" w:space="0" w:color="auto"/>
            </w:tcBorders>
            <w:shd w:val="clear" w:color="auto" w:fill="auto"/>
          </w:tcPr>
          <w:p w:rsidR="00CE5E7D" w:rsidRPr="008F601A" w:rsidRDefault="00444F7B" w:rsidP="00216160">
            <w:pPr>
              <w:suppressAutoHyphens w:val="0"/>
              <w:spacing w:before="40" w:after="120"/>
              <w:ind w:right="113"/>
            </w:pPr>
            <w:r w:rsidRPr="008F601A">
              <w:t>OACI, UNESCO, UNICEF</w:t>
            </w:r>
            <w:r w:rsidRPr="00F0586D">
              <w:rPr>
                <w:i/>
                <w:sz w:val="18"/>
                <w:szCs w:val="18"/>
                <w:vertAlign w:val="superscript"/>
              </w:rPr>
              <w:t>f</w:t>
            </w:r>
            <w:r w:rsidRPr="008F601A">
              <w:t>, UNOPS et UNRWA</w:t>
            </w:r>
          </w:p>
        </w:tc>
        <w:tc>
          <w:tcPr>
            <w:tcW w:w="1298" w:type="dxa"/>
            <w:tcBorders>
              <w:top w:val="nil"/>
              <w:bottom w:val="single" w:sz="12" w:space="0" w:color="auto"/>
            </w:tcBorders>
            <w:shd w:val="clear" w:color="auto" w:fill="auto"/>
          </w:tcPr>
          <w:p w:rsidR="00CE5E7D" w:rsidRPr="008F601A" w:rsidRDefault="00CE5E7D" w:rsidP="00216160">
            <w:pPr>
              <w:suppressAutoHyphens w:val="0"/>
              <w:spacing w:before="40" w:after="120"/>
              <w:ind w:right="113"/>
            </w:pPr>
          </w:p>
        </w:tc>
        <w:tc>
          <w:tcPr>
            <w:tcW w:w="1272" w:type="dxa"/>
            <w:tcBorders>
              <w:top w:val="nil"/>
              <w:bottom w:val="single" w:sz="12" w:space="0" w:color="auto"/>
            </w:tcBorders>
            <w:shd w:val="clear" w:color="auto" w:fill="auto"/>
          </w:tcPr>
          <w:p w:rsidR="00CE5E7D" w:rsidRPr="008F601A" w:rsidRDefault="00CE5E7D" w:rsidP="00216160">
            <w:pPr>
              <w:suppressAutoHyphens w:val="0"/>
              <w:spacing w:before="40" w:after="120"/>
              <w:ind w:right="113"/>
            </w:pPr>
          </w:p>
        </w:tc>
        <w:tc>
          <w:tcPr>
            <w:tcW w:w="1495" w:type="dxa"/>
            <w:tcBorders>
              <w:top w:val="nil"/>
              <w:bottom w:val="single" w:sz="12" w:space="0" w:color="auto"/>
            </w:tcBorders>
            <w:shd w:val="clear" w:color="auto" w:fill="auto"/>
            <w:tcMar>
              <w:right w:w="0" w:type="dxa"/>
            </w:tcMar>
          </w:tcPr>
          <w:p w:rsidR="00CE5E7D" w:rsidRPr="008F601A" w:rsidRDefault="0012273E" w:rsidP="002E01C4">
            <w:pPr>
              <w:suppressAutoHyphens w:val="0"/>
              <w:spacing w:before="40" w:after="120"/>
            </w:pPr>
            <w:r w:rsidRPr="008F601A">
              <w:rPr>
                <w:rFonts w:asciiTheme="majorBidi" w:hAnsiTheme="majorBidi" w:cstheme="majorBidi"/>
                <w:color w:val="000000"/>
              </w:rPr>
              <w:t>AIEA</w:t>
            </w:r>
            <w:r w:rsidRPr="00F0586D">
              <w:rPr>
                <w:i/>
                <w:sz w:val="18"/>
                <w:szCs w:val="18"/>
                <w:vertAlign w:val="superscript"/>
              </w:rPr>
              <w:t>c</w:t>
            </w:r>
            <w:r w:rsidRPr="008F601A">
              <w:rPr>
                <w:rFonts w:asciiTheme="majorBidi" w:hAnsiTheme="majorBidi" w:cstheme="majorBidi"/>
                <w:color w:val="000000"/>
              </w:rPr>
              <w:t>, CCI</w:t>
            </w:r>
            <w:r w:rsidRPr="00F0586D">
              <w:rPr>
                <w:rFonts w:asciiTheme="majorBidi" w:hAnsiTheme="majorBidi" w:cstheme="majorBidi"/>
                <w:color w:val="000000"/>
                <w:sz w:val="18"/>
                <w:szCs w:val="18"/>
              </w:rPr>
              <w:t>*</w:t>
            </w:r>
            <w:r w:rsidRPr="008F601A">
              <w:rPr>
                <w:rFonts w:asciiTheme="majorBidi" w:hAnsiTheme="majorBidi" w:cstheme="majorBidi"/>
                <w:color w:val="000000"/>
              </w:rPr>
              <w:t xml:space="preserve">, </w:t>
            </w:r>
            <w:r w:rsidR="00444F7B" w:rsidRPr="008F601A">
              <w:rPr>
                <w:rFonts w:asciiTheme="majorBidi" w:hAnsiTheme="majorBidi" w:cstheme="majorBidi"/>
              </w:rPr>
              <w:t xml:space="preserve">FAO, </w:t>
            </w:r>
            <w:r w:rsidRPr="008F601A">
              <w:rPr>
                <w:rFonts w:asciiTheme="majorBidi" w:hAnsiTheme="majorBidi" w:cstheme="majorBidi"/>
                <w:color w:val="000000"/>
              </w:rPr>
              <w:t xml:space="preserve">FNUAP, </w:t>
            </w:r>
            <w:r w:rsidR="00444F7B" w:rsidRPr="008F601A">
              <w:rPr>
                <w:rFonts w:asciiTheme="majorBidi" w:hAnsiTheme="majorBidi" w:cstheme="majorBidi"/>
              </w:rPr>
              <w:t>OIT (DG)</w:t>
            </w:r>
            <w:r w:rsidR="00444F7B" w:rsidRPr="00F0586D">
              <w:rPr>
                <w:i/>
                <w:sz w:val="18"/>
                <w:szCs w:val="18"/>
                <w:vertAlign w:val="superscript"/>
              </w:rPr>
              <w:t>h</w:t>
            </w:r>
            <w:r w:rsidR="00444F7B" w:rsidRPr="008F601A">
              <w:rPr>
                <w:rFonts w:asciiTheme="majorBidi" w:hAnsiTheme="majorBidi" w:cstheme="majorBidi"/>
              </w:rPr>
              <w:t xml:space="preserve">, OMI, </w:t>
            </w:r>
            <w:r w:rsidR="00CB449F" w:rsidRPr="008F601A">
              <w:rPr>
                <w:rFonts w:asciiTheme="majorBidi" w:hAnsiTheme="majorBidi" w:cstheme="majorBidi"/>
              </w:rPr>
              <w:t>OMM,</w:t>
            </w:r>
            <w:r w:rsidR="00CB449F" w:rsidRPr="008F601A">
              <w:rPr>
                <w:rFonts w:asciiTheme="majorBidi" w:hAnsiTheme="majorBidi" w:cstheme="majorBidi"/>
                <w:color w:val="000000"/>
              </w:rPr>
              <w:t xml:space="preserve"> OMPI, </w:t>
            </w:r>
            <w:r w:rsidR="00CB449F" w:rsidRPr="00F747BA">
              <w:rPr>
                <w:rFonts w:asciiTheme="majorBidi" w:hAnsiTheme="majorBidi" w:cstheme="majorBidi"/>
                <w:color w:val="000000"/>
                <w:spacing w:val="-6"/>
              </w:rPr>
              <w:t xml:space="preserve">OMS, </w:t>
            </w:r>
            <w:r w:rsidR="00E53F97" w:rsidRPr="00F747BA">
              <w:rPr>
                <w:rFonts w:asciiTheme="majorBidi" w:hAnsiTheme="majorBidi" w:cstheme="majorBidi"/>
                <w:color w:val="000000"/>
                <w:spacing w:val="-6"/>
              </w:rPr>
              <w:t xml:space="preserve">OMT, </w:t>
            </w:r>
            <w:r w:rsidRPr="00F747BA">
              <w:rPr>
                <w:rFonts w:asciiTheme="majorBidi" w:hAnsiTheme="majorBidi" w:cstheme="majorBidi"/>
                <w:color w:val="000000"/>
                <w:spacing w:val="-6"/>
              </w:rPr>
              <w:t>ONU,</w:t>
            </w:r>
            <w:r w:rsidRPr="008F601A">
              <w:rPr>
                <w:rFonts w:asciiTheme="majorBidi" w:hAnsiTheme="majorBidi" w:cstheme="majorBidi"/>
                <w:color w:val="000000"/>
              </w:rPr>
              <w:t xml:space="preserve"> </w:t>
            </w:r>
            <w:r w:rsidR="00E53F97" w:rsidRPr="008F601A">
              <w:rPr>
                <w:rFonts w:asciiTheme="majorBidi" w:hAnsiTheme="majorBidi" w:cstheme="majorBidi"/>
                <w:color w:val="000000"/>
              </w:rPr>
              <w:t>ONU</w:t>
            </w:r>
            <w:r w:rsidR="002E01C4">
              <w:rPr>
                <w:rFonts w:asciiTheme="majorBidi" w:hAnsiTheme="majorBidi" w:cstheme="majorBidi"/>
                <w:color w:val="000000"/>
              </w:rPr>
              <w:noBreakHyphen/>
            </w:r>
            <w:r w:rsidR="00E53F97" w:rsidRPr="008F601A">
              <w:rPr>
                <w:rFonts w:asciiTheme="majorBidi" w:hAnsiTheme="majorBidi" w:cstheme="majorBidi"/>
                <w:color w:val="000000"/>
              </w:rPr>
              <w:t xml:space="preserve">Femmes, </w:t>
            </w:r>
            <w:r w:rsidR="00E53F97" w:rsidRPr="00F747BA">
              <w:rPr>
                <w:rFonts w:asciiTheme="majorBidi" w:hAnsiTheme="majorBidi" w:cstheme="majorBidi"/>
                <w:spacing w:val="-6"/>
              </w:rPr>
              <w:t xml:space="preserve">ONUDC, </w:t>
            </w:r>
            <w:r w:rsidR="00E53F97" w:rsidRPr="00F747BA">
              <w:rPr>
                <w:rFonts w:asciiTheme="majorBidi" w:hAnsiTheme="majorBidi" w:cstheme="majorBidi"/>
                <w:color w:val="000000"/>
                <w:spacing w:val="-6"/>
              </w:rPr>
              <w:t>ONUDI</w:t>
            </w:r>
            <w:r w:rsidR="00E53F97" w:rsidRPr="00F0586D">
              <w:rPr>
                <w:i/>
                <w:sz w:val="18"/>
                <w:szCs w:val="18"/>
                <w:vertAlign w:val="superscript"/>
              </w:rPr>
              <w:t>d</w:t>
            </w:r>
            <w:r w:rsidR="00E53F97" w:rsidRPr="00F747BA">
              <w:rPr>
                <w:rFonts w:asciiTheme="majorBidi" w:hAnsiTheme="majorBidi" w:cstheme="majorBidi"/>
                <w:color w:val="000000"/>
                <w:spacing w:val="-6"/>
              </w:rPr>
              <w:t>,</w:t>
            </w:r>
            <w:r w:rsidR="00E53F97" w:rsidRPr="008F601A">
              <w:rPr>
                <w:rFonts w:asciiTheme="majorBidi" w:hAnsiTheme="majorBidi" w:cstheme="majorBidi"/>
                <w:color w:val="000000"/>
              </w:rPr>
              <w:t xml:space="preserve"> </w:t>
            </w:r>
            <w:r w:rsidRPr="008F601A">
              <w:rPr>
                <w:rFonts w:asciiTheme="majorBidi" w:hAnsiTheme="majorBidi" w:cstheme="majorBidi"/>
                <w:color w:val="000000"/>
              </w:rPr>
              <w:t xml:space="preserve">ONUSIDA, </w:t>
            </w:r>
            <w:r w:rsidR="00CB449F" w:rsidRPr="008F601A">
              <w:rPr>
                <w:rFonts w:asciiTheme="majorBidi" w:hAnsiTheme="majorBidi" w:cstheme="majorBidi"/>
                <w:color w:val="000000"/>
              </w:rPr>
              <w:t xml:space="preserve">PAM, </w:t>
            </w:r>
            <w:r w:rsidRPr="008F601A">
              <w:rPr>
                <w:rFonts w:asciiTheme="majorBidi" w:hAnsiTheme="majorBidi" w:cstheme="majorBidi"/>
                <w:color w:val="000000"/>
              </w:rPr>
              <w:t xml:space="preserve">PNUD </w:t>
            </w:r>
            <w:r w:rsidR="00CB449F" w:rsidRPr="008F601A">
              <w:rPr>
                <w:rFonts w:asciiTheme="majorBidi" w:hAnsiTheme="majorBidi" w:cstheme="majorBidi"/>
              </w:rPr>
              <w:t>et</w:t>
            </w:r>
            <w:r w:rsidR="000A680E" w:rsidRPr="008F601A">
              <w:rPr>
                <w:rFonts w:asciiTheme="majorBidi" w:hAnsiTheme="majorBidi" w:cstheme="majorBidi"/>
              </w:rPr>
              <w:t> </w:t>
            </w:r>
            <w:r w:rsidR="00CB449F" w:rsidRPr="008F601A">
              <w:rPr>
                <w:rFonts w:asciiTheme="majorBidi" w:hAnsiTheme="majorBidi" w:cstheme="majorBidi"/>
                <w:color w:val="000000"/>
              </w:rPr>
              <w:t>UIT</w:t>
            </w:r>
          </w:p>
        </w:tc>
      </w:tr>
    </w:tbl>
    <w:p w:rsidR="00D951FA" w:rsidRPr="00D951FA" w:rsidRDefault="00D951FA" w:rsidP="000777E3">
      <w:pPr>
        <w:pStyle w:val="SingleTxtG"/>
        <w:spacing w:before="120" w:after="0"/>
        <w:ind w:left="284" w:right="284" w:firstLine="170"/>
        <w:jc w:val="left"/>
        <w:rPr>
          <w:sz w:val="18"/>
          <w:szCs w:val="18"/>
        </w:rPr>
      </w:pPr>
      <w:r w:rsidRPr="00D951FA">
        <w:rPr>
          <w:i/>
          <w:sz w:val="18"/>
          <w:szCs w:val="18"/>
        </w:rPr>
        <w:t>Sources </w:t>
      </w:r>
      <w:r w:rsidRPr="00D951FA">
        <w:rPr>
          <w:sz w:val="18"/>
          <w:szCs w:val="18"/>
        </w:rPr>
        <w:t>: P</w:t>
      </w:r>
      <w:r w:rsidRPr="00D951FA">
        <w:rPr>
          <w:sz w:val="18"/>
          <w:szCs w:val="18"/>
          <w:lang w:val="fr-FR"/>
        </w:rPr>
        <w:t>olitiques des organismes et réponses des organismes au questionnaire.</w:t>
      </w:r>
    </w:p>
    <w:p w:rsidR="000B68CE" w:rsidRPr="003B5EA4" w:rsidRDefault="000B68CE" w:rsidP="00836201">
      <w:pPr>
        <w:pStyle w:val="SingleTxtG"/>
        <w:keepNext/>
        <w:spacing w:after="0"/>
        <w:ind w:left="284" w:right="284" w:firstLine="170"/>
        <w:jc w:val="left"/>
        <w:rPr>
          <w:sz w:val="18"/>
          <w:szCs w:val="18"/>
        </w:rPr>
      </w:pPr>
      <w:r w:rsidRPr="003B5EA4">
        <w:rPr>
          <w:i/>
          <w:sz w:val="18"/>
          <w:szCs w:val="18"/>
        </w:rPr>
        <w:t>Notes </w:t>
      </w:r>
      <w:r w:rsidR="00D951FA">
        <w:rPr>
          <w:sz w:val="18"/>
          <w:szCs w:val="18"/>
        </w:rPr>
        <w:t>:</w:t>
      </w:r>
    </w:p>
    <w:p w:rsidR="000B68CE" w:rsidRPr="003B5EA4" w:rsidRDefault="000B68CE" w:rsidP="000777E3">
      <w:pPr>
        <w:ind w:left="284" w:right="284" w:firstLine="170"/>
        <w:rPr>
          <w:bCs/>
          <w:color w:val="000000" w:themeColor="text1"/>
          <w:sz w:val="18"/>
          <w:szCs w:val="18"/>
        </w:rPr>
      </w:pPr>
      <w:r w:rsidRPr="003B5EA4">
        <w:rPr>
          <w:bCs/>
          <w:color w:val="000000" w:themeColor="text1"/>
          <w:sz w:val="18"/>
          <w:szCs w:val="18"/>
        </w:rPr>
        <w:t>AIEA</w:t>
      </w:r>
      <w:r w:rsidR="00D951FA">
        <w:rPr>
          <w:bCs/>
          <w:color w:val="000000" w:themeColor="text1"/>
          <w:sz w:val="18"/>
          <w:szCs w:val="18"/>
        </w:rPr>
        <w:t> : d</w:t>
      </w:r>
      <w:r w:rsidRPr="003B5EA4">
        <w:rPr>
          <w:bCs/>
          <w:color w:val="000000" w:themeColor="text1"/>
          <w:sz w:val="18"/>
          <w:szCs w:val="18"/>
        </w:rPr>
        <w:t xml:space="preserve">ans le cas des voyages pour raisons médicales, de sûreté et de sécurité, la classe est déterminée au cas par cas pour tous les fonctionnaires. </w:t>
      </w:r>
    </w:p>
    <w:p w:rsidR="00E31EA3" w:rsidRPr="003B5EA4" w:rsidRDefault="00E31EA3" w:rsidP="00E31EA3">
      <w:pPr>
        <w:ind w:left="284" w:right="284" w:firstLine="170"/>
        <w:rPr>
          <w:bCs/>
          <w:color w:val="000000" w:themeColor="text1"/>
          <w:sz w:val="18"/>
          <w:szCs w:val="18"/>
        </w:rPr>
      </w:pPr>
      <w:r w:rsidRPr="003B5EA4">
        <w:rPr>
          <w:bCs/>
          <w:color w:val="000000" w:themeColor="text1"/>
          <w:sz w:val="18"/>
          <w:szCs w:val="18"/>
        </w:rPr>
        <w:t>FAO</w:t>
      </w:r>
      <w:r>
        <w:rPr>
          <w:bCs/>
          <w:color w:val="000000" w:themeColor="text1"/>
          <w:sz w:val="18"/>
          <w:szCs w:val="18"/>
        </w:rPr>
        <w:t> :</w:t>
      </w:r>
      <w:r w:rsidRPr="003B5EA4">
        <w:rPr>
          <w:bCs/>
          <w:color w:val="000000" w:themeColor="text1"/>
          <w:sz w:val="18"/>
          <w:szCs w:val="18"/>
        </w:rPr>
        <w:t xml:space="preserve"> </w:t>
      </w:r>
      <w:r>
        <w:rPr>
          <w:bCs/>
          <w:color w:val="000000" w:themeColor="text1"/>
          <w:sz w:val="18"/>
          <w:szCs w:val="18"/>
        </w:rPr>
        <w:t>t</w:t>
      </w:r>
      <w:r w:rsidRPr="003B5EA4">
        <w:rPr>
          <w:bCs/>
          <w:color w:val="000000" w:themeColor="text1"/>
          <w:sz w:val="18"/>
          <w:szCs w:val="18"/>
        </w:rPr>
        <w:t>arif le moins cher dans le cas des voyages pour raisons médicales, de sûreté et de sécurité, au titre des études</w:t>
      </w:r>
      <w:r>
        <w:rPr>
          <w:bCs/>
          <w:color w:val="000000" w:themeColor="text1"/>
          <w:sz w:val="18"/>
          <w:szCs w:val="18"/>
        </w:rPr>
        <w:t> ;</w:t>
      </w:r>
      <w:r w:rsidRPr="003B5EA4">
        <w:rPr>
          <w:bCs/>
          <w:color w:val="000000" w:themeColor="text1"/>
          <w:sz w:val="18"/>
          <w:szCs w:val="18"/>
        </w:rPr>
        <w:t xml:space="preserve"> une classe supérieure peut être utilisée par le Directeur général.</w:t>
      </w:r>
    </w:p>
    <w:p w:rsidR="00E31EA3" w:rsidRPr="003B5EA4" w:rsidRDefault="00E31EA3" w:rsidP="00E31EA3">
      <w:pPr>
        <w:ind w:left="284" w:right="284" w:firstLine="170"/>
        <w:rPr>
          <w:bCs/>
          <w:color w:val="000000" w:themeColor="text1"/>
          <w:sz w:val="18"/>
          <w:szCs w:val="18"/>
        </w:rPr>
      </w:pPr>
      <w:r w:rsidRPr="003B5EA4">
        <w:rPr>
          <w:bCs/>
          <w:color w:val="000000" w:themeColor="text1"/>
          <w:sz w:val="18"/>
          <w:szCs w:val="18"/>
        </w:rPr>
        <w:lastRenderedPageBreak/>
        <w:t>FNUAP</w:t>
      </w:r>
      <w:r>
        <w:rPr>
          <w:bCs/>
          <w:color w:val="000000" w:themeColor="text1"/>
          <w:sz w:val="18"/>
          <w:szCs w:val="18"/>
        </w:rPr>
        <w:t> : p</w:t>
      </w:r>
      <w:r w:rsidRPr="003B5EA4">
        <w:rPr>
          <w:bCs/>
          <w:color w:val="000000" w:themeColor="text1"/>
          <w:sz w:val="18"/>
          <w:szCs w:val="18"/>
        </w:rPr>
        <w:t>our le Directeur exécutif, classe affaires quelle que soit la durée du voyage ; pour les directeurs exécutifs adjoints</w:t>
      </w:r>
      <w:r w:rsidR="000F086A">
        <w:rPr>
          <w:bCs/>
          <w:color w:val="000000" w:themeColor="text1"/>
          <w:sz w:val="18"/>
          <w:szCs w:val="18"/>
        </w:rPr>
        <w:t> </w:t>
      </w:r>
      <w:r w:rsidRPr="003B5EA4">
        <w:rPr>
          <w:bCs/>
          <w:color w:val="000000" w:themeColor="text1"/>
          <w:sz w:val="18"/>
          <w:szCs w:val="18"/>
        </w:rPr>
        <w:t>: classe affaires dans le cas des vols intercontinentaux quelle qu</w:t>
      </w:r>
      <w:r w:rsidR="00762E0A">
        <w:rPr>
          <w:bCs/>
          <w:color w:val="000000" w:themeColor="text1"/>
          <w:sz w:val="18"/>
          <w:szCs w:val="18"/>
        </w:rPr>
        <w:t>’</w:t>
      </w:r>
      <w:r w:rsidRPr="003B5EA4">
        <w:rPr>
          <w:bCs/>
          <w:color w:val="000000" w:themeColor="text1"/>
          <w:sz w:val="18"/>
          <w:szCs w:val="18"/>
        </w:rPr>
        <w:t>en soit la durée ; pour les vols au sein du même continent, classe affaires pour les voyages à partir de 4 heures et classe économique pour ceux de moins de 4 heures.</w:t>
      </w:r>
    </w:p>
    <w:p w:rsidR="000F086A" w:rsidRDefault="00E31EA3" w:rsidP="000777E3">
      <w:pPr>
        <w:ind w:left="284" w:right="284" w:firstLine="170"/>
        <w:rPr>
          <w:bCs/>
          <w:color w:val="000000" w:themeColor="text1"/>
          <w:sz w:val="18"/>
          <w:szCs w:val="18"/>
        </w:rPr>
      </w:pPr>
      <w:r w:rsidRPr="003B5EA4">
        <w:rPr>
          <w:color w:val="000000" w:themeColor="text1"/>
          <w:sz w:val="18"/>
          <w:szCs w:val="18"/>
        </w:rPr>
        <w:t>HCR</w:t>
      </w:r>
      <w:r>
        <w:rPr>
          <w:color w:val="000000" w:themeColor="text1"/>
          <w:sz w:val="18"/>
          <w:szCs w:val="18"/>
        </w:rPr>
        <w:t> : p</w:t>
      </w:r>
      <w:r w:rsidRPr="003B5EA4">
        <w:rPr>
          <w:bCs/>
          <w:color w:val="000000" w:themeColor="text1"/>
          <w:sz w:val="18"/>
          <w:szCs w:val="18"/>
        </w:rPr>
        <w:t>as de politique établie pour les catégories suivantes : voyage au titre des études, évacuation, raisons médicales de sûreté et de sécurité, formation et perfectionnement.</w:t>
      </w:r>
    </w:p>
    <w:p w:rsidR="000B68CE" w:rsidRPr="003B5EA4" w:rsidRDefault="000B68CE" w:rsidP="000777E3">
      <w:pPr>
        <w:ind w:left="284" w:right="284" w:firstLine="170"/>
        <w:rPr>
          <w:bCs/>
          <w:color w:val="000000" w:themeColor="text1"/>
          <w:sz w:val="18"/>
          <w:szCs w:val="18"/>
        </w:rPr>
      </w:pPr>
      <w:r w:rsidRPr="003B5EA4">
        <w:rPr>
          <w:bCs/>
          <w:color w:val="000000" w:themeColor="text1"/>
          <w:sz w:val="18"/>
          <w:szCs w:val="18"/>
        </w:rPr>
        <w:t>OMI</w:t>
      </w:r>
      <w:r w:rsidR="00D951FA">
        <w:rPr>
          <w:bCs/>
          <w:color w:val="000000" w:themeColor="text1"/>
          <w:sz w:val="18"/>
          <w:szCs w:val="18"/>
        </w:rPr>
        <w:t> : p</w:t>
      </w:r>
      <w:r w:rsidRPr="003B5EA4">
        <w:rPr>
          <w:bCs/>
          <w:color w:val="000000" w:themeColor="text1"/>
          <w:sz w:val="18"/>
          <w:szCs w:val="18"/>
        </w:rPr>
        <w:t>as de politique établie pour les évacuations, les voyages pour raisons médicale</w:t>
      </w:r>
      <w:r w:rsidR="000F086A">
        <w:rPr>
          <w:bCs/>
          <w:color w:val="000000" w:themeColor="text1"/>
          <w:sz w:val="18"/>
          <w:szCs w:val="18"/>
        </w:rPr>
        <w:t>s</w:t>
      </w:r>
      <w:r w:rsidRPr="003B5EA4">
        <w:rPr>
          <w:bCs/>
          <w:color w:val="000000" w:themeColor="text1"/>
          <w:sz w:val="18"/>
          <w:szCs w:val="18"/>
        </w:rPr>
        <w:t>, de sûreté et de sécurité, de ces</w:t>
      </w:r>
      <w:r w:rsidR="00D255FB" w:rsidRPr="003B5EA4">
        <w:rPr>
          <w:bCs/>
          <w:color w:val="000000" w:themeColor="text1"/>
          <w:sz w:val="18"/>
          <w:szCs w:val="18"/>
        </w:rPr>
        <w:t>sation de service.</w:t>
      </w:r>
    </w:p>
    <w:p w:rsidR="00B4711B" w:rsidRPr="003B5EA4" w:rsidRDefault="00B4711B" w:rsidP="00B4711B">
      <w:pPr>
        <w:ind w:left="284" w:right="284" w:firstLine="170"/>
        <w:rPr>
          <w:sz w:val="18"/>
          <w:szCs w:val="18"/>
        </w:rPr>
      </w:pPr>
      <w:r w:rsidRPr="003B5EA4">
        <w:rPr>
          <w:bCs/>
          <w:color w:val="000000" w:themeColor="text1"/>
          <w:sz w:val="18"/>
          <w:szCs w:val="18"/>
        </w:rPr>
        <w:t>OMM</w:t>
      </w:r>
      <w:r>
        <w:rPr>
          <w:bCs/>
          <w:color w:val="000000" w:themeColor="text1"/>
          <w:sz w:val="18"/>
          <w:szCs w:val="18"/>
        </w:rPr>
        <w:t> : l</w:t>
      </w:r>
      <w:r w:rsidRPr="003B5EA4">
        <w:rPr>
          <w:bCs/>
          <w:color w:val="000000" w:themeColor="text1"/>
          <w:sz w:val="18"/>
          <w:szCs w:val="18"/>
        </w:rPr>
        <w:t>e Secrétaire général est le seul membre du personnel de l</w:t>
      </w:r>
      <w:r w:rsidR="00762E0A">
        <w:rPr>
          <w:bCs/>
          <w:color w:val="000000" w:themeColor="text1"/>
          <w:sz w:val="18"/>
          <w:szCs w:val="18"/>
        </w:rPr>
        <w:t>’</w:t>
      </w:r>
      <w:r w:rsidRPr="003B5EA4">
        <w:rPr>
          <w:bCs/>
          <w:color w:val="000000" w:themeColor="text1"/>
          <w:sz w:val="18"/>
          <w:szCs w:val="18"/>
        </w:rPr>
        <w:t>OMS tombant sous cette catégorie</w:t>
      </w:r>
      <w:r>
        <w:rPr>
          <w:bCs/>
          <w:color w:val="000000" w:themeColor="text1"/>
          <w:sz w:val="18"/>
          <w:szCs w:val="18"/>
        </w:rPr>
        <w:t> ;</w:t>
      </w:r>
      <w:r w:rsidRPr="003B5EA4">
        <w:rPr>
          <w:bCs/>
          <w:color w:val="000000" w:themeColor="text1"/>
          <w:sz w:val="18"/>
          <w:szCs w:val="18"/>
        </w:rPr>
        <w:t xml:space="preserve"> les autres font partie de la catégorie « tout autre membre du personnel ».</w:t>
      </w:r>
    </w:p>
    <w:p w:rsidR="00B4711B" w:rsidRPr="003B5EA4" w:rsidRDefault="00B4711B" w:rsidP="00B4711B">
      <w:pPr>
        <w:ind w:left="284" w:right="284" w:firstLine="170"/>
        <w:rPr>
          <w:bCs/>
          <w:color w:val="000000" w:themeColor="text1"/>
          <w:sz w:val="18"/>
          <w:szCs w:val="18"/>
        </w:rPr>
      </w:pPr>
      <w:r w:rsidRPr="003B5EA4">
        <w:rPr>
          <w:bCs/>
          <w:color w:val="000000" w:themeColor="text1"/>
          <w:sz w:val="18"/>
          <w:szCs w:val="18"/>
        </w:rPr>
        <w:t>OMS</w:t>
      </w:r>
      <w:r>
        <w:rPr>
          <w:bCs/>
          <w:color w:val="000000" w:themeColor="text1"/>
          <w:sz w:val="18"/>
          <w:szCs w:val="18"/>
        </w:rPr>
        <w:t> : p</w:t>
      </w:r>
      <w:r w:rsidRPr="003B5EA4">
        <w:rPr>
          <w:bCs/>
          <w:color w:val="000000" w:themeColor="text1"/>
          <w:sz w:val="18"/>
          <w:szCs w:val="18"/>
        </w:rPr>
        <w:t>as de politique établie pour les évacuations et les voyages pour raisons médicale</w:t>
      </w:r>
      <w:r w:rsidR="000F086A">
        <w:rPr>
          <w:bCs/>
          <w:color w:val="000000" w:themeColor="text1"/>
          <w:sz w:val="18"/>
          <w:szCs w:val="18"/>
        </w:rPr>
        <w:t>s</w:t>
      </w:r>
      <w:r w:rsidRPr="003B5EA4">
        <w:rPr>
          <w:bCs/>
          <w:color w:val="000000" w:themeColor="text1"/>
          <w:sz w:val="18"/>
          <w:szCs w:val="18"/>
        </w:rPr>
        <w:t>, de sûreté et de sécurité, ou de formation et perfectionnement.</w:t>
      </w:r>
    </w:p>
    <w:p w:rsidR="00B4711B" w:rsidRPr="003B5EA4" w:rsidRDefault="00B4711B" w:rsidP="00B4711B">
      <w:pPr>
        <w:ind w:left="284" w:right="284" w:firstLine="170"/>
        <w:rPr>
          <w:bCs/>
          <w:color w:val="000000" w:themeColor="text1"/>
          <w:sz w:val="18"/>
          <w:szCs w:val="18"/>
        </w:rPr>
      </w:pPr>
      <w:r w:rsidRPr="003B5EA4">
        <w:rPr>
          <w:color w:val="000000" w:themeColor="text1"/>
          <w:sz w:val="18"/>
          <w:szCs w:val="18"/>
        </w:rPr>
        <w:t>OMT</w:t>
      </w:r>
      <w:r>
        <w:rPr>
          <w:color w:val="000000" w:themeColor="text1"/>
          <w:sz w:val="18"/>
          <w:szCs w:val="18"/>
        </w:rPr>
        <w:t> : p</w:t>
      </w:r>
      <w:r w:rsidRPr="003B5EA4">
        <w:rPr>
          <w:bCs/>
          <w:color w:val="000000" w:themeColor="text1"/>
          <w:sz w:val="18"/>
          <w:szCs w:val="18"/>
        </w:rPr>
        <w:t xml:space="preserve">as de politique établie pour les évacuations et les voyages pour raisons médicales, de sûreté et de sécurité. </w:t>
      </w:r>
    </w:p>
    <w:p w:rsidR="00E31EA3" w:rsidRPr="003B5EA4" w:rsidRDefault="00E31EA3" w:rsidP="00E31EA3">
      <w:pPr>
        <w:ind w:left="284" w:right="284" w:firstLine="170"/>
        <w:rPr>
          <w:bCs/>
          <w:color w:val="000000" w:themeColor="text1"/>
          <w:sz w:val="18"/>
          <w:szCs w:val="18"/>
        </w:rPr>
      </w:pPr>
      <w:r w:rsidRPr="003B5EA4">
        <w:rPr>
          <w:color w:val="000000" w:themeColor="text1"/>
          <w:sz w:val="18"/>
          <w:szCs w:val="18"/>
        </w:rPr>
        <w:t>ONU-Femmes</w:t>
      </w:r>
      <w:r>
        <w:rPr>
          <w:color w:val="000000" w:themeColor="text1"/>
          <w:sz w:val="18"/>
          <w:szCs w:val="18"/>
        </w:rPr>
        <w:t> : p</w:t>
      </w:r>
      <w:r w:rsidRPr="003B5EA4">
        <w:rPr>
          <w:bCs/>
          <w:color w:val="000000" w:themeColor="text1"/>
          <w:sz w:val="18"/>
          <w:szCs w:val="18"/>
        </w:rPr>
        <w:t>as de politique établie pour les voyages de réaffectation ou de formation et de perfectionnement</w:t>
      </w:r>
      <w:r>
        <w:rPr>
          <w:bCs/>
          <w:color w:val="000000" w:themeColor="text1"/>
          <w:sz w:val="18"/>
          <w:szCs w:val="18"/>
        </w:rPr>
        <w:t> ;</w:t>
      </w:r>
      <w:r w:rsidRPr="003B5EA4">
        <w:rPr>
          <w:bCs/>
          <w:color w:val="000000" w:themeColor="text1"/>
          <w:sz w:val="18"/>
          <w:szCs w:val="18"/>
        </w:rPr>
        <w:t xml:space="preserve"> les évacuations sont gérées par les bureaux de pays du PNUD.</w:t>
      </w:r>
    </w:p>
    <w:p w:rsidR="000B68CE" w:rsidRPr="003B5EA4" w:rsidRDefault="000B68CE" w:rsidP="000777E3">
      <w:pPr>
        <w:ind w:left="284" w:right="284" w:firstLine="170"/>
        <w:rPr>
          <w:bCs/>
          <w:color w:val="000000" w:themeColor="text1"/>
          <w:sz w:val="18"/>
          <w:szCs w:val="18"/>
        </w:rPr>
      </w:pPr>
      <w:r w:rsidRPr="003B5EA4">
        <w:rPr>
          <w:bCs/>
          <w:color w:val="000000" w:themeColor="text1"/>
          <w:sz w:val="18"/>
          <w:szCs w:val="18"/>
        </w:rPr>
        <w:t>ONUSIDA</w:t>
      </w:r>
      <w:r w:rsidR="00D951FA">
        <w:rPr>
          <w:bCs/>
          <w:color w:val="000000" w:themeColor="text1"/>
          <w:sz w:val="18"/>
          <w:szCs w:val="18"/>
        </w:rPr>
        <w:t> : p</w:t>
      </w:r>
      <w:r w:rsidRPr="003B5EA4">
        <w:rPr>
          <w:bCs/>
          <w:color w:val="000000" w:themeColor="text1"/>
          <w:sz w:val="18"/>
          <w:szCs w:val="18"/>
        </w:rPr>
        <w:t>our les évacuations, les voyages pour raisons médicales, de sûreté et de sécurité, un surclassement en classe affaires peut être recommandé par les services médicaux de l</w:t>
      </w:r>
      <w:r w:rsidR="00762E0A">
        <w:rPr>
          <w:bCs/>
          <w:color w:val="000000" w:themeColor="text1"/>
          <w:sz w:val="18"/>
          <w:szCs w:val="18"/>
        </w:rPr>
        <w:t>’</w:t>
      </w:r>
      <w:r w:rsidRPr="003B5EA4">
        <w:rPr>
          <w:bCs/>
          <w:color w:val="000000" w:themeColor="text1"/>
          <w:sz w:val="18"/>
          <w:szCs w:val="18"/>
        </w:rPr>
        <w:t>OMS pour des raisons de santé.</w:t>
      </w:r>
    </w:p>
    <w:p w:rsidR="00B4711B" w:rsidRPr="003B5EA4" w:rsidRDefault="00B4711B" w:rsidP="00B4711B">
      <w:pPr>
        <w:ind w:left="284" w:right="284" w:firstLine="170"/>
        <w:rPr>
          <w:rFonts w:eastAsiaTheme="minorEastAsia"/>
          <w:color w:val="000000" w:themeColor="text1"/>
          <w:sz w:val="18"/>
          <w:szCs w:val="18"/>
          <w:lang w:eastAsia="zh-CN"/>
        </w:rPr>
      </w:pPr>
      <w:r w:rsidRPr="003B5EA4">
        <w:rPr>
          <w:rFonts w:eastAsiaTheme="minorEastAsia"/>
          <w:color w:val="000000" w:themeColor="text1"/>
          <w:sz w:val="18"/>
          <w:szCs w:val="18"/>
          <w:lang w:eastAsia="zh-CN"/>
        </w:rPr>
        <w:t>PAM</w:t>
      </w:r>
      <w:r>
        <w:rPr>
          <w:rFonts w:eastAsiaTheme="minorEastAsia"/>
          <w:color w:val="000000" w:themeColor="text1"/>
          <w:sz w:val="18"/>
          <w:szCs w:val="18"/>
          <w:lang w:eastAsia="zh-CN"/>
        </w:rPr>
        <w:t> :</w:t>
      </w:r>
      <w:r w:rsidRPr="003B5EA4">
        <w:rPr>
          <w:rFonts w:eastAsiaTheme="minorEastAsia"/>
          <w:color w:val="000000" w:themeColor="text1"/>
          <w:sz w:val="18"/>
          <w:szCs w:val="18"/>
          <w:lang w:eastAsia="zh-CN"/>
        </w:rPr>
        <w:t xml:space="preserve"> </w:t>
      </w:r>
      <w:r>
        <w:rPr>
          <w:rFonts w:eastAsiaTheme="minorEastAsia"/>
          <w:color w:val="000000" w:themeColor="text1"/>
          <w:sz w:val="18"/>
          <w:szCs w:val="18"/>
          <w:lang w:eastAsia="zh-CN"/>
        </w:rPr>
        <w:t>l</w:t>
      </w:r>
      <w:r w:rsidRPr="003B5EA4">
        <w:rPr>
          <w:bCs/>
          <w:color w:val="000000" w:themeColor="text1"/>
          <w:sz w:val="18"/>
          <w:szCs w:val="18"/>
        </w:rPr>
        <w:t>e voyage pour raisons médicales</w:t>
      </w:r>
      <w:r w:rsidRPr="003B5EA4">
        <w:rPr>
          <w:bCs/>
          <w:sz w:val="18"/>
          <w:szCs w:val="18"/>
        </w:rPr>
        <w:t xml:space="preserve"> </w:t>
      </w:r>
      <w:r w:rsidRPr="003B5EA4">
        <w:rPr>
          <w:rFonts w:eastAsiaTheme="minorEastAsia"/>
          <w:color w:val="000000" w:themeColor="text1"/>
          <w:sz w:val="18"/>
          <w:szCs w:val="18"/>
          <w:lang w:eastAsia="zh-CN"/>
        </w:rPr>
        <w:t xml:space="preserve">peut se faire en classe affaires quelle que soit sa durée, si certifié par le service médical. </w:t>
      </w:r>
    </w:p>
    <w:p w:rsidR="000B68CE" w:rsidRPr="003B5EA4" w:rsidRDefault="000B68CE" w:rsidP="000777E3">
      <w:pPr>
        <w:ind w:left="284" w:right="284" w:firstLine="170"/>
        <w:rPr>
          <w:bCs/>
          <w:color w:val="000000" w:themeColor="text1"/>
          <w:sz w:val="18"/>
          <w:szCs w:val="18"/>
        </w:rPr>
      </w:pPr>
      <w:r w:rsidRPr="003B5EA4">
        <w:rPr>
          <w:bCs/>
          <w:color w:val="000000" w:themeColor="text1"/>
          <w:sz w:val="18"/>
          <w:szCs w:val="18"/>
        </w:rPr>
        <w:t>PNUD</w:t>
      </w:r>
      <w:r w:rsidR="00D951FA">
        <w:rPr>
          <w:bCs/>
          <w:color w:val="000000" w:themeColor="text1"/>
          <w:sz w:val="18"/>
          <w:szCs w:val="18"/>
        </w:rPr>
        <w:t> : s</w:t>
      </w:r>
      <w:r w:rsidRPr="003B5EA4">
        <w:rPr>
          <w:bCs/>
          <w:color w:val="000000" w:themeColor="text1"/>
          <w:sz w:val="18"/>
          <w:szCs w:val="18"/>
        </w:rPr>
        <w:t>omme forfaitaire à 75 % pour tous les voyages statutaires.</w:t>
      </w:r>
    </w:p>
    <w:p w:rsidR="00E31EA3" w:rsidRPr="003B5EA4" w:rsidRDefault="00E31EA3" w:rsidP="00E31EA3">
      <w:pPr>
        <w:ind w:left="284" w:right="284" w:firstLine="170"/>
        <w:rPr>
          <w:i/>
          <w:color w:val="000000" w:themeColor="text1"/>
          <w:sz w:val="18"/>
          <w:szCs w:val="18"/>
        </w:rPr>
      </w:pPr>
      <w:r w:rsidRPr="003B5EA4">
        <w:rPr>
          <w:rFonts w:eastAsiaTheme="minorEastAsia"/>
          <w:color w:val="000000" w:themeColor="text1"/>
          <w:sz w:val="18"/>
          <w:szCs w:val="18"/>
          <w:lang w:eastAsia="zh-CN"/>
        </w:rPr>
        <w:t>UIT</w:t>
      </w:r>
      <w:r>
        <w:rPr>
          <w:rFonts w:eastAsiaTheme="minorEastAsia"/>
          <w:color w:val="000000" w:themeColor="text1"/>
          <w:sz w:val="18"/>
          <w:szCs w:val="18"/>
          <w:lang w:eastAsia="zh-CN"/>
        </w:rPr>
        <w:t> : d</w:t>
      </w:r>
      <w:r w:rsidRPr="003B5EA4">
        <w:rPr>
          <w:rFonts w:eastAsiaTheme="minorEastAsia"/>
          <w:color w:val="000000" w:themeColor="text1"/>
          <w:sz w:val="18"/>
          <w:szCs w:val="18"/>
          <w:lang w:eastAsia="zh-CN"/>
        </w:rPr>
        <w:t>roit à la première classe, mais classe affaires utilisée</w:t>
      </w:r>
      <w:r>
        <w:rPr>
          <w:rFonts w:eastAsiaTheme="minorEastAsia"/>
          <w:color w:val="000000" w:themeColor="text1"/>
          <w:sz w:val="18"/>
          <w:szCs w:val="18"/>
          <w:lang w:eastAsia="zh-CN"/>
        </w:rPr>
        <w:t> ;</w:t>
      </w:r>
      <w:r w:rsidRPr="003B5EA4">
        <w:rPr>
          <w:rFonts w:eastAsiaTheme="minorEastAsia"/>
          <w:color w:val="000000" w:themeColor="text1"/>
          <w:sz w:val="18"/>
          <w:szCs w:val="18"/>
          <w:lang w:eastAsia="zh-CN"/>
        </w:rPr>
        <w:t xml:space="preserve"> somme forfaitaire à 80 % d</w:t>
      </w:r>
      <w:r w:rsidR="00762E0A">
        <w:rPr>
          <w:rFonts w:eastAsiaTheme="minorEastAsia"/>
          <w:color w:val="000000" w:themeColor="text1"/>
          <w:sz w:val="18"/>
          <w:szCs w:val="18"/>
          <w:lang w:eastAsia="zh-CN"/>
        </w:rPr>
        <w:t>’</w:t>
      </w:r>
      <w:r w:rsidRPr="003B5EA4">
        <w:rPr>
          <w:rFonts w:eastAsiaTheme="minorEastAsia"/>
          <w:color w:val="000000" w:themeColor="text1"/>
          <w:sz w:val="18"/>
          <w:szCs w:val="18"/>
          <w:lang w:eastAsia="zh-CN"/>
        </w:rPr>
        <w:t>un billet aller retour en classe économique</w:t>
      </w:r>
      <w:r>
        <w:rPr>
          <w:rFonts w:eastAsiaTheme="minorEastAsia"/>
          <w:color w:val="000000" w:themeColor="text1"/>
          <w:sz w:val="18"/>
          <w:szCs w:val="18"/>
          <w:lang w:eastAsia="zh-CN"/>
        </w:rPr>
        <w:t> ;</w:t>
      </w:r>
      <w:r w:rsidRPr="003B5EA4">
        <w:rPr>
          <w:rFonts w:eastAsiaTheme="minorEastAsia"/>
          <w:color w:val="000000" w:themeColor="text1"/>
          <w:sz w:val="18"/>
          <w:szCs w:val="18"/>
          <w:lang w:eastAsia="zh-CN"/>
        </w:rPr>
        <w:t xml:space="preserve"> pas de politique établie pour les </w:t>
      </w:r>
      <w:r w:rsidRPr="003B5EA4">
        <w:rPr>
          <w:bCs/>
          <w:color w:val="000000" w:themeColor="text1"/>
          <w:sz w:val="18"/>
          <w:szCs w:val="18"/>
        </w:rPr>
        <w:t>voyages au titre des études, et pour raisons médicales et de sûreté et de sécurité.</w:t>
      </w:r>
    </w:p>
    <w:p w:rsidR="000B68CE" w:rsidRPr="003B5EA4" w:rsidRDefault="000B68CE" w:rsidP="000777E3">
      <w:pPr>
        <w:ind w:left="284" w:right="284" w:firstLine="170"/>
        <w:rPr>
          <w:bCs/>
          <w:sz w:val="18"/>
          <w:szCs w:val="18"/>
        </w:rPr>
      </w:pPr>
      <w:r w:rsidRPr="003B5EA4">
        <w:rPr>
          <w:bCs/>
          <w:sz w:val="18"/>
          <w:szCs w:val="18"/>
        </w:rPr>
        <w:t>UNRWA</w:t>
      </w:r>
      <w:r w:rsidR="00D951FA">
        <w:rPr>
          <w:bCs/>
          <w:sz w:val="18"/>
          <w:szCs w:val="18"/>
        </w:rPr>
        <w:t> : e</w:t>
      </w:r>
      <w:r w:rsidRPr="003B5EA4">
        <w:rPr>
          <w:bCs/>
          <w:sz w:val="18"/>
          <w:szCs w:val="18"/>
        </w:rPr>
        <w:t>n cas d</w:t>
      </w:r>
      <w:r w:rsidR="00762E0A">
        <w:rPr>
          <w:bCs/>
          <w:sz w:val="18"/>
          <w:szCs w:val="18"/>
        </w:rPr>
        <w:t>’</w:t>
      </w:r>
      <w:r w:rsidRPr="003B5EA4">
        <w:rPr>
          <w:bCs/>
          <w:sz w:val="18"/>
          <w:szCs w:val="18"/>
        </w:rPr>
        <w:t xml:space="preserve">évacuation, de </w:t>
      </w:r>
      <w:r w:rsidRPr="003B5EA4">
        <w:rPr>
          <w:bCs/>
          <w:color w:val="000000" w:themeColor="text1"/>
          <w:sz w:val="18"/>
          <w:szCs w:val="18"/>
        </w:rPr>
        <w:t>voyage pour raisons médicales, de sûreté et de sécurité</w:t>
      </w:r>
      <w:r w:rsidRPr="003B5EA4">
        <w:rPr>
          <w:bCs/>
          <w:sz w:val="18"/>
          <w:szCs w:val="18"/>
        </w:rPr>
        <w:t>, le Commissaire général ou son/sa délégué(e) peut autoriser la classe affaires si l</w:t>
      </w:r>
      <w:r w:rsidR="00762E0A">
        <w:rPr>
          <w:bCs/>
          <w:sz w:val="18"/>
          <w:szCs w:val="18"/>
        </w:rPr>
        <w:t>’</w:t>
      </w:r>
      <w:r w:rsidRPr="003B5EA4">
        <w:rPr>
          <w:bCs/>
          <w:sz w:val="18"/>
          <w:szCs w:val="18"/>
        </w:rPr>
        <w:t>état de santé du voyageur le nécessite.</w:t>
      </w:r>
    </w:p>
    <w:p w:rsidR="000B68CE" w:rsidRPr="003B5EA4" w:rsidRDefault="000B68CE" w:rsidP="008E78DD">
      <w:pPr>
        <w:ind w:left="284" w:right="284" w:firstLine="170"/>
        <w:rPr>
          <w:sz w:val="18"/>
          <w:szCs w:val="18"/>
        </w:rPr>
      </w:pPr>
      <w:r w:rsidRPr="003B5EA4">
        <w:rPr>
          <w:i/>
          <w:sz w:val="18"/>
          <w:szCs w:val="18"/>
        </w:rPr>
        <w:t>Abréviations</w:t>
      </w:r>
      <w:r w:rsidRPr="003B5EA4">
        <w:rPr>
          <w:sz w:val="18"/>
          <w:szCs w:val="18"/>
        </w:rPr>
        <w:t> : DE, Directeur exécutif</w:t>
      </w:r>
      <w:r w:rsidR="00533470" w:rsidRPr="003B5EA4">
        <w:rPr>
          <w:sz w:val="18"/>
          <w:szCs w:val="18"/>
        </w:rPr>
        <w:t> </w:t>
      </w:r>
      <w:r w:rsidRPr="003B5EA4">
        <w:rPr>
          <w:sz w:val="18"/>
          <w:szCs w:val="18"/>
        </w:rPr>
        <w:t>; DEA, Directeur exécutif adjoint</w:t>
      </w:r>
      <w:r w:rsidR="00533470" w:rsidRPr="003B5EA4">
        <w:rPr>
          <w:sz w:val="18"/>
          <w:szCs w:val="18"/>
        </w:rPr>
        <w:t> </w:t>
      </w:r>
      <w:r w:rsidRPr="003B5EA4">
        <w:rPr>
          <w:sz w:val="18"/>
          <w:szCs w:val="18"/>
        </w:rPr>
        <w:t>; DG, Directeur général</w:t>
      </w:r>
      <w:r w:rsidR="00533470" w:rsidRPr="003B5EA4">
        <w:rPr>
          <w:sz w:val="18"/>
          <w:szCs w:val="18"/>
        </w:rPr>
        <w:t> </w:t>
      </w:r>
      <w:r w:rsidRPr="003B5EA4">
        <w:rPr>
          <w:sz w:val="18"/>
          <w:szCs w:val="18"/>
        </w:rPr>
        <w:t>; DGA, Directeur général adjoint</w:t>
      </w:r>
      <w:r w:rsidR="00533470" w:rsidRPr="003B5EA4">
        <w:rPr>
          <w:sz w:val="18"/>
          <w:szCs w:val="18"/>
        </w:rPr>
        <w:t> </w:t>
      </w:r>
      <w:r w:rsidRPr="003B5EA4">
        <w:rPr>
          <w:sz w:val="18"/>
          <w:szCs w:val="18"/>
        </w:rPr>
        <w:t>; DR, Directeur régional</w:t>
      </w:r>
      <w:r w:rsidR="00533470" w:rsidRPr="003B5EA4">
        <w:rPr>
          <w:sz w:val="18"/>
          <w:szCs w:val="18"/>
        </w:rPr>
        <w:t> </w:t>
      </w:r>
      <w:r w:rsidRPr="003B5EA4">
        <w:rPr>
          <w:sz w:val="18"/>
          <w:szCs w:val="18"/>
        </w:rPr>
        <w:t>; PAG, Président de l</w:t>
      </w:r>
      <w:r w:rsidR="00762E0A">
        <w:rPr>
          <w:sz w:val="18"/>
          <w:szCs w:val="18"/>
        </w:rPr>
        <w:t>’</w:t>
      </w:r>
      <w:r w:rsidRPr="003B5EA4">
        <w:rPr>
          <w:sz w:val="18"/>
          <w:szCs w:val="18"/>
        </w:rPr>
        <w:t>Assemblée générale</w:t>
      </w:r>
      <w:r w:rsidR="00AD7E66" w:rsidRPr="003B5EA4">
        <w:rPr>
          <w:sz w:val="18"/>
          <w:szCs w:val="18"/>
        </w:rPr>
        <w:t> </w:t>
      </w:r>
      <w:r w:rsidRPr="003B5EA4">
        <w:rPr>
          <w:sz w:val="18"/>
          <w:szCs w:val="18"/>
        </w:rPr>
        <w:t>; SG, Secrétaire général</w:t>
      </w:r>
      <w:r w:rsidR="00AD7E66" w:rsidRPr="003B5EA4">
        <w:rPr>
          <w:sz w:val="18"/>
          <w:szCs w:val="18"/>
        </w:rPr>
        <w:t> </w:t>
      </w:r>
      <w:r w:rsidRPr="003B5EA4">
        <w:rPr>
          <w:sz w:val="18"/>
          <w:szCs w:val="18"/>
        </w:rPr>
        <w:t>; SGA, Secrétaire général adjoint</w:t>
      </w:r>
      <w:r w:rsidR="00AD7E66" w:rsidRPr="003B5EA4">
        <w:rPr>
          <w:sz w:val="18"/>
          <w:szCs w:val="18"/>
        </w:rPr>
        <w:t> </w:t>
      </w:r>
      <w:r w:rsidRPr="003B5EA4">
        <w:rPr>
          <w:sz w:val="18"/>
          <w:szCs w:val="18"/>
        </w:rPr>
        <w:t>; SSG, Sous-Secrétaire général</w:t>
      </w:r>
      <w:r w:rsidR="00AD7E66" w:rsidRPr="003B5EA4">
        <w:rPr>
          <w:sz w:val="18"/>
          <w:szCs w:val="18"/>
        </w:rPr>
        <w:t> </w:t>
      </w:r>
      <w:r w:rsidR="008E78DD" w:rsidRPr="003B5EA4">
        <w:rPr>
          <w:sz w:val="18"/>
          <w:szCs w:val="18"/>
        </w:rPr>
        <w:t>; VSG, Vice-Secrétaire général.</w:t>
      </w:r>
    </w:p>
    <w:p w:rsidR="000B68CE" w:rsidRPr="003B5EA4" w:rsidRDefault="000B68CE" w:rsidP="008E78DD">
      <w:pPr>
        <w:ind w:left="284" w:right="284" w:firstLine="170"/>
        <w:rPr>
          <w:sz w:val="18"/>
          <w:szCs w:val="18"/>
        </w:rPr>
      </w:pPr>
      <w:r w:rsidRPr="003B5EA4">
        <w:rPr>
          <w:i/>
          <w:sz w:val="18"/>
          <w:szCs w:val="18"/>
          <w:vertAlign w:val="superscript"/>
        </w:rPr>
        <w:t>a</w:t>
      </w:r>
      <w:r w:rsidR="00533470" w:rsidRPr="003B5EA4">
        <w:rPr>
          <w:sz w:val="18"/>
          <w:szCs w:val="18"/>
        </w:rPr>
        <w:t xml:space="preserve">  </w:t>
      </w:r>
      <w:r w:rsidRPr="003B5EA4">
        <w:rPr>
          <w:sz w:val="18"/>
          <w:szCs w:val="18"/>
        </w:rPr>
        <w:t xml:space="preserve">De plus, </w:t>
      </w:r>
      <w:r w:rsidRPr="003B5EA4">
        <w:rPr>
          <w:rFonts w:ascii="Times" w:hAnsi="Times"/>
          <w:sz w:val="18"/>
          <w:szCs w:val="18"/>
        </w:rPr>
        <w:t>un membre de l</w:t>
      </w:r>
      <w:r w:rsidR="00762E0A">
        <w:rPr>
          <w:rFonts w:ascii="Times" w:hAnsi="Times"/>
          <w:sz w:val="18"/>
          <w:szCs w:val="18"/>
        </w:rPr>
        <w:t>’</w:t>
      </w:r>
      <w:r w:rsidRPr="003B5EA4">
        <w:rPr>
          <w:rFonts w:ascii="Times" w:hAnsi="Times"/>
          <w:sz w:val="18"/>
          <w:szCs w:val="18"/>
        </w:rPr>
        <w:t>équipe de protection rapprochée du Secrétaire général et du Vice-Secrétaire général peut voyager dans la même classe que l</w:t>
      </w:r>
      <w:r w:rsidR="00762E0A">
        <w:rPr>
          <w:rFonts w:ascii="Times" w:hAnsi="Times"/>
          <w:sz w:val="18"/>
          <w:szCs w:val="18"/>
        </w:rPr>
        <w:t>’</w:t>
      </w:r>
      <w:r w:rsidRPr="003B5EA4">
        <w:rPr>
          <w:rFonts w:ascii="Times" w:hAnsi="Times"/>
          <w:sz w:val="18"/>
          <w:szCs w:val="18"/>
        </w:rPr>
        <w:t xml:space="preserve">intéressé </w:t>
      </w:r>
      <w:r w:rsidRPr="003B5EA4">
        <w:rPr>
          <w:sz w:val="18"/>
          <w:szCs w:val="18"/>
        </w:rPr>
        <w:t>conformément à l</w:t>
      </w:r>
      <w:r w:rsidR="00762E0A">
        <w:rPr>
          <w:sz w:val="18"/>
          <w:szCs w:val="18"/>
        </w:rPr>
        <w:t>’</w:t>
      </w:r>
      <w:r w:rsidRPr="003B5EA4">
        <w:rPr>
          <w:sz w:val="18"/>
          <w:szCs w:val="18"/>
        </w:rPr>
        <w:t>instruction administrative ST/AI/2013/3, par. 4.3 b).</w:t>
      </w:r>
    </w:p>
    <w:p w:rsidR="000B68CE" w:rsidRPr="003B5EA4" w:rsidRDefault="000B68CE" w:rsidP="008E78DD">
      <w:pPr>
        <w:ind w:left="284" w:right="284" w:firstLine="170"/>
        <w:rPr>
          <w:sz w:val="18"/>
          <w:szCs w:val="18"/>
        </w:rPr>
      </w:pPr>
      <w:r w:rsidRPr="003B5EA4">
        <w:rPr>
          <w:i/>
          <w:sz w:val="18"/>
          <w:szCs w:val="18"/>
          <w:vertAlign w:val="superscript"/>
        </w:rPr>
        <w:t>b</w:t>
      </w:r>
      <w:r w:rsidR="00AD7E66" w:rsidRPr="003B5EA4">
        <w:rPr>
          <w:sz w:val="18"/>
          <w:szCs w:val="18"/>
        </w:rPr>
        <w:t xml:space="preserve">  </w:t>
      </w:r>
      <w:r w:rsidRPr="003B5EA4">
        <w:rPr>
          <w:sz w:val="18"/>
          <w:szCs w:val="18"/>
        </w:rPr>
        <w:t>OIT</w:t>
      </w:r>
      <w:r w:rsidR="00505EB5">
        <w:rPr>
          <w:sz w:val="18"/>
          <w:szCs w:val="18"/>
        </w:rPr>
        <w:t> : l</w:t>
      </w:r>
      <w:r w:rsidRPr="003B5EA4">
        <w:rPr>
          <w:sz w:val="18"/>
          <w:szCs w:val="18"/>
        </w:rPr>
        <w:t>e Directeur général peut voyager en première classe si la classe</w:t>
      </w:r>
      <w:r w:rsidR="00BC54EA" w:rsidRPr="003B5EA4">
        <w:rPr>
          <w:sz w:val="18"/>
          <w:szCs w:val="18"/>
        </w:rPr>
        <w:t xml:space="preserve"> affaires n</w:t>
      </w:r>
      <w:r w:rsidR="00762E0A">
        <w:rPr>
          <w:sz w:val="18"/>
          <w:szCs w:val="18"/>
        </w:rPr>
        <w:t>’</w:t>
      </w:r>
      <w:r w:rsidR="00BC54EA" w:rsidRPr="003B5EA4">
        <w:rPr>
          <w:sz w:val="18"/>
          <w:szCs w:val="18"/>
        </w:rPr>
        <w:t>est pas disponible.</w:t>
      </w:r>
    </w:p>
    <w:p w:rsidR="000B68CE" w:rsidRPr="003B5EA4" w:rsidRDefault="000B68CE" w:rsidP="008E78DD">
      <w:pPr>
        <w:ind w:left="284" w:right="284" w:firstLine="170"/>
        <w:rPr>
          <w:sz w:val="18"/>
          <w:szCs w:val="18"/>
        </w:rPr>
      </w:pPr>
      <w:r w:rsidRPr="003B5EA4">
        <w:rPr>
          <w:i/>
          <w:sz w:val="18"/>
          <w:szCs w:val="18"/>
          <w:vertAlign w:val="superscript"/>
        </w:rPr>
        <w:t>c</w:t>
      </w:r>
      <w:r w:rsidR="00AD7E66" w:rsidRPr="003B5EA4">
        <w:rPr>
          <w:sz w:val="18"/>
          <w:szCs w:val="18"/>
        </w:rPr>
        <w:t xml:space="preserve">  </w:t>
      </w:r>
      <w:r w:rsidRPr="003B5EA4">
        <w:rPr>
          <w:sz w:val="18"/>
          <w:szCs w:val="18"/>
        </w:rPr>
        <w:t>AIEA</w:t>
      </w:r>
      <w:r w:rsidR="00505EB5">
        <w:rPr>
          <w:sz w:val="18"/>
          <w:szCs w:val="18"/>
        </w:rPr>
        <w:t> : s</w:t>
      </w:r>
      <w:r w:rsidRPr="003B5EA4">
        <w:rPr>
          <w:sz w:val="18"/>
          <w:szCs w:val="18"/>
        </w:rPr>
        <w:t>omme forfaitaire uniquement, en pourcentage du plein tarif le moins cher en classe économique po</w:t>
      </w:r>
      <w:r w:rsidR="006E03C2" w:rsidRPr="003B5EA4">
        <w:rPr>
          <w:sz w:val="18"/>
          <w:szCs w:val="18"/>
        </w:rPr>
        <w:t>ur l</w:t>
      </w:r>
      <w:r w:rsidR="00762E0A">
        <w:rPr>
          <w:sz w:val="18"/>
          <w:szCs w:val="18"/>
        </w:rPr>
        <w:t>’</w:t>
      </w:r>
      <w:r w:rsidR="006E03C2" w:rsidRPr="003B5EA4">
        <w:rPr>
          <w:sz w:val="18"/>
          <w:szCs w:val="18"/>
        </w:rPr>
        <w:t>itinéraire le plus direct.</w:t>
      </w:r>
    </w:p>
    <w:p w:rsidR="000B68CE" w:rsidRPr="003B5EA4" w:rsidRDefault="000B68CE" w:rsidP="008E78DD">
      <w:pPr>
        <w:ind w:left="284" w:right="284" w:firstLine="170"/>
        <w:rPr>
          <w:sz w:val="18"/>
          <w:szCs w:val="18"/>
        </w:rPr>
      </w:pPr>
      <w:r w:rsidRPr="003B5EA4">
        <w:rPr>
          <w:i/>
          <w:sz w:val="18"/>
          <w:szCs w:val="18"/>
          <w:vertAlign w:val="superscript"/>
        </w:rPr>
        <w:t>d</w:t>
      </w:r>
      <w:r w:rsidR="00AD7E66" w:rsidRPr="003B5EA4">
        <w:rPr>
          <w:sz w:val="18"/>
          <w:szCs w:val="18"/>
        </w:rPr>
        <w:t xml:space="preserve">  </w:t>
      </w:r>
      <w:r w:rsidRPr="003B5EA4">
        <w:rPr>
          <w:sz w:val="18"/>
          <w:szCs w:val="18"/>
        </w:rPr>
        <w:t>Somme forfaitaire : 75 % du tarif plein.</w:t>
      </w:r>
    </w:p>
    <w:p w:rsidR="000B68CE" w:rsidRPr="003B5EA4" w:rsidRDefault="000B68CE" w:rsidP="008E78DD">
      <w:pPr>
        <w:ind w:left="284" w:right="284" w:firstLine="170"/>
        <w:rPr>
          <w:sz w:val="18"/>
          <w:szCs w:val="18"/>
        </w:rPr>
      </w:pPr>
      <w:r w:rsidRPr="003B5EA4">
        <w:rPr>
          <w:i/>
          <w:sz w:val="18"/>
          <w:szCs w:val="18"/>
          <w:vertAlign w:val="superscript"/>
        </w:rPr>
        <w:t>e</w:t>
      </w:r>
      <w:r w:rsidR="00AD7E66" w:rsidRPr="003B5EA4">
        <w:rPr>
          <w:sz w:val="18"/>
          <w:szCs w:val="18"/>
        </w:rPr>
        <w:t xml:space="preserve">  </w:t>
      </w:r>
      <w:r w:rsidRPr="003B5EA4">
        <w:rPr>
          <w:sz w:val="18"/>
          <w:szCs w:val="18"/>
        </w:rPr>
        <w:t>Somme forfaitaire : 80 % du tarif plein.</w:t>
      </w:r>
    </w:p>
    <w:p w:rsidR="000B68CE" w:rsidRPr="003B5EA4" w:rsidRDefault="000B68CE" w:rsidP="00156A58">
      <w:pPr>
        <w:ind w:left="284" w:right="284" w:firstLine="170"/>
        <w:rPr>
          <w:sz w:val="18"/>
          <w:szCs w:val="18"/>
        </w:rPr>
      </w:pPr>
      <w:r w:rsidRPr="003B5EA4">
        <w:rPr>
          <w:i/>
          <w:sz w:val="18"/>
          <w:szCs w:val="18"/>
          <w:vertAlign w:val="superscript"/>
        </w:rPr>
        <w:t>f</w:t>
      </w:r>
      <w:r w:rsidR="00156A58" w:rsidRPr="003B5EA4">
        <w:rPr>
          <w:sz w:val="18"/>
          <w:szCs w:val="18"/>
        </w:rPr>
        <w:t xml:space="preserve">  </w:t>
      </w:r>
      <w:r w:rsidRPr="003B5EA4">
        <w:rPr>
          <w:sz w:val="18"/>
          <w:szCs w:val="18"/>
        </w:rPr>
        <w:t>Somme forfaitaire : tarif en classe économique</w:t>
      </w:r>
      <w:r w:rsidR="00BF0B8F">
        <w:rPr>
          <w:sz w:val="18"/>
          <w:szCs w:val="18"/>
        </w:rPr>
        <w:t> ;</w:t>
      </w:r>
      <w:r w:rsidRPr="003B5EA4">
        <w:rPr>
          <w:sz w:val="18"/>
          <w:szCs w:val="18"/>
        </w:rPr>
        <w:t xml:space="preserve"> si organisé par l</w:t>
      </w:r>
      <w:r w:rsidR="00762E0A">
        <w:rPr>
          <w:sz w:val="18"/>
          <w:szCs w:val="18"/>
        </w:rPr>
        <w:t>’</w:t>
      </w:r>
      <w:r w:rsidRPr="003B5EA4">
        <w:rPr>
          <w:sz w:val="18"/>
          <w:szCs w:val="18"/>
        </w:rPr>
        <w:t xml:space="preserve"> UNICEF : classe affaires quelle que soit la durée du vol.</w:t>
      </w:r>
    </w:p>
    <w:p w:rsidR="000B68CE" w:rsidRPr="003B5EA4" w:rsidRDefault="000B68CE" w:rsidP="00156A58">
      <w:pPr>
        <w:ind w:left="284" w:right="284" w:firstLine="170"/>
        <w:rPr>
          <w:rFonts w:eastAsiaTheme="minorEastAsia"/>
          <w:sz w:val="18"/>
          <w:szCs w:val="18"/>
          <w:lang w:eastAsia="zh-CN"/>
        </w:rPr>
      </w:pPr>
      <w:r w:rsidRPr="003B5EA4">
        <w:rPr>
          <w:i/>
          <w:sz w:val="18"/>
          <w:szCs w:val="18"/>
          <w:vertAlign w:val="superscript"/>
        </w:rPr>
        <w:t>g</w:t>
      </w:r>
      <w:r w:rsidR="00156A58" w:rsidRPr="003B5EA4">
        <w:rPr>
          <w:sz w:val="18"/>
          <w:szCs w:val="18"/>
        </w:rPr>
        <w:t xml:space="preserve">  </w:t>
      </w:r>
      <w:r w:rsidRPr="003B5EA4">
        <w:rPr>
          <w:sz w:val="18"/>
          <w:szCs w:val="18"/>
        </w:rPr>
        <w:t>Somme forfaitaire </w:t>
      </w:r>
      <w:r w:rsidRPr="003B5EA4">
        <w:rPr>
          <w:rFonts w:eastAsiaTheme="minorEastAsia"/>
          <w:sz w:val="18"/>
          <w:szCs w:val="18"/>
          <w:lang w:eastAsia="zh-CN"/>
        </w:rPr>
        <w:t>: 80</w:t>
      </w:r>
      <w:r w:rsidRPr="003B5EA4">
        <w:rPr>
          <w:sz w:val="18"/>
          <w:szCs w:val="18"/>
        </w:rPr>
        <w:t> % du tarif plein</w:t>
      </w:r>
      <w:r w:rsidRPr="003B5EA4">
        <w:rPr>
          <w:rFonts w:eastAsiaTheme="minorEastAsia"/>
          <w:sz w:val="18"/>
          <w:szCs w:val="18"/>
          <w:lang w:eastAsia="zh-CN"/>
        </w:rPr>
        <w:t xml:space="preserve"> en classe économique.</w:t>
      </w:r>
    </w:p>
    <w:p w:rsidR="005B331B" w:rsidRPr="003B5EA4" w:rsidRDefault="000B68CE" w:rsidP="006A1B3B">
      <w:pPr>
        <w:ind w:left="284" w:right="284" w:firstLine="170"/>
        <w:rPr>
          <w:sz w:val="18"/>
          <w:szCs w:val="18"/>
        </w:rPr>
      </w:pPr>
      <w:r w:rsidRPr="003B5EA4">
        <w:rPr>
          <w:rFonts w:eastAsiaTheme="minorEastAsia"/>
          <w:i/>
          <w:sz w:val="18"/>
          <w:szCs w:val="18"/>
          <w:vertAlign w:val="superscript"/>
          <w:lang w:eastAsia="zh-CN"/>
        </w:rPr>
        <w:t>h</w:t>
      </w:r>
      <w:r w:rsidR="00156A58" w:rsidRPr="003B5EA4">
        <w:rPr>
          <w:sz w:val="18"/>
          <w:szCs w:val="18"/>
        </w:rPr>
        <w:t xml:space="preserve">  </w:t>
      </w:r>
      <w:r w:rsidRPr="003B5EA4">
        <w:rPr>
          <w:sz w:val="18"/>
          <w:szCs w:val="18"/>
        </w:rPr>
        <w:t xml:space="preserve">Somme forfaitaire : 65 % du tarif plein </w:t>
      </w:r>
      <w:r w:rsidRPr="003B5EA4">
        <w:rPr>
          <w:rFonts w:eastAsiaTheme="minorEastAsia"/>
          <w:sz w:val="18"/>
          <w:szCs w:val="18"/>
          <w:lang w:eastAsia="zh-CN"/>
        </w:rPr>
        <w:t>en classe économique</w:t>
      </w:r>
      <w:r w:rsidRPr="003B5EA4">
        <w:rPr>
          <w:sz w:val="18"/>
          <w:szCs w:val="18"/>
        </w:rPr>
        <w:t>.</w:t>
      </w:r>
    </w:p>
    <w:p w:rsidR="000B68CE" w:rsidRPr="003B5EA4" w:rsidRDefault="005B331B" w:rsidP="00890A7B">
      <w:pPr>
        <w:pStyle w:val="HChG"/>
        <w:tabs>
          <w:tab w:val="left" w:pos="3080"/>
        </w:tabs>
      </w:pPr>
      <w:r w:rsidRPr="003B5EA4">
        <w:br w:type="page"/>
      </w:r>
      <w:r w:rsidRPr="003B5EA4">
        <w:lastRenderedPageBreak/>
        <w:t>Annexe</w:t>
      </w:r>
      <w:r w:rsidR="00890A7B" w:rsidRPr="003B5EA4">
        <w:t xml:space="preserve"> IV</w:t>
      </w:r>
    </w:p>
    <w:p w:rsidR="005B331B" w:rsidRPr="003B5EA4" w:rsidRDefault="005B331B" w:rsidP="005B331B">
      <w:pPr>
        <w:pStyle w:val="HChG"/>
      </w:pPr>
      <w:r w:rsidRPr="003B5EA4">
        <w:tab/>
      </w:r>
      <w:r w:rsidRPr="003B5EA4">
        <w:tab/>
        <w:t xml:space="preserve">Conditions de voyage en avion appliquées à tous les autres fonctionnaires </w:t>
      </w:r>
      <w:r w:rsidRPr="003B5EA4">
        <w:rPr>
          <w:bCs/>
          <w:color w:val="000000"/>
        </w:rPr>
        <w:t>(de rang D-2 ou inférieur)</w:t>
      </w:r>
      <w:r w:rsidRPr="003B5EA4">
        <w:rPr>
          <w:b w:val="0"/>
          <w:bCs/>
          <w:i/>
          <w:color w:val="000000"/>
          <w:sz w:val="18"/>
          <w:szCs w:val="18"/>
          <w:vertAlign w:val="superscript"/>
        </w:rPr>
        <w:t>a</w:t>
      </w:r>
      <w:r w:rsidRPr="003B5EA4">
        <w:rPr>
          <w:bCs/>
          <w:color w:val="000000"/>
        </w:rPr>
        <w:t xml:space="preserve"> </w:t>
      </w:r>
      <w:r w:rsidRPr="003B5EA4">
        <w:t>par l</w:t>
      </w:r>
      <w:r w:rsidR="00762E0A">
        <w:t>’</w:t>
      </w:r>
      <w:r w:rsidRPr="003B5EA4">
        <w:t>ONU, les fonds et programmes, les institutions spécialisées et l</w:t>
      </w:r>
      <w:r w:rsidR="00762E0A">
        <w:t>’</w:t>
      </w:r>
      <w:r w:rsidRPr="003B5EA4">
        <w:t xml:space="preserve">Agence internationale </w:t>
      </w:r>
      <w:r w:rsidRPr="003B5EA4">
        <w:br/>
        <w:t>de l</w:t>
      </w:r>
      <w:r w:rsidR="00762E0A">
        <w:t>’</w:t>
      </w:r>
      <w:r w:rsidRPr="003B5EA4">
        <w:t>énergie atomique</w:t>
      </w:r>
    </w:p>
    <w:tbl>
      <w:tblPr>
        <w:tblW w:w="13778" w:type="dxa"/>
        <w:tblInd w:w="284" w:type="dxa"/>
        <w:tblBorders>
          <w:top w:val="single" w:sz="4" w:space="0" w:color="auto"/>
        </w:tblBorders>
        <w:tblCellMar>
          <w:left w:w="0" w:type="dxa"/>
          <w:right w:w="0" w:type="dxa"/>
        </w:tblCellMar>
        <w:tblLook w:val="04A0" w:firstRow="1" w:lastRow="0" w:firstColumn="1" w:lastColumn="0" w:noHBand="0" w:noVBand="1"/>
      </w:tblPr>
      <w:tblGrid>
        <w:gridCol w:w="1984"/>
        <w:gridCol w:w="3828"/>
        <w:gridCol w:w="3355"/>
        <w:gridCol w:w="4611"/>
      </w:tblGrid>
      <w:tr w:rsidR="00890A7B" w:rsidRPr="003B5EA4" w:rsidTr="00160058">
        <w:trPr>
          <w:trHeight w:val="240"/>
          <w:tblHeader/>
        </w:trPr>
        <w:tc>
          <w:tcPr>
            <w:tcW w:w="1984" w:type="dxa"/>
            <w:tcBorders>
              <w:top w:val="single" w:sz="4" w:space="0" w:color="auto"/>
              <w:bottom w:val="single" w:sz="12" w:space="0" w:color="auto"/>
            </w:tcBorders>
            <w:shd w:val="clear" w:color="auto" w:fill="auto"/>
            <w:vAlign w:val="bottom"/>
          </w:tcPr>
          <w:p w:rsidR="00890A7B" w:rsidRPr="003B5EA4" w:rsidRDefault="00145214" w:rsidP="001F6974">
            <w:pPr>
              <w:suppressAutoHyphens w:val="0"/>
              <w:spacing w:before="80" w:after="80" w:line="200" w:lineRule="exact"/>
              <w:rPr>
                <w:i/>
                <w:sz w:val="16"/>
              </w:rPr>
            </w:pPr>
            <w:r w:rsidRPr="003B5EA4">
              <w:rPr>
                <w:bCs/>
                <w:i/>
                <w:sz w:val="16"/>
              </w:rPr>
              <w:t>Catégorie de voyage</w:t>
            </w:r>
          </w:p>
        </w:tc>
        <w:tc>
          <w:tcPr>
            <w:tcW w:w="3828" w:type="dxa"/>
            <w:tcBorders>
              <w:top w:val="single" w:sz="4" w:space="0" w:color="auto"/>
              <w:bottom w:val="single" w:sz="12" w:space="0" w:color="auto"/>
            </w:tcBorders>
            <w:shd w:val="clear" w:color="auto" w:fill="auto"/>
            <w:vAlign w:val="bottom"/>
          </w:tcPr>
          <w:p w:rsidR="00890A7B" w:rsidRPr="003B5EA4" w:rsidRDefault="00145214" w:rsidP="00145214">
            <w:pPr>
              <w:suppressAutoHyphens w:val="0"/>
              <w:spacing w:before="80" w:after="80" w:line="200" w:lineRule="exact"/>
              <w:rPr>
                <w:i/>
                <w:sz w:val="16"/>
              </w:rPr>
            </w:pPr>
            <w:r w:rsidRPr="003B5EA4">
              <w:rPr>
                <w:bCs/>
                <w:i/>
                <w:sz w:val="16"/>
              </w:rPr>
              <w:t>Classe affaires : 9 heures et plus</w:t>
            </w:r>
          </w:p>
        </w:tc>
        <w:tc>
          <w:tcPr>
            <w:tcW w:w="3355" w:type="dxa"/>
            <w:tcBorders>
              <w:top w:val="single" w:sz="4" w:space="0" w:color="auto"/>
              <w:bottom w:val="single" w:sz="12" w:space="0" w:color="auto"/>
            </w:tcBorders>
            <w:shd w:val="clear" w:color="auto" w:fill="auto"/>
            <w:vAlign w:val="bottom"/>
          </w:tcPr>
          <w:p w:rsidR="00890A7B" w:rsidRPr="003B5EA4" w:rsidRDefault="00145214" w:rsidP="001F6974">
            <w:pPr>
              <w:suppressAutoHyphens w:val="0"/>
              <w:spacing w:before="80" w:after="80" w:line="200" w:lineRule="exact"/>
              <w:rPr>
                <w:i/>
                <w:sz w:val="16"/>
              </w:rPr>
            </w:pPr>
            <w:r w:rsidRPr="003B5EA4">
              <w:rPr>
                <w:bCs/>
                <w:i/>
                <w:sz w:val="16"/>
              </w:rPr>
              <w:t>Classe économique quelle que soit la durée</w:t>
            </w:r>
          </w:p>
        </w:tc>
        <w:tc>
          <w:tcPr>
            <w:tcW w:w="4611" w:type="dxa"/>
            <w:tcBorders>
              <w:top w:val="single" w:sz="4" w:space="0" w:color="auto"/>
              <w:bottom w:val="single" w:sz="12" w:space="0" w:color="auto"/>
            </w:tcBorders>
            <w:shd w:val="clear" w:color="auto" w:fill="auto"/>
            <w:tcMar>
              <w:right w:w="0" w:type="dxa"/>
            </w:tcMar>
            <w:vAlign w:val="bottom"/>
          </w:tcPr>
          <w:p w:rsidR="00890A7B" w:rsidRPr="003B5EA4" w:rsidRDefault="00145214" w:rsidP="001F6974">
            <w:pPr>
              <w:suppressAutoHyphens w:val="0"/>
              <w:spacing w:before="80" w:after="80" w:line="200" w:lineRule="exact"/>
              <w:rPr>
                <w:i/>
                <w:sz w:val="16"/>
              </w:rPr>
            </w:pPr>
            <w:r w:rsidRPr="003B5EA4">
              <w:rPr>
                <w:bCs/>
                <w:i/>
                <w:sz w:val="16"/>
              </w:rPr>
              <w:t>Tous autres seuils</w:t>
            </w:r>
          </w:p>
        </w:tc>
      </w:tr>
      <w:tr w:rsidR="00890A7B" w:rsidRPr="003B5EA4" w:rsidTr="00160058">
        <w:trPr>
          <w:trHeight w:hRule="exact" w:val="113"/>
          <w:tblHeader/>
        </w:trPr>
        <w:tc>
          <w:tcPr>
            <w:tcW w:w="1984" w:type="dxa"/>
            <w:tcBorders>
              <w:top w:val="single" w:sz="12" w:space="0" w:color="auto"/>
              <w:bottom w:val="nil"/>
            </w:tcBorders>
            <w:shd w:val="clear" w:color="auto" w:fill="auto"/>
          </w:tcPr>
          <w:p w:rsidR="00890A7B" w:rsidRPr="003B5EA4" w:rsidRDefault="00890A7B" w:rsidP="001F6974">
            <w:pPr>
              <w:suppressAutoHyphens w:val="0"/>
              <w:spacing w:before="40" w:after="120"/>
            </w:pPr>
          </w:p>
        </w:tc>
        <w:tc>
          <w:tcPr>
            <w:tcW w:w="3828" w:type="dxa"/>
            <w:tcBorders>
              <w:top w:val="single" w:sz="12" w:space="0" w:color="auto"/>
              <w:bottom w:val="nil"/>
            </w:tcBorders>
            <w:shd w:val="clear" w:color="auto" w:fill="auto"/>
          </w:tcPr>
          <w:p w:rsidR="00890A7B" w:rsidRPr="003B5EA4" w:rsidRDefault="00890A7B" w:rsidP="001F6974">
            <w:pPr>
              <w:suppressAutoHyphens w:val="0"/>
              <w:spacing w:before="40" w:after="120"/>
            </w:pPr>
          </w:p>
        </w:tc>
        <w:tc>
          <w:tcPr>
            <w:tcW w:w="3355" w:type="dxa"/>
            <w:tcBorders>
              <w:top w:val="single" w:sz="12" w:space="0" w:color="auto"/>
              <w:bottom w:val="nil"/>
            </w:tcBorders>
            <w:shd w:val="clear" w:color="auto" w:fill="auto"/>
          </w:tcPr>
          <w:p w:rsidR="00890A7B" w:rsidRPr="003B5EA4" w:rsidRDefault="00890A7B" w:rsidP="001F6974">
            <w:pPr>
              <w:suppressAutoHyphens w:val="0"/>
              <w:spacing w:before="40" w:after="120"/>
            </w:pPr>
          </w:p>
        </w:tc>
        <w:tc>
          <w:tcPr>
            <w:tcW w:w="4611" w:type="dxa"/>
            <w:tcBorders>
              <w:top w:val="single" w:sz="12" w:space="0" w:color="auto"/>
              <w:bottom w:val="nil"/>
            </w:tcBorders>
            <w:shd w:val="clear" w:color="auto" w:fill="auto"/>
            <w:tcMar>
              <w:right w:w="0" w:type="dxa"/>
            </w:tcMar>
          </w:tcPr>
          <w:p w:rsidR="00890A7B" w:rsidRPr="003B5EA4" w:rsidRDefault="00890A7B" w:rsidP="001F6974">
            <w:pPr>
              <w:suppressAutoHyphens w:val="0"/>
              <w:spacing w:before="40" w:after="120"/>
            </w:pPr>
          </w:p>
        </w:tc>
      </w:tr>
      <w:tr w:rsidR="00890A7B" w:rsidRPr="003B5EA4" w:rsidTr="00160058">
        <w:trPr>
          <w:trHeight w:val="240"/>
        </w:trPr>
        <w:tc>
          <w:tcPr>
            <w:tcW w:w="1984" w:type="dxa"/>
            <w:tcBorders>
              <w:top w:val="nil"/>
            </w:tcBorders>
            <w:shd w:val="clear" w:color="auto" w:fill="auto"/>
          </w:tcPr>
          <w:p w:rsidR="00890A7B" w:rsidRPr="003B5EA4" w:rsidRDefault="00145214" w:rsidP="00216160">
            <w:pPr>
              <w:suppressAutoHyphens w:val="0"/>
              <w:spacing w:before="40" w:after="120"/>
              <w:ind w:right="113"/>
            </w:pPr>
            <w:r w:rsidRPr="003B5EA4">
              <w:rPr>
                <w:bCs/>
              </w:rPr>
              <w:t>Voyage officiel</w:t>
            </w:r>
          </w:p>
        </w:tc>
        <w:tc>
          <w:tcPr>
            <w:tcW w:w="3828" w:type="dxa"/>
            <w:tcBorders>
              <w:top w:val="nil"/>
            </w:tcBorders>
            <w:shd w:val="clear" w:color="auto" w:fill="auto"/>
          </w:tcPr>
          <w:p w:rsidR="00890A7B" w:rsidRPr="003B5EA4" w:rsidRDefault="00342CAB" w:rsidP="00216160">
            <w:pPr>
              <w:suppressAutoHyphens w:val="0"/>
              <w:spacing w:before="40" w:after="120"/>
              <w:ind w:right="113"/>
            </w:pPr>
            <w:r w:rsidRPr="003B5EA4">
              <w:t>CCI</w:t>
            </w:r>
            <w:r w:rsidRPr="003B5EA4">
              <w:rPr>
                <w:sz w:val="18"/>
                <w:szCs w:val="18"/>
              </w:rPr>
              <w:t>*</w:t>
            </w:r>
            <w:r w:rsidRPr="003B5EA4">
              <w:t xml:space="preserve">, FNUAP, HCR, </w:t>
            </w:r>
            <w:r w:rsidR="00F20F19" w:rsidRPr="003B5EA4">
              <w:t xml:space="preserve">OACI, OIT, </w:t>
            </w:r>
            <w:r w:rsidR="000F1C34" w:rsidRPr="003B5EA4">
              <w:t>OMM, OMPI, OMS,</w:t>
            </w:r>
            <w:r w:rsidR="009A2092" w:rsidRPr="003B5EA4">
              <w:t>OMT, ONU</w:t>
            </w:r>
            <w:r w:rsidR="009A2092" w:rsidRPr="003B5EA4">
              <w:rPr>
                <w:i/>
                <w:sz w:val="18"/>
                <w:szCs w:val="18"/>
                <w:vertAlign w:val="superscript"/>
              </w:rPr>
              <w:t>b</w:t>
            </w:r>
            <w:r w:rsidR="009A2092" w:rsidRPr="003B5EA4">
              <w:t xml:space="preserve">, </w:t>
            </w:r>
            <w:r w:rsidR="000F1C34" w:rsidRPr="003B5EA4">
              <w:t xml:space="preserve">ONU-Femmes, </w:t>
            </w:r>
            <w:r w:rsidR="009A2092" w:rsidRPr="003B5EA4">
              <w:t>ONUDC</w:t>
            </w:r>
            <w:r w:rsidR="009A2092" w:rsidRPr="003B5EA4">
              <w:rPr>
                <w:i/>
                <w:sz w:val="18"/>
                <w:szCs w:val="18"/>
                <w:vertAlign w:val="superscript"/>
              </w:rPr>
              <w:t>b</w:t>
            </w:r>
            <w:r w:rsidR="009A2092" w:rsidRPr="003B5EA4">
              <w:t xml:space="preserve">, ONUDI, </w:t>
            </w:r>
            <w:r w:rsidR="000F1C34" w:rsidRPr="003B5EA4">
              <w:t xml:space="preserve">PAM, </w:t>
            </w:r>
            <w:r w:rsidR="00F20F19" w:rsidRPr="003B5EA4">
              <w:t xml:space="preserve">PNUD, </w:t>
            </w:r>
            <w:r w:rsidR="009A2092" w:rsidRPr="003B5EA4">
              <w:t xml:space="preserve">UIT, </w:t>
            </w:r>
            <w:r w:rsidR="00F20F19" w:rsidRPr="003B5EA4">
              <w:t>UNICEF, UNOPS (sous</w:t>
            </w:r>
            <w:r w:rsidR="000F1C34" w:rsidRPr="003B5EA4">
              <w:t xml:space="preserve"> D-1) et UNRWA</w:t>
            </w:r>
          </w:p>
        </w:tc>
        <w:tc>
          <w:tcPr>
            <w:tcW w:w="3355" w:type="dxa"/>
            <w:tcBorders>
              <w:top w:val="nil"/>
            </w:tcBorders>
            <w:shd w:val="clear" w:color="auto" w:fill="auto"/>
          </w:tcPr>
          <w:p w:rsidR="00890A7B" w:rsidRPr="003B5EA4" w:rsidRDefault="00890A7B" w:rsidP="00216160">
            <w:pPr>
              <w:suppressAutoHyphens w:val="0"/>
              <w:spacing w:before="40" w:after="120"/>
              <w:ind w:right="113"/>
            </w:pPr>
            <w:r w:rsidRPr="003B5EA4">
              <w:t xml:space="preserve">UNESCO </w:t>
            </w:r>
            <w:r w:rsidR="00F20F19" w:rsidRPr="003B5EA4">
              <w:t>et</w:t>
            </w:r>
            <w:r w:rsidRPr="003B5EA4">
              <w:t xml:space="preserve"> UPU</w:t>
            </w:r>
          </w:p>
        </w:tc>
        <w:tc>
          <w:tcPr>
            <w:tcW w:w="4611" w:type="dxa"/>
            <w:tcBorders>
              <w:top w:val="nil"/>
            </w:tcBorders>
            <w:shd w:val="clear" w:color="auto" w:fill="auto"/>
            <w:tcMar>
              <w:right w:w="0" w:type="dxa"/>
            </w:tcMar>
          </w:tcPr>
          <w:p w:rsidR="00C37518" w:rsidRPr="003B5EA4" w:rsidRDefault="00C37518" w:rsidP="00C37518">
            <w:pPr>
              <w:suppressAutoHyphens w:val="0"/>
              <w:spacing w:before="40" w:after="120"/>
            </w:pPr>
            <w:r w:rsidRPr="003B5EA4">
              <w:t>AIEA (classe affaires à partir de 7 heures)</w:t>
            </w:r>
          </w:p>
          <w:p w:rsidR="00F20F19" w:rsidRPr="003B5EA4" w:rsidRDefault="00F20F19" w:rsidP="00F20F19">
            <w:pPr>
              <w:suppressAutoHyphens w:val="0"/>
              <w:spacing w:before="40" w:after="120"/>
            </w:pPr>
            <w:r w:rsidRPr="003B5EA4">
              <w:t xml:space="preserve">FAO (classe </w:t>
            </w:r>
            <w:r w:rsidR="00C37518" w:rsidRPr="003B5EA4">
              <w:t>affaires à partir de 12 heures)</w:t>
            </w:r>
          </w:p>
          <w:p w:rsidR="00F20F19" w:rsidRPr="003B5EA4" w:rsidRDefault="00F20F19" w:rsidP="00F20F19">
            <w:pPr>
              <w:suppressAutoHyphens w:val="0"/>
              <w:spacing w:before="40" w:after="120"/>
            </w:pPr>
            <w:r w:rsidRPr="003B5EA4">
              <w:t>OMI (classe affaires à partir de 7 heures)</w:t>
            </w:r>
          </w:p>
          <w:p w:rsidR="00C37518" w:rsidRPr="003B5EA4" w:rsidRDefault="00C37518" w:rsidP="00C37518">
            <w:pPr>
              <w:suppressAutoHyphens w:val="0"/>
              <w:spacing w:before="40" w:after="120"/>
            </w:pPr>
            <w:r w:rsidRPr="003B5EA4">
              <w:t>ONUDI (D-2, classe affaires quelle que soit la durée)</w:t>
            </w:r>
          </w:p>
          <w:p w:rsidR="00F20F19" w:rsidRPr="003B5EA4" w:rsidRDefault="00F20F19" w:rsidP="00F20F19">
            <w:pPr>
              <w:suppressAutoHyphens w:val="0"/>
              <w:spacing w:before="40" w:after="120"/>
            </w:pPr>
            <w:r w:rsidRPr="003B5EA4">
              <w:t>ONUSIDA (classe économique « premium » à partir de 12</w:t>
            </w:r>
            <w:r w:rsidR="00C37518" w:rsidRPr="003B5EA4">
              <w:t> </w:t>
            </w:r>
            <w:r w:rsidRPr="003B5EA4">
              <w:t>heures)</w:t>
            </w:r>
          </w:p>
          <w:p w:rsidR="00890A7B" w:rsidRPr="003B5EA4" w:rsidRDefault="00F20F19" w:rsidP="00F20F19">
            <w:pPr>
              <w:suppressAutoHyphens w:val="0"/>
              <w:spacing w:before="40" w:after="120"/>
            </w:pPr>
            <w:r w:rsidRPr="003B5EA4">
              <w:t>UNOPS (D-1 et D-2, classe affaires à partir de 8 heures)</w:t>
            </w:r>
          </w:p>
        </w:tc>
      </w:tr>
      <w:tr w:rsidR="00890A7B" w:rsidRPr="003B5EA4" w:rsidTr="00160058">
        <w:trPr>
          <w:trHeight w:val="240"/>
        </w:trPr>
        <w:tc>
          <w:tcPr>
            <w:tcW w:w="1984" w:type="dxa"/>
            <w:shd w:val="clear" w:color="auto" w:fill="auto"/>
          </w:tcPr>
          <w:p w:rsidR="00890A7B" w:rsidRPr="000608E6" w:rsidRDefault="00F20F19" w:rsidP="00216160">
            <w:pPr>
              <w:suppressAutoHyphens w:val="0"/>
              <w:spacing w:before="40" w:after="120"/>
              <w:ind w:right="113"/>
            </w:pPr>
            <w:r w:rsidRPr="000608E6">
              <w:rPr>
                <w:rFonts w:asciiTheme="majorBidi" w:hAnsiTheme="majorBidi" w:cstheme="majorBidi"/>
                <w:bCs/>
                <w:color w:val="000000"/>
              </w:rPr>
              <w:t>Nomination</w:t>
            </w:r>
          </w:p>
        </w:tc>
        <w:tc>
          <w:tcPr>
            <w:tcW w:w="3828" w:type="dxa"/>
            <w:shd w:val="clear" w:color="auto" w:fill="auto"/>
          </w:tcPr>
          <w:p w:rsidR="00890A7B" w:rsidRPr="007345E3" w:rsidRDefault="00F20F19" w:rsidP="00D56597">
            <w:pPr>
              <w:suppressAutoHyphens w:val="0"/>
              <w:spacing w:before="40" w:after="120"/>
              <w:ind w:right="113"/>
            </w:pPr>
            <w:r w:rsidRPr="007345E3">
              <w:t>CCI</w:t>
            </w:r>
            <w:r w:rsidRPr="007345E3">
              <w:rPr>
                <w:sz w:val="18"/>
                <w:szCs w:val="18"/>
              </w:rPr>
              <w:t>*</w:t>
            </w:r>
            <w:r w:rsidRPr="007345E3">
              <w:t xml:space="preserve">, </w:t>
            </w:r>
            <w:r w:rsidR="006028E6" w:rsidRPr="007345E3">
              <w:t>HCR, FNUAP, OACI, OIT,</w:t>
            </w:r>
            <w:r w:rsidR="000A2261" w:rsidRPr="007345E3">
              <w:t xml:space="preserve"> </w:t>
            </w:r>
            <w:r w:rsidR="005D05DF" w:rsidRPr="007345E3">
              <w:t xml:space="preserve">OMM, OMPI, </w:t>
            </w:r>
            <w:r w:rsidRPr="007345E3">
              <w:t>ONU,</w:t>
            </w:r>
            <w:r w:rsidR="006B62D6" w:rsidRPr="007345E3">
              <w:t xml:space="preserve"> ONU</w:t>
            </w:r>
            <w:r w:rsidR="00032AFA" w:rsidRPr="007345E3">
              <w:noBreakHyphen/>
            </w:r>
            <w:r w:rsidR="006B62D6" w:rsidRPr="007345E3">
              <w:t>Femmes,</w:t>
            </w:r>
            <w:r w:rsidRPr="007345E3">
              <w:t xml:space="preserve"> </w:t>
            </w:r>
            <w:r w:rsidR="006B62D6" w:rsidRPr="007345E3">
              <w:t>ONUDI (sous</w:t>
            </w:r>
            <w:r w:rsidR="00D56597">
              <w:t> </w:t>
            </w:r>
            <w:r w:rsidR="006B62D6" w:rsidRPr="007345E3">
              <w:t>D</w:t>
            </w:r>
            <w:r w:rsidR="00160058">
              <w:noBreakHyphen/>
            </w:r>
            <w:r w:rsidR="006B62D6" w:rsidRPr="007345E3">
              <w:t xml:space="preserve">2), </w:t>
            </w:r>
            <w:r w:rsidRPr="007345E3">
              <w:t xml:space="preserve">ONUDC, </w:t>
            </w:r>
            <w:r w:rsidR="006B62D6" w:rsidRPr="007345E3">
              <w:t xml:space="preserve">PAM, PNUD, </w:t>
            </w:r>
            <w:r w:rsidR="006028E6" w:rsidRPr="007345E3">
              <w:t xml:space="preserve">UIT, </w:t>
            </w:r>
            <w:r w:rsidR="006B62D6" w:rsidRPr="007345E3">
              <w:t xml:space="preserve">UNICEF, </w:t>
            </w:r>
            <w:r w:rsidRPr="007345E3">
              <w:t>UNOPS (sous</w:t>
            </w:r>
            <w:r w:rsidR="008D0E4C">
              <w:t> </w:t>
            </w:r>
            <w:r w:rsidRPr="007345E3">
              <w:t xml:space="preserve">D-1) </w:t>
            </w:r>
            <w:r w:rsidR="006B62D6" w:rsidRPr="007345E3">
              <w:t>et</w:t>
            </w:r>
            <w:r w:rsidR="00476F03" w:rsidRPr="007345E3">
              <w:t xml:space="preserve"> </w:t>
            </w:r>
            <w:r w:rsidR="006B62D6" w:rsidRPr="007345E3">
              <w:t>UNRWA</w:t>
            </w:r>
          </w:p>
        </w:tc>
        <w:tc>
          <w:tcPr>
            <w:tcW w:w="3355" w:type="dxa"/>
            <w:shd w:val="clear" w:color="auto" w:fill="auto"/>
          </w:tcPr>
          <w:p w:rsidR="00890A7B" w:rsidRPr="003B5EA4" w:rsidRDefault="005D05DF" w:rsidP="00D56597">
            <w:pPr>
              <w:suppressAutoHyphens w:val="0"/>
              <w:spacing w:before="40" w:after="120"/>
              <w:ind w:right="113"/>
            </w:pPr>
            <w:r w:rsidRPr="003B5EA4">
              <w:t>CCI</w:t>
            </w:r>
            <w:r w:rsidRPr="003B5EA4">
              <w:rPr>
                <w:sz w:val="18"/>
                <w:szCs w:val="18"/>
              </w:rPr>
              <w:t>*</w:t>
            </w:r>
            <w:r w:rsidRPr="003B5EA4">
              <w:t xml:space="preserve">, </w:t>
            </w:r>
            <w:r w:rsidR="00F20F19" w:rsidRPr="003B5EA4">
              <w:t>OMI, OMS</w:t>
            </w:r>
            <w:r w:rsidRPr="003B5EA4">
              <w:t>, OMT, ONUSIDA et</w:t>
            </w:r>
            <w:r w:rsidR="00D56597">
              <w:t> </w:t>
            </w:r>
            <w:r w:rsidRPr="003B5EA4">
              <w:t>UNESCO</w:t>
            </w:r>
          </w:p>
        </w:tc>
        <w:tc>
          <w:tcPr>
            <w:tcW w:w="4611" w:type="dxa"/>
            <w:shd w:val="clear" w:color="auto" w:fill="auto"/>
            <w:tcMar>
              <w:right w:w="0" w:type="dxa"/>
            </w:tcMar>
          </w:tcPr>
          <w:p w:rsidR="0037187F" w:rsidRPr="003B5EA4" w:rsidRDefault="0037187F" w:rsidP="0037187F">
            <w:pPr>
              <w:suppressAutoHyphens w:val="0"/>
              <w:spacing w:before="40" w:after="120"/>
            </w:pPr>
            <w:r w:rsidRPr="003B5EA4">
              <w:t>AIEA</w:t>
            </w:r>
            <w:r w:rsidRPr="003B5EA4">
              <w:rPr>
                <w:i/>
                <w:sz w:val="18"/>
                <w:szCs w:val="18"/>
                <w:vertAlign w:val="superscript"/>
              </w:rPr>
              <w:t>c</w:t>
            </w:r>
            <w:r w:rsidRPr="003B5EA4">
              <w:t xml:space="preserve"> (somme forfaitaire uniquement)</w:t>
            </w:r>
          </w:p>
          <w:p w:rsidR="00F20F19" w:rsidRPr="003B5EA4" w:rsidRDefault="00F20F19" w:rsidP="00F20F19">
            <w:pPr>
              <w:suppressAutoHyphens w:val="0"/>
              <w:spacing w:before="40" w:after="120"/>
            </w:pPr>
            <w:r w:rsidRPr="003B5EA4">
              <w:t>FAO (classe affaires à partir de 12 heures)</w:t>
            </w:r>
            <w:r w:rsidRPr="003B5EA4" w:rsidDel="00CD37AB">
              <w:t xml:space="preserve"> </w:t>
            </w:r>
          </w:p>
          <w:p w:rsidR="00F20F19" w:rsidRPr="003B5EA4" w:rsidRDefault="00F20F19" w:rsidP="00F20F19">
            <w:pPr>
              <w:suppressAutoHyphens w:val="0"/>
              <w:spacing w:before="40" w:after="120"/>
            </w:pPr>
            <w:r w:rsidRPr="003B5EA4">
              <w:t>ONUDI (D-2, classe affaires quelle que soit la durée)</w:t>
            </w:r>
          </w:p>
          <w:p w:rsidR="00890A7B" w:rsidRPr="003B5EA4" w:rsidRDefault="00F20F19" w:rsidP="00F20F19">
            <w:pPr>
              <w:suppressAutoHyphens w:val="0"/>
              <w:spacing w:before="40" w:after="120"/>
            </w:pPr>
            <w:r w:rsidRPr="003B5EA4">
              <w:t>UNOPS (D-1 et D-2, classe affaires à partir de 8 heures)</w:t>
            </w:r>
          </w:p>
        </w:tc>
      </w:tr>
      <w:tr w:rsidR="00890A7B" w:rsidRPr="003B5EA4" w:rsidTr="00160058">
        <w:trPr>
          <w:trHeight w:val="240"/>
        </w:trPr>
        <w:tc>
          <w:tcPr>
            <w:tcW w:w="1984" w:type="dxa"/>
            <w:shd w:val="clear" w:color="auto" w:fill="auto"/>
          </w:tcPr>
          <w:p w:rsidR="00890A7B" w:rsidRPr="003B5EA4" w:rsidRDefault="00F20F19" w:rsidP="00216160">
            <w:pPr>
              <w:suppressAutoHyphens w:val="0"/>
              <w:spacing w:before="40" w:after="120"/>
              <w:ind w:right="113"/>
            </w:pPr>
            <w:r w:rsidRPr="003B5EA4">
              <w:rPr>
                <w:bCs/>
              </w:rPr>
              <w:t>Ré</w:t>
            </w:r>
            <w:r w:rsidRPr="000608E6">
              <w:rPr>
                <w:rFonts w:asciiTheme="majorBidi" w:hAnsiTheme="majorBidi" w:cstheme="majorBidi"/>
                <w:bCs/>
                <w:color w:val="000000"/>
              </w:rPr>
              <w:t>affectation</w:t>
            </w:r>
          </w:p>
        </w:tc>
        <w:tc>
          <w:tcPr>
            <w:tcW w:w="3828" w:type="dxa"/>
            <w:shd w:val="clear" w:color="auto" w:fill="auto"/>
          </w:tcPr>
          <w:p w:rsidR="00890A7B" w:rsidRPr="007345E3" w:rsidRDefault="00F20F19" w:rsidP="008D0E4C">
            <w:pPr>
              <w:suppressAutoHyphens w:val="0"/>
              <w:spacing w:before="40" w:after="120"/>
              <w:ind w:right="113"/>
            </w:pPr>
            <w:r w:rsidRPr="007345E3">
              <w:t>CCI</w:t>
            </w:r>
            <w:r w:rsidRPr="007345E3">
              <w:rPr>
                <w:sz w:val="18"/>
                <w:szCs w:val="18"/>
              </w:rPr>
              <w:t>*</w:t>
            </w:r>
            <w:r w:rsidRPr="007345E3">
              <w:t xml:space="preserve">, </w:t>
            </w:r>
            <w:r w:rsidR="007F7D4A" w:rsidRPr="007345E3">
              <w:t xml:space="preserve">FNUAP, </w:t>
            </w:r>
            <w:r w:rsidR="00171427" w:rsidRPr="007345E3">
              <w:t xml:space="preserve">HCR, </w:t>
            </w:r>
            <w:r w:rsidR="007F7D4A" w:rsidRPr="007345E3">
              <w:t>OACI, OIT,</w:t>
            </w:r>
            <w:r w:rsidR="00476F03" w:rsidRPr="007345E3">
              <w:t xml:space="preserve"> </w:t>
            </w:r>
            <w:r w:rsidR="005C7EAE" w:rsidRPr="007345E3">
              <w:t xml:space="preserve">OMM, OMPI, </w:t>
            </w:r>
            <w:r w:rsidR="007F7D4A" w:rsidRPr="007345E3">
              <w:t>ONU, ONU</w:t>
            </w:r>
            <w:r w:rsidR="000A2261" w:rsidRPr="007345E3">
              <w:noBreakHyphen/>
            </w:r>
            <w:r w:rsidR="007F7D4A" w:rsidRPr="007345E3">
              <w:t xml:space="preserve">Femmes, ONUDC, ONUDI (sous D-2), </w:t>
            </w:r>
            <w:r w:rsidR="005C7EAE" w:rsidRPr="007345E3">
              <w:t xml:space="preserve">PAM, </w:t>
            </w:r>
            <w:r w:rsidRPr="007345E3">
              <w:t xml:space="preserve">PNUD, </w:t>
            </w:r>
            <w:r w:rsidR="006A1DC7" w:rsidRPr="007345E3">
              <w:t xml:space="preserve">UIT, </w:t>
            </w:r>
            <w:r w:rsidRPr="007345E3">
              <w:t xml:space="preserve">UNICEF, </w:t>
            </w:r>
            <w:r w:rsidR="005C7EAE" w:rsidRPr="007345E3">
              <w:t>UNOPS (sous</w:t>
            </w:r>
            <w:r w:rsidR="008D0E4C">
              <w:t> </w:t>
            </w:r>
            <w:r w:rsidR="005C7EAE" w:rsidRPr="007345E3">
              <w:t>D-1) et</w:t>
            </w:r>
            <w:r w:rsidR="00476F03" w:rsidRPr="007345E3">
              <w:t xml:space="preserve"> </w:t>
            </w:r>
            <w:r w:rsidR="005C7EAE" w:rsidRPr="007345E3">
              <w:t>UNRWA</w:t>
            </w:r>
          </w:p>
        </w:tc>
        <w:tc>
          <w:tcPr>
            <w:tcW w:w="3355" w:type="dxa"/>
            <w:shd w:val="clear" w:color="auto" w:fill="auto"/>
          </w:tcPr>
          <w:p w:rsidR="00890A7B" w:rsidRPr="003B5EA4" w:rsidRDefault="00F20F19" w:rsidP="00D56597">
            <w:pPr>
              <w:suppressAutoHyphens w:val="0"/>
              <w:spacing w:before="40" w:after="120"/>
              <w:ind w:right="113"/>
            </w:pPr>
            <w:r w:rsidRPr="003B5EA4">
              <w:t>CCI</w:t>
            </w:r>
            <w:r w:rsidRPr="003B5EA4">
              <w:rPr>
                <w:sz w:val="18"/>
                <w:szCs w:val="18"/>
              </w:rPr>
              <w:t>*</w:t>
            </w:r>
            <w:r w:rsidRPr="003B5EA4">
              <w:t xml:space="preserve">, </w:t>
            </w:r>
            <w:r w:rsidR="0037187F" w:rsidRPr="003B5EA4">
              <w:t xml:space="preserve">OMI, </w:t>
            </w:r>
            <w:r w:rsidRPr="003B5EA4">
              <w:t>OMS</w:t>
            </w:r>
            <w:r w:rsidR="0037187F" w:rsidRPr="003B5EA4">
              <w:t>, OMT, ONUSIDA et</w:t>
            </w:r>
            <w:r w:rsidR="00D56597">
              <w:t> </w:t>
            </w:r>
            <w:r w:rsidR="0037187F" w:rsidRPr="003B5EA4">
              <w:t>UNESCO</w:t>
            </w:r>
          </w:p>
        </w:tc>
        <w:tc>
          <w:tcPr>
            <w:tcW w:w="4611" w:type="dxa"/>
            <w:shd w:val="clear" w:color="auto" w:fill="auto"/>
            <w:tcMar>
              <w:right w:w="0" w:type="dxa"/>
            </w:tcMar>
          </w:tcPr>
          <w:p w:rsidR="0037187F" w:rsidRPr="003B5EA4" w:rsidRDefault="0037187F" w:rsidP="0037187F">
            <w:pPr>
              <w:suppressAutoHyphens w:val="0"/>
              <w:spacing w:before="40" w:after="120"/>
            </w:pPr>
            <w:r w:rsidRPr="003B5EA4">
              <w:t>AIEA (somme forfaitaire uniquement)</w:t>
            </w:r>
          </w:p>
          <w:p w:rsidR="00F20F19" w:rsidRPr="003B5EA4" w:rsidRDefault="00F20F19" w:rsidP="00F20F19">
            <w:pPr>
              <w:suppressAutoHyphens w:val="0"/>
              <w:spacing w:before="40" w:after="120"/>
            </w:pPr>
            <w:r w:rsidRPr="003B5EA4">
              <w:t>FAO (classe affaires à partir de 12 heures)</w:t>
            </w:r>
          </w:p>
          <w:p w:rsidR="00F20F19" w:rsidRPr="003B5EA4" w:rsidRDefault="00F20F19" w:rsidP="00F20F19">
            <w:pPr>
              <w:suppressAutoHyphens w:val="0"/>
              <w:spacing w:before="40" w:after="120"/>
            </w:pPr>
            <w:r w:rsidRPr="003B5EA4">
              <w:t>ONUDI (D-2, classe affaires quelle que soit la durée)</w:t>
            </w:r>
          </w:p>
          <w:p w:rsidR="00890A7B" w:rsidRPr="003B5EA4" w:rsidRDefault="00F20F19" w:rsidP="00F20F19">
            <w:pPr>
              <w:spacing w:before="40" w:after="120"/>
            </w:pPr>
            <w:r w:rsidRPr="003B5EA4">
              <w:t>UNOPS (D-1 et D-2, classe affaires à partir de 8 heures)</w:t>
            </w:r>
          </w:p>
        </w:tc>
      </w:tr>
      <w:tr w:rsidR="00890A7B" w:rsidRPr="003B5EA4" w:rsidTr="00160058">
        <w:trPr>
          <w:trHeight w:val="240"/>
        </w:trPr>
        <w:tc>
          <w:tcPr>
            <w:tcW w:w="1984" w:type="dxa"/>
            <w:shd w:val="clear" w:color="auto" w:fill="auto"/>
          </w:tcPr>
          <w:p w:rsidR="00890A7B" w:rsidRPr="003B5EA4" w:rsidRDefault="00776717" w:rsidP="00216160">
            <w:pPr>
              <w:suppressAutoHyphens w:val="0"/>
              <w:spacing w:before="40" w:after="120"/>
              <w:ind w:right="113"/>
            </w:pPr>
            <w:r w:rsidRPr="000608E6">
              <w:rPr>
                <w:rFonts w:asciiTheme="majorBidi" w:hAnsiTheme="majorBidi" w:cstheme="majorBidi"/>
                <w:bCs/>
                <w:color w:val="000000"/>
              </w:rPr>
              <w:t>Rapatriement/</w:t>
            </w:r>
            <w:r w:rsidRPr="000608E6">
              <w:rPr>
                <w:rFonts w:asciiTheme="majorBidi" w:hAnsiTheme="majorBidi" w:cstheme="majorBidi"/>
                <w:bCs/>
                <w:color w:val="000000"/>
              </w:rPr>
              <w:br/>
            </w:r>
            <w:r w:rsidR="00F20F19" w:rsidRPr="000608E6">
              <w:rPr>
                <w:rFonts w:asciiTheme="majorBidi" w:hAnsiTheme="majorBidi" w:cstheme="majorBidi"/>
                <w:bCs/>
                <w:color w:val="000000"/>
              </w:rPr>
              <w:t>cessation de service</w:t>
            </w:r>
          </w:p>
        </w:tc>
        <w:tc>
          <w:tcPr>
            <w:tcW w:w="3828" w:type="dxa"/>
            <w:shd w:val="clear" w:color="auto" w:fill="auto"/>
          </w:tcPr>
          <w:p w:rsidR="00890A7B" w:rsidRPr="007345E3" w:rsidRDefault="00171427" w:rsidP="008D0E4C">
            <w:pPr>
              <w:suppressAutoHyphens w:val="0"/>
              <w:spacing w:before="40" w:after="120"/>
              <w:ind w:right="113"/>
            </w:pPr>
            <w:r w:rsidRPr="007345E3">
              <w:t>CCI</w:t>
            </w:r>
            <w:r w:rsidRPr="007345E3">
              <w:rPr>
                <w:sz w:val="18"/>
                <w:szCs w:val="18"/>
              </w:rPr>
              <w:t>*</w:t>
            </w:r>
            <w:r w:rsidRPr="007345E3">
              <w:t xml:space="preserve">, FNUAP, HCR, OACI, </w:t>
            </w:r>
            <w:r w:rsidR="00F20F19" w:rsidRPr="007345E3">
              <w:t xml:space="preserve">OIT, </w:t>
            </w:r>
            <w:r w:rsidR="002E1329" w:rsidRPr="007345E3">
              <w:t xml:space="preserve">OMM, OMPI, </w:t>
            </w:r>
            <w:r w:rsidR="007B2852" w:rsidRPr="007345E3">
              <w:t xml:space="preserve">ONU, ONU-Femmes, ONUDC, ONUDI (sous D-2), PAM, </w:t>
            </w:r>
            <w:r w:rsidR="00F20F19" w:rsidRPr="007345E3">
              <w:t xml:space="preserve">PNUD, </w:t>
            </w:r>
            <w:r w:rsidR="007B2852" w:rsidRPr="007345E3">
              <w:t>UIT, UNICEF, UNOPS (sous</w:t>
            </w:r>
            <w:r w:rsidR="008D0E4C">
              <w:t> </w:t>
            </w:r>
            <w:r w:rsidR="007B2852" w:rsidRPr="007345E3">
              <w:t>D1) et UNRWA</w:t>
            </w:r>
          </w:p>
        </w:tc>
        <w:tc>
          <w:tcPr>
            <w:tcW w:w="3355" w:type="dxa"/>
            <w:shd w:val="clear" w:color="auto" w:fill="auto"/>
          </w:tcPr>
          <w:p w:rsidR="00890A7B" w:rsidRPr="003B5EA4" w:rsidRDefault="00BA5A53" w:rsidP="00D56597">
            <w:pPr>
              <w:suppressAutoHyphens w:val="0"/>
              <w:spacing w:before="40" w:after="120"/>
              <w:ind w:right="113"/>
            </w:pPr>
            <w:r w:rsidRPr="003B5EA4">
              <w:t>CCI</w:t>
            </w:r>
            <w:r w:rsidRPr="003B5EA4">
              <w:rPr>
                <w:sz w:val="18"/>
                <w:szCs w:val="18"/>
              </w:rPr>
              <w:t>*</w:t>
            </w:r>
            <w:r w:rsidRPr="003B5EA4">
              <w:t xml:space="preserve">, </w:t>
            </w:r>
            <w:r w:rsidR="00F20F19" w:rsidRPr="003B5EA4">
              <w:t xml:space="preserve">OMI, </w:t>
            </w:r>
            <w:r w:rsidRPr="003B5EA4">
              <w:t xml:space="preserve">OMS, OMT, </w:t>
            </w:r>
            <w:r w:rsidR="00F20F19" w:rsidRPr="003B5EA4">
              <w:t>ONUSIDA</w:t>
            </w:r>
            <w:r w:rsidRPr="003B5EA4">
              <w:t xml:space="preserve"> et</w:t>
            </w:r>
            <w:r w:rsidR="00D56597">
              <w:t> </w:t>
            </w:r>
            <w:r w:rsidRPr="003B5EA4">
              <w:t>UNESCO</w:t>
            </w:r>
          </w:p>
        </w:tc>
        <w:tc>
          <w:tcPr>
            <w:tcW w:w="4611" w:type="dxa"/>
            <w:shd w:val="clear" w:color="auto" w:fill="auto"/>
            <w:tcMar>
              <w:right w:w="0" w:type="dxa"/>
            </w:tcMar>
          </w:tcPr>
          <w:p w:rsidR="00171427" w:rsidRPr="003B5EA4" w:rsidRDefault="00171427" w:rsidP="009315F9">
            <w:pPr>
              <w:suppressAutoHyphens w:val="0"/>
              <w:spacing w:before="40" w:after="120"/>
            </w:pPr>
            <w:r w:rsidRPr="003B5EA4">
              <w:t>AIEA (somme forfaitaire uniquement)</w:t>
            </w:r>
          </w:p>
          <w:p w:rsidR="00F20F19" w:rsidRPr="003B5EA4" w:rsidRDefault="00F20F19" w:rsidP="009315F9">
            <w:pPr>
              <w:suppressAutoHyphens w:val="0"/>
              <w:spacing w:before="40" w:after="120"/>
            </w:pPr>
            <w:r w:rsidRPr="003B5EA4">
              <w:t>FAO (classe affaires à partir de 12 heures)</w:t>
            </w:r>
          </w:p>
          <w:p w:rsidR="00F20F19" w:rsidRPr="003B5EA4" w:rsidRDefault="00F20F19" w:rsidP="009315F9">
            <w:pPr>
              <w:suppressAutoHyphens w:val="0"/>
              <w:spacing w:before="40" w:after="120"/>
            </w:pPr>
            <w:r w:rsidRPr="003B5EA4">
              <w:t>ONUDI (D-2, classe affaires quelle que soit la durée)</w:t>
            </w:r>
          </w:p>
          <w:p w:rsidR="00890A7B" w:rsidRPr="003B5EA4" w:rsidRDefault="00F20F19" w:rsidP="009315F9">
            <w:pPr>
              <w:suppressAutoHyphens w:val="0"/>
              <w:spacing w:before="40" w:after="120"/>
            </w:pPr>
            <w:r w:rsidRPr="003B5EA4">
              <w:t>UNOPS (D-1 et D-2, classe affaires à partir de 8 heures)</w:t>
            </w:r>
          </w:p>
        </w:tc>
      </w:tr>
      <w:tr w:rsidR="00890A7B" w:rsidRPr="003B5EA4" w:rsidTr="00160058">
        <w:trPr>
          <w:trHeight w:val="240"/>
        </w:trPr>
        <w:tc>
          <w:tcPr>
            <w:tcW w:w="1984" w:type="dxa"/>
            <w:shd w:val="clear" w:color="auto" w:fill="auto"/>
          </w:tcPr>
          <w:p w:rsidR="00890A7B" w:rsidRPr="003B5EA4" w:rsidRDefault="00F20F19" w:rsidP="00216160">
            <w:pPr>
              <w:suppressAutoHyphens w:val="0"/>
              <w:spacing w:before="40" w:after="120"/>
              <w:ind w:right="113"/>
            </w:pPr>
            <w:r w:rsidRPr="003B5EA4">
              <w:rPr>
                <w:bCs/>
              </w:rPr>
              <w:lastRenderedPageBreak/>
              <w:t>Évacuation</w:t>
            </w:r>
          </w:p>
        </w:tc>
        <w:tc>
          <w:tcPr>
            <w:tcW w:w="3828" w:type="dxa"/>
            <w:shd w:val="clear" w:color="auto" w:fill="auto"/>
          </w:tcPr>
          <w:p w:rsidR="00890A7B" w:rsidRPr="007345E3" w:rsidRDefault="00F1116F" w:rsidP="00160058">
            <w:pPr>
              <w:suppressAutoHyphens w:val="0"/>
              <w:spacing w:before="40" w:after="120"/>
              <w:ind w:right="113"/>
            </w:pPr>
            <w:r w:rsidRPr="007345E3">
              <w:t>CCI</w:t>
            </w:r>
            <w:r w:rsidRPr="007345E3">
              <w:rPr>
                <w:sz w:val="18"/>
                <w:szCs w:val="18"/>
              </w:rPr>
              <w:t>*</w:t>
            </w:r>
            <w:r w:rsidRPr="007345E3">
              <w:t xml:space="preserve">, </w:t>
            </w:r>
            <w:r w:rsidR="00F20F19" w:rsidRPr="007345E3">
              <w:t>OACI,</w:t>
            </w:r>
            <w:r w:rsidR="009C456A" w:rsidRPr="007345E3">
              <w:t xml:space="preserve"> </w:t>
            </w:r>
            <w:r w:rsidR="00F20F19" w:rsidRPr="007345E3">
              <w:t xml:space="preserve">OIT, </w:t>
            </w:r>
            <w:r w:rsidRPr="007345E3">
              <w:t xml:space="preserve">OMPI, </w:t>
            </w:r>
            <w:r w:rsidR="00F20F19" w:rsidRPr="007345E3">
              <w:t>ONU, ONUDI (sous</w:t>
            </w:r>
            <w:r w:rsidR="00160058">
              <w:t> </w:t>
            </w:r>
            <w:r w:rsidR="00F20F19" w:rsidRPr="007345E3">
              <w:t xml:space="preserve">D-2), </w:t>
            </w:r>
            <w:r w:rsidRPr="007345E3">
              <w:t>PAM et UNOPS (sous D-1)</w:t>
            </w:r>
          </w:p>
        </w:tc>
        <w:tc>
          <w:tcPr>
            <w:tcW w:w="3355" w:type="dxa"/>
            <w:shd w:val="clear" w:color="auto" w:fill="auto"/>
          </w:tcPr>
          <w:p w:rsidR="00890A7B" w:rsidRPr="003B5EA4" w:rsidRDefault="00F1116F" w:rsidP="00160058">
            <w:pPr>
              <w:suppressAutoHyphens w:val="0"/>
              <w:spacing w:before="40" w:after="120"/>
              <w:ind w:right="113"/>
            </w:pPr>
            <w:r w:rsidRPr="003B5EA4">
              <w:t xml:space="preserve">FNUAP, HCR, OMM, ONUDC, </w:t>
            </w:r>
            <w:r w:rsidR="00F20F19" w:rsidRPr="003B5EA4">
              <w:t>ONUSIDA, PNUD, UNESCO</w:t>
            </w:r>
            <w:r w:rsidRPr="003B5EA4">
              <w:t xml:space="preserve"> et</w:t>
            </w:r>
            <w:r w:rsidR="00160058">
              <w:t> </w:t>
            </w:r>
            <w:r w:rsidRPr="003B5EA4">
              <w:t>UNRWA</w:t>
            </w:r>
          </w:p>
        </w:tc>
        <w:tc>
          <w:tcPr>
            <w:tcW w:w="4611" w:type="dxa"/>
            <w:shd w:val="clear" w:color="auto" w:fill="auto"/>
            <w:tcMar>
              <w:right w:w="0" w:type="dxa"/>
            </w:tcMar>
          </w:tcPr>
          <w:p w:rsidR="00C63A3D" w:rsidRPr="003B5EA4" w:rsidRDefault="00C63A3D" w:rsidP="00C63A3D">
            <w:pPr>
              <w:suppressAutoHyphens w:val="0"/>
              <w:spacing w:before="40" w:after="120"/>
            </w:pPr>
            <w:r w:rsidRPr="003B5EA4">
              <w:t>FAO (classe affaires à partir de 12 heures)</w:t>
            </w:r>
          </w:p>
          <w:p w:rsidR="00C63A3D" w:rsidRPr="003B5EA4" w:rsidRDefault="00C63A3D" w:rsidP="00C63A3D">
            <w:pPr>
              <w:suppressAutoHyphens w:val="0"/>
              <w:spacing w:before="40" w:after="120"/>
            </w:pPr>
            <w:r w:rsidRPr="003B5EA4">
              <w:t>ONUDI (D-2, classe affaires quelle que soit la durée)</w:t>
            </w:r>
          </w:p>
          <w:p w:rsidR="00890A7B" w:rsidRPr="003B5EA4" w:rsidRDefault="00C63A3D" w:rsidP="00C63A3D">
            <w:pPr>
              <w:suppressAutoHyphens w:val="0"/>
              <w:spacing w:before="40" w:after="120"/>
            </w:pPr>
            <w:r w:rsidRPr="003B5EA4">
              <w:t>UNOPS (D-1 et D-2, classe affaires à partir de 8 heures)</w:t>
            </w:r>
          </w:p>
        </w:tc>
      </w:tr>
      <w:tr w:rsidR="00890A7B" w:rsidRPr="003B5EA4" w:rsidTr="00160058">
        <w:trPr>
          <w:trHeight w:val="240"/>
        </w:trPr>
        <w:tc>
          <w:tcPr>
            <w:tcW w:w="1984" w:type="dxa"/>
            <w:shd w:val="clear" w:color="auto" w:fill="auto"/>
          </w:tcPr>
          <w:p w:rsidR="00890A7B" w:rsidRPr="003B5EA4" w:rsidRDefault="00C63A3D" w:rsidP="00216160">
            <w:pPr>
              <w:suppressAutoHyphens w:val="0"/>
              <w:spacing w:before="40" w:after="120"/>
              <w:ind w:right="113"/>
            </w:pPr>
            <w:r w:rsidRPr="003B5EA4">
              <w:rPr>
                <w:bCs/>
              </w:rPr>
              <w:t xml:space="preserve">Raisons médicales, </w:t>
            </w:r>
            <w:r w:rsidR="00AA4D19" w:rsidRPr="003B5EA4">
              <w:rPr>
                <w:bCs/>
              </w:rPr>
              <w:br/>
            </w:r>
            <w:r w:rsidRPr="003B5EA4">
              <w:rPr>
                <w:bCs/>
              </w:rPr>
              <w:t>de sûreté et de sécurité</w:t>
            </w:r>
          </w:p>
        </w:tc>
        <w:tc>
          <w:tcPr>
            <w:tcW w:w="3828" w:type="dxa"/>
            <w:shd w:val="clear" w:color="auto" w:fill="auto"/>
          </w:tcPr>
          <w:p w:rsidR="00890A7B" w:rsidRPr="007345E3" w:rsidRDefault="00C63A3D" w:rsidP="00216160">
            <w:pPr>
              <w:suppressAutoHyphens w:val="0"/>
              <w:spacing w:before="40" w:after="120"/>
              <w:ind w:right="113"/>
            </w:pPr>
            <w:r w:rsidRPr="007345E3">
              <w:t>OACI,</w:t>
            </w:r>
            <w:r w:rsidR="00776717" w:rsidRPr="007345E3">
              <w:t xml:space="preserve"> </w:t>
            </w:r>
            <w:r w:rsidRPr="007345E3">
              <w:t xml:space="preserve">OIT, </w:t>
            </w:r>
            <w:r w:rsidR="00776717" w:rsidRPr="007345E3">
              <w:t xml:space="preserve">OMPI, </w:t>
            </w:r>
            <w:r w:rsidRPr="007345E3">
              <w:t xml:space="preserve">ONUDI (sous D-2), </w:t>
            </w:r>
            <w:r w:rsidR="00776717" w:rsidRPr="007345E3">
              <w:t>PAM et UNOPS (sous D-1)</w:t>
            </w:r>
          </w:p>
        </w:tc>
        <w:tc>
          <w:tcPr>
            <w:tcW w:w="3355" w:type="dxa"/>
            <w:shd w:val="clear" w:color="auto" w:fill="auto"/>
          </w:tcPr>
          <w:p w:rsidR="00890A7B" w:rsidRPr="003B5EA4" w:rsidRDefault="00C63A3D" w:rsidP="00216160">
            <w:pPr>
              <w:suppressAutoHyphens w:val="0"/>
              <w:spacing w:before="40" w:after="120"/>
              <w:ind w:right="113"/>
            </w:pPr>
            <w:r w:rsidRPr="003B5EA4">
              <w:t xml:space="preserve">CCI*, </w:t>
            </w:r>
            <w:r w:rsidR="00776717" w:rsidRPr="003B5EA4">
              <w:t xml:space="preserve">FAO, FNUAP, HCR, </w:t>
            </w:r>
            <w:r w:rsidR="002E7BDF" w:rsidRPr="003B5EA4">
              <w:t xml:space="preserve">OMM, OMS, </w:t>
            </w:r>
            <w:r w:rsidRPr="003B5EA4">
              <w:t xml:space="preserve">ONU, </w:t>
            </w:r>
            <w:r w:rsidR="00776717" w:rsidRPr="003B5EA4">
              <w:t xml:space="preserve">ONU-Femmes, </w:t>
            </w:r>
            <w:r w:rsidR="002E7BDF" w:rsidRPr="003B5EA4">
              <w:t xml:space="preserve">ONUDC, </w:t>
            </w:r>
            <w:r w:rsidRPr="003B5EA4">
              <w:t>ONUSIDA, PNUD, UNESCO</w:t>
            </w:r>
            <w:r w:rsidR="002E7BDF" w:rsidRPr="003B5EA4">
              <w:t xml:space="preserve"> et</w:t>
            </w:r>
            <w:r w:rsidRPr="003B5EA4">
              <w:t xml:space="preserve"> UNRWA</w:t>
            </w:r>
          </w:p>
        </w:tc>
        <w:tc>
          <w:tcPr>
            <w:tcW w:w="4611" w:type="dxa"/>
            <w:shd w:val="clear" w:color="auto" w:fill="auto"/>
            <w:tcMar>
              <w:right w:w="0" w:type="dxa"/>
            </w:tcMar>
          </w:tcPr>
          <w:p w:rsidR="00C63A3D" w:rsidRPr="003B5EA4" w:rsidRDefault="00C63A3D" w:rsidP="00C63A3D">
            <w:pPr>
              <w:suppressAutoHyphens w:val="0"/>
              <w:spacing w:before="40" w:after="120"/>
            </w:pPr>
            <w:r w:rsidRPr="003B5EA4">
              <w:t>AIEA (classe déterminée au cas par cas)</w:t>
            </w:r>
          </w:p>
          <w:p w:rsidR="00C63A3D" w:rsidRPr="003B5EA4" w:rsidRDefault="00C63A3D" w:rsidP="00C63A3D">
            <w:pPr>
              <w:suppressAutoHyphens w:val="0"/>
              <w:spacing w:before="40" w:after="120"/>
              <w:rPr>
                <w:vertAlign w:val="superscript"/>
              </w:rPr>
            </w:pPr>
            <w:r w:rsidRPr="003B5EA4">
              <w:t>ONUDI (D-2, classe affaires quelle que soit la durée)</w:t>
            </w:r>
          </w:p>
          <w:p w:rsidR="004A1D0C" w:rsidRPr="003B5EA4" w:rsidRDefault="004A1D0C" w:rsidP="004A1D0C">
            <w:pPr>
              <w:suppressAutoHyphens w:val="0"/>
              <w:spacing w:before="40" w:after="120"/>
            </w:pPr>
            <w:r w:rsidRPr="003B5EA4">
              <w:t>UNICEF (classe déterminée selon les places disponibles)</w:t>
            </w:r>
          </w:p>
          <w:p w:rsidR="00890A7B" w:rsidRPr="003B5EA4" w:rsidRDefault="00C63A3D" w:rsidP="00C63A3D">
            <w:pPr>
              <w:suppressAutoHyphens w:val="0"/>
              <w:spacing w:before="40" w:after="120"/>
            </w:pPr>
            <w:r w:rsidRPr="003B5EA4">
              <w:t>UNOPS (D-1 et D-2, classe affaires à partir de 8 heures</w:t>
            </w:r>
          </w:p>
        </w:tc>
      </w:tr>
      <w:tr w:rsidR="00890A7B" w:rsidRPr="003B5EA4" w:rsidTr="00160058">
        <w:trPr>
          <w:trHeight w:val="240"/>
        </w:trPr>
        <w:tc>
          <w:tcPr>
            <w:tcW w:w="1984" w:type="dxa"/>
            <w:shd w:val="clear" w:color="auto" w:fill="auto"/>
          </w:tcPr>
          <w:p w:rsidR="00890A7B" w:rsidRPr="003B5EA4" w:rsidRDefault="00C63A3D" w:rsidP="00216160">
            <w:pPr>
              <w:suppressAutoHyphens w:val="0"/>
              <w:spacing w:before="40" w:after="120"/>
              <w:ind w:right="113"/>
            </w:pPr>
            <w:r w:rsidRPr="003B5EA4">
              <w:rPr>
                <w:bCs/>
              </w:rPr>
              <w:t>Formation et perfectionnement</w:t>
            </w:r>
          </w:p>
        </w:tc>
        <w:tc>
          <w:tcPr>
            <w:tcW w:w="3828" w:type="dxa"/>
            <w:shd w:val="clear" w:color="auto" w:fill="auto"/>
          </w:tcPr>
          <w:p w:rsidR="00890A7B" w:rsidRPr="007345E3" w:rsidRDefault="00C63A3D" w:rsidP="006B1D4B">
            <w:pPr>
              <w:suppressAutoHyphens w:val="0"/>
              <w:spacing w:before="40" w:after="120"/>
              <w:ind w:right="113"/>
            </w:pPr>
            <w:r w:rsidRPr="007345E3">
              <w:t xml:space="preserve">OIT, </w:t>
            </w:r>
            <w:r w:rsidR="00817083" w:rsidRPr="007345E3">
              <w:t xml:space="preserve">OMPI, (sous D-2) et </w:t>
            </w:r>
            <w:r w:rsidRPr="007345E3">
              <w:t>ONUDI (sous</w:t>
            </w:r>
            <w:r w:rsidR="008D0E4C">
              <w:t> </w:t>
            </w:r>
            <w:r w:rsidRPr="007345E3">
              <w:t>D</w:t>
            </w:r>
            <w:r w:rsidR="006B1D4B">
              <w:noBreakHyphen/>
            </w:r>
            <w:r w:rsidRPr="007345E3">
              <w:t xml:space="preserve">2), </w:t>
            </w:r>
          </w:p>
        </w:tc>
        <w:tc>
          <w:tcPr>
            <w:tcW w:w="3355" w:type="dxa"/>
            <w:shd w:val="clear" w:color="auto" w:fill="auto"/>
          </w:tcPr>
          <w:p w:rsidR="00890A7B" w:rsidRPr="003B5EA4" w:rsidRDefault="00817083" w:rsidP="00216160">
            <w:pPr>
              <w:suppressAutoHyphens w:val="0"/>
              <w:spacing w:before="40" w:after="120"/>
              <w:ind w:right="113"/>
            </w:pPr>
            <w:r w:rsidRPr="003B5EA4">
              <w:t>CCI</w:t>
            </w:r>
            <w:r w:rsidRPr="003B5EA4">
              <w:rPr>
                <w:sz w:val="18"/>
                <w:szCs w:val="18"/>
              </w:rPr>
              <w:t>*</w:t>
            </w:r>
            <w:r w:rsidRPr="003B5EA4">
              <w:t xml:space="preserve">, </w:t>
            </w:r>
            <w:r w:rsidR="00C63A3D" w:rsidRPr="003B5EA4">
              <w:t xml:space="preserve">FAO, </w:t>
            </w:r>
            <w:r w:rsidRPr="003B5EA4">
              <w:t xml:space="preserve">FNUAP, </w:t>
            </w:r>
            <w:r w:rsidR="00D70C9D" w:rsidRPr="003B5EA4">
              <w:t xml:space="preserve">HCR, </w:t>
            </w:r>
            <w:r w:rsidR="00C63A3D" w:rsidRPr="003B5EA4">
              <w:t xml:space="preserve">OACI, </w:t>
            </w:r>
            <w:r w:rsidR="00D70C9D" w:rsidRPr="003B5EA4">
              <w:t xml:space="preserve">OMM, </w:t>
            </w:r>
            <w:r w:rsidR="00C63A3D" w:rsidRPr="003B5EA4">
              <w:t xml:space="preserve">ONU, </w:t>
            </w:r>
            <w:r w:rsidR="00D70C9D" w:rsidRPr="003B5EA4">
              <w:t xml:space="preserve">ONU-Femmes, </w:t>
            </w:r>
            <w:r w:rsidRPr="003B5EA4">
              <w:t xml:space="preserve">ONUDC, </w:t>
            </w:r>
            <w:r w:rsidR="00C63A3D" w:rsidRPr="003B5EA4">
              <w:t xml:space="preserve">ONUSIDA, </w:t>
            </w:r>
            <w:r w:rsidR="00D70C9D" w:rsidRPr="003B5EA4">
              <w:t xml:space="preserve">PAM, </w:t>
            </w:r>
            <w:r w:rsidR="00C63A3D" w:rsidRPr="003B5EA4">
              <w:t xml:space="preserve">PNUD, </w:t>
            </w:r>
            <w:r w:rsidR="00D70C9D" w:rsidRPr="003B5EA4">
              <w:t xml:space="preserve">UIT, </w:t>
            </w:r>
            <w:r w:rsidR="00C63A3D" w:rsidRPr="003B5EA4">
              <w:t>UNESCO, UNICEF, UNOPS</w:t>
            </w:r>
            <w:r w:rsidR="00D70C9D" w:rsidRPr="003B5EA4">
              <w:t xml:space="preserve"> et UNRWA</w:t>
            </w:r>
          </w:p>
        </w:tc>
        <w:tc>
          <w:tcPr>
            <w:tcW w:w="4611" w:type="dxa"/>
            <w:shd w:val="clear" w:color="auto" w:fill="auto"/>
            <w:tcMar>
              <w:right w:w="0" w:type="dxa"/>
            </w:tcMar>
          </w:tcPr>
          <w:p w:rsidR="00C63A3D" w:rsidRPr="003B5EA4" w:rsidRDefault="00C63A3D" w:rsidP="00C63A3D">
            <w:pPr>
              <w:suppressAutoHyphens w:val="0"/>
              <w:spacing w:before="40" w:after="120"/>
            </w:pPr>
            <w:r w:rsidRPr="003B5EA4">
              <w:t>OMI (classe affaires à partir de 7 heures)</w:t>
            </w:r>
          </w:p>
          <w:p w:rsidR="00890A7B" w:rsidRPr="003B5EA4" w:rsidRDefault="00C63A3D" w:rsidP="00C63A3D">
            <w:pPr>
              <w:suppressAutoHyphens w:val="0"/>
              <w:spacing w:before="40" w:after="120"/>
            </w:pPr>
            <w:r w:rsidRPr="003B5EA4">
              <w:t>ONUDI (D-2, classe affaires quelle que soit la durée)</w:t>
            </w:r>
          </w:p>
        </w:tc>
      </w:tr>
      <w:tr w:rsidR="00890A7B" w:rsidRPr="003B5EA4" w:rsidTr="00160058">
        <w:trPr>
          <w:trHeight w:val="240"/>
        </w:trPr>
        <w:tc>
          <w:tcPr>
            <w:tcW w:w="1984" w:type="dxa"/>
            <w:shd w:val="clear" w:color="auto" w:fill="auto"/>
          </w:tcPr>
          <w:p w:rsidR="00890A7B" w:rsidRPr="003B5EA4" w:rsidRDefault="00C63A3D" w:rsidP="00216160">
            <w:pPr>
              <w:suppressAutoHyphens w:val="0"/>
              <w:spacing w:before="40" w:after="120"/>
              <w:ind w:right="113"/>
            </w:pPr>
            <w:r w:rsidRPr="003B5EA4">
              <w:rPr>
                <w:bCs/>
              </w:rPr>
              <w:t>Congé dans les foyers</w:t>
            </w:r>
          </w:p>
        </w:tc>
        <w:tc>
          <w:tcPr>
            <w:tcW w:w="3828" w:type="dxa"/>
            <w:shd w:val="clear" w:color="auto" w:fill="auto"/>
          </w:tcPr>
          <w:p w:rsidR="00890A7B" w:rsidRPr="007345E3" w:rsidRDefault="00C63A3D" w:rsidP="008D0E4C">
            <w:pPr>
              <w:suppressAutoHyphens w:val="0"/>
              <w:spacing w:before="40" w:after="120"/>
              <w:ind w:right="113"/>
            </w:pPr>
            <w:r w:rsidRPr="007345E3">
              <w:t xml:space="preserve">OIT, ONUDI (sous D-2), </w:t>
            </w:r>
            <w:r w:rsidR="00587D6E" w:rsidRPr="007345E3">
              <w:t>PAM et</w:t>
            </w:r>
            <w:r w:rsidR="008D0E4C">
              <w:t> </w:t>
            </w:r>
            <w:r w:rsidRPr="007345E3">
              <w:t>UNOPS (sous D-1)</w:t>
            </w:r>
          </w:p>
        </w:tc>
        <w:tc>
          <w:tcPr>
            <w:tcW w:w="3355" w:type="dxa"/>
            <w:shd w:val="clear" w:color="auto" w:fill="auto"/>
          </w:tcPr>
          <w:p w:rsidR="00890A7B" w:rsidRPr="003B5EA4" w:rsidRDefault="004E1377" w:rsidP="00216160">
            <w:pPr>
              <w:suppressAutoHyphens w:val="0"/>
              <w:spacing w:before="40" w:after="120"/>
              <w:ind w:right="113"/>
            </w:pPr>
            <w:r w:rsidRPr="003B5EA4">
              <w:t>CCI</w:t>
            </w:r>
            <w:r w:rsidRPr="003B5EA4">
              <w:rPr>
                <w:sz w:val="18"/>
                <w:szCs w:val="18"/>
              </w:rPr>
              <w:t>*</w:t>
            </w:r>
            <w:r w:rsidRPr="003B5EA4">
              <w:t xml:space="preserve">, </w:t>
            </w:r>
            <w:r w:rsidR="001F7AEE" w:rsidRPr="003B5EA4">
              <w:t xml:space="preserve">FNUAP, HCR, </w:t>
            </w:r>
            <w:r w:rsidR="00C63A3D" w:rsidRPr="003B5EA4">
              <w:t>OACI,</w:t>
            </w:r>
            <w:r w:rsidRPr="003B5EA4">
              <w:t xml:space="preserve"> </w:t>
            </w:r>
            <w:r w:rsidR="00C63A3D" w:rsidRPr="003B5EA4">
              <w:t xml:space="preserve">OMI, </w:t>
            </w:r>
            <w:r w:rsidR="001F7AEE" w:rsidRPr="003B5EA4">
              <w:t xml:space="preserve">OMM, </w:t>
            </w:r>
            <w:r w:rsidR="008F6BD5" w:rsidRPr="003B5EA4">
              <w:t xml:space="preserve">OMPI, </w:t>
            </w:r>
            <w:r w:rsidR="001F7AEE" w:rsidRPr="003B5EA4">
              <w:t xml:space="preserve">OMS, OMT, </w:t>
            </w:r>
            <w:r w:rsidRPr="003B5EA4">
              <w:t xml:space="preserve">ONU, ONU-Femmes, ONUDC, </w:t>
            </w:r>
            <w:r w:rsidR="00C63A3D" w:rsidRPr="003B5EA4">
              <w:t xml:space="preserve">ONUSIDA, PNUD, </w:t>
            </w:r>
            <w:r w:rsidRPr="003B5EA4">
              <w:t xml:space="preserve">UIT, </w:t>
            </w:r>
            <w:r w:rsidR="001F7AEE" w:rsidRPr="003B5EA4">
              <w:t>UNESCO, UNICEF</w:t>
            </w:r>
            <w:r w:rsidR="008F6BD5" w:rsidRPr="003B5EA4">
              <w:t xml:space="preserve"> et</w:t>
            </w:r>
            <w:r w:rsidR="001F7AEE" w:rsidRPr="003B5EA4">
              <w:t xml:space="preserve"> </w:t>
            </w:r>
            <w:r w:rsidR="00C63A3D" w:rsidRPr="003B5EA4">
              <w:t>UNRWA</w:t>
            </w:r>
          </w:p>
        </w:tc>
        <w:tc>
          <w:tcPr>
            <w:tcW w:w="4611" w:type="dxa"/>
            <w:shd w:val="clear" w:color="auto" w:fill="auto"/>
            <w:tcMar>
              <w:right w:w="0" w:type="dxa"/>
            </w:tcMar>
          </w:tcPr>
          <w:p w:rsidR="008F6BD5" w:rsidRPr="003B5EA4" w:rsidRDefault="008F6BD5" w:rsidP="008F6BD5">
            <w:pPr>
              <w:suppressAutoHyphens w:val="0"/>
              <w:spacing w:before="40" w:after="120"/>
            </w:pPr>
            <w:r w:rsidRPr="003B5EA4">
              <w:t xml:space="preserve">AIEA (somme forfaitaire uniquement </w:t>
            </w:r>
            <w:r w:rsidR="007303E5">
              <w:t>−</w:t>
            </w:r>
            <w:r w:rsidRPr="003B5EA4">
              <w:t xml:space="preserve"> 3 500 euros maximum)</w:t>
            </w:r>
          </w:p>
          <w:p w:rsidR="00C63A3D" w:rsidRPr="003B5EA4" w:rsidRDefault="00C63A3D" w:rsidP="00C63A3D">
            <w:pPr>
              <w:suppressAutoHyphens w:val="0"/>
              <w:spacing w:before="40" w:after="120"/>
            </w:pPr>
            <w:r w:rsidRPr="003B5EA4">
              <w:t>FAO (classe affaires à partir de 12 heures)</w:t>
            </w:r>
          </w:p>
          <w:p w:rsidR="00C63A3D" w:rsidRPr="003B5EA4" w:rsidRDefault="00C63A3D" w:rsidP="00C63A3D">
            <w:pPr>
              <w:suppressAutoHyphens w:val="0"/>
              <w:spacing w:before="40" w:after="120"/>
            </w:pPr>
            <w:r w:rsidRPr="003B5EA4">
              <w:t>ONUDI (D-2, classe affaires quelle que soit la durée)</w:t>
            </w:r>
          </w:p>
          <w:p w:rsidR="00890A7B" w:rsidRPr="003B5EA4" w:rsidRDefault="00C63A3D" w:rsidP="00C63A3D">
            <w:pPr>
              <w:suppressAutoHyphens w:val="0"/>
              <w:spacing w:before="40" w:after="120"/>
            </w:pPr>
            <w:r w:rsidRPr="003B5EA4">
              <w:t>UNOPS (D-1 et D-2, classe affaires à partir de 8 heures)</w:t>
            </w:r>
          </w:p>
        </w:tc>
      </w:tr>
      <w:tr w:rsidR="00890A7B" w:rsidRPr="003B5EA4" w:rsidTr="00160058">
        <w:trPr>
          <w:trHeight w:val="240"/>
        </w:trPr>
        <w:tc>
          <w:tcPr>
            <w:tcW w:w="1984" w:type="dxa"/>
            <w:shd w:val="clear" w:color="auto" w:fill="auto"/>
          </w:tcPr>
          <w:p w:rsidR="00890A7B" w:rsidRPr="003B5EA4" w:rsidRDefault="00C63A3D" w:rsidP="00216160">
            <w:pPr>
              <w:suppressAutoHyphens w:val="0"/>
              <w:spacing w:before="40" w:after="120"/>
              <w:ind w:right="113"/>
            </w:pPr>
            <w:r w:rsidRPr="003B5EA4">
              <w:rPr>
                <w:bCs/>
              </w:rPr>
              <w:t>Visite familiale</w:t>
            </w:r>
          </w:p>
        </w:tc>
        <w:tc>
          <w:tcPr>
            <w:tcW w:w="3828" w:type="dxa"/>
            <w:shd w:val="clear" w:color="auto" w:fill="auto"/>
          </w:tcPr>
          <w:p w:rsidR="00890A7B" w:rsidRPr="007345E3" w:rsidRDefault="00C63A3D" w:rsidP="008D0E4C">
            <w:pPr>
              <w:suppressAutoHyphens w:val="0"/>
              <w:spacing w:before="40" w:after="120"/>
              <w:ind w:right="113"/>
            </w:pPr>
            <w:r w:rsidRPr="007345E3">
              <w:t>OIT, ONUDI (sous D-2),</w:t>
            </w:r>
            <w:r w:rsidR="00587D6E" w:rsidRPr="007345E3">
              <w:t xml:space="preserve"> PAM et</w:t>
            </w:r>
            <w:r w:rsidR="008D0E4C">
              <w:t> </w:t>
            </w:r>
            <w:r w:rsidRPr="007345E3">
              <w:t>UNOPS (sous D-1)</w:t>
            </w:r>
          </w:p>
        </w:tc>
        <w:tc>
          <w:tcPr>
            <w:tcW w:w="3355" w:type="dxa"/>
            <w:shd w:val="clear" w:color="auto" w:fill="auto"/>
          </w:tcPr>
          <w:p w:rsidR="00890A7B" w:rsidRPr="003B5EA4" w:rsidRDefault="00587D6E" w:rsidP="00216160">
            <w:pPr>
              <w:suppressAutoHyphens w:val="0"/>
              <w:spacing w:before="40" w:after="120"/>
              <w:ind w:right="113"/>
            </w:pPr>
            <w:r w:rsidRPr="003B5EA4">
              <w:t>CCI</w:t>
            </w:r>
            <w:r w:rsidRPr="003B5EA4">
              <w:rPr>
                <w:sz w:val="18"/>
                <w:szCs w:val="18"/>
              </w:rPr>
              <w:t>*</w:t>
            </w:r>
            <w:r w:rsidRPr="003B5EA4">
              <w:t xml:space="preserve">, FNUAP, HCR, </w:t>
            </w:r>
            <w:r w:rsidR="00C63A3D" w:rsidRPr="003B5EA4">
              <w:t>OACI,</w:t>
            </w:r>
            <w:r w:rsidR="008F6BD5" w:rsidRPr="003B5EA4">
              <w:t xml:space="preserve"> </w:t>
            </w:r>
            <w:r w:rsidR="00C63A3D" w:rsidRPr="003B5EA4">
              <w:t xml:space="preserve">OMI, </w:t>
            </w:r>
            <w:r w:rsidR="00584A17" w:rsidRPr="003B5EA4">
              <w:t xml:space="preserve">OMM, OMS, OMT, </w:t>
            </w:r>
            <w:r w:rsidR="00C63A3D" w:rsidRPr="003B5EA4">
              <w:t xml:space="preserve">ONU, </w:t>
            </w:r>
            <w:r w:rsidR="00584A17" w:rsidRPr="003B5EA4">
              <w:t xml:space="preserve">ONU-Femmes, ONUDC, </w:t>
            </w:r>
            <w:r w:rsidR="00C63A3D" w:rsidRPr="003B5EA4">
              <w:t xml:space="preserve">ONUSIDA, PNUD, </w:t>
            </w:r>
            <w:r w:rsidR="00584A17" w:rsidRPr="003B5EA4">
              <w:t xml:space="preserve">UIT, </w:t>
            </w:r>
            <w:r w:rsidR="00C63A3D" w:rsidRPr="003B5EA4">
              <w:t>UNESCO, UNICEF</w:t>
            </w:r>
            <w:r w:rsidR="00584A17" w:rsidRPr="003B5EA4">
              <w:t xml:space="preserve"> et</w:t>
            </w:r>
            <w:r w:rsidR="00C63A3D" w:rsidRPr="003B5EA4">
              <w:t xml:space="preserve"> </w:t>
            </w:r>
            <w:r w:rsidR="00584A17" w:rsidRPr="003B5EA4">
              <w:t>UNRWA</w:t>
            </w:r>
          </w:p>
        </w:tc>
        <w:tc>
          <w:tcPr>
            <w:tcW w:w="4611" w:type="dxa"/>
            <w:shd w:val="clear" w:color="auto" w:fill="auto"/>
            <w:tcMar>
              <w:right w:w="0" w:type="dxa"/>
            </w:tcMar>
          </w:tcPr>
          <w:p w:rsidR="00416D89" w:rsidRPr="003B5EA4" w:rsidRDefault="00416D89" w:rsidP="00416D89">
            <w:pPr>
              <w:suppressAutoHyphens w:val="0"/>
              <w:spacing w:before="40" w:after="120"/>
            </w:pPr>
            <w:r w:rsidRPr="003B5EA4">
              <w:t xml:space="preserve">AIEA (somme forfaitaire uniquement </w:t>
            </w:r>
            <w:r w:rsidR="007303E5">
              <w:t>−</w:t>
            </w:r>
            <w:r w:rsidRPr="003B5EA4">
              <w:t xml:space="preserve"> 3 500 euros maximum)</w:t>
            </w:r>
          </w:p>
          <w:p w:rsidR="00CE3461" w:rsidRPr="003B5EA4" w:rsidRDefault="00CE3461" w:rsidP="00CE3461">
            <w:pPr>
              <w:suppressAutoHyphens w:val="0"/>
              <w:spacing w:before="40" w:after="120"/>
            </w:pPr>
            <w:r w:rsidRPr="003B5EA4">
              <w:t>FAO (classe affaires à partir de 12 heures)</w:t>
            </w:r>
          </w:p>
          <w:p w:rsidR="00CE3461" w:rsidRPr="003B5EA4" w:rsidRDefault="00CE3461" w:rsidP="00CE3461">
            <w:pPr>
              <w:suppressAutoHyphens w:val="0"/>
              <w:spacing w:before="40" w:after="120"/>
            </w:pPr>
            <w:r w:rsidRPr="003B5EA4">
              <w:t xml:space="preserve">ONUDI (D-2, classe affaires quelle que soit la durée) </w:t>
            </w:r>
          </w:p>
          <w:p w:rsidR="00890A7B" w:rsidRPr="003B5EA4" w:rsidRDefault="00CE3461" w:rsidP="00CE3461">
            <w:pPr>
              <w:suppressAutoHyphens w:val="0"/>
              <w:spacing w:before="40" w:after="120"/>
            </w:pPr>
            <w:r w:rsidRPr="003B5EA4">
              <w:t>UNOPS (D-1 et D-2, classe affaires à partir de 8 heures)</w:t>
            </w:r>
          </w:p>
        </w:tc>
      </w:tr>
      <w:tr w:rsidR="00890A7B" w:rsidRPr="003B5EA4" w:rsidTr="00160058">
        <w:trPr>
          <w:trHeight w:val="240"/>
        </w:trPr>
        <w:tc>
          <w:tcPr>
            <w:tcW w:w="1984" w:type="dxa"/>
            <w:tcBorders>
              <w:bottom w:val="single" w:sz="12" w:space="0" w:color="auto"/>
            </w:tcBorders>
            <w:shd w:val="clear" w:color="auto" w:fill="auto"/>
          </w:tcPr>
          <w:p w:rsidR="00890A7B" w:rsidRPr="003B5EA4" w:rsidRDefault="00CE3461" w:rsidP="00216160">
            <w:pPr>
              <w:suppressAutoHyphens w:val="0"/>
              <w:spacing w:before="40" w:after="120"/>
              <w:ind w:right="113"/>
            </w:pPr>
            <w:r w:rsidRPr="003B5EA4">
              <w:rPr>
                <w:bCs/>
              </w:rPr>
              <w:t xml:space="preserve">Voyage au titre </w:t>
            </w:r>
            <w:r w:rsidR="00A92F62" w:rsidRPr="003B5EA4">
              <w:rPr>
                <w:bCs/>
              </w:rPr>
              <w:br/>
            </w:r>
            <w:r w:rsidRPr="003B5EA4">
              <w:rPr>
                <w:bCs/>
              </w:rPr>
              <w:t>des études</w:t>
            </w:r>
          </w:p>
        </w:tc>
        <w:tc>
          <w:tcPr>
            <w:tcW w:w="3828" w:type="dxa"/>
            <w:tcBorders>
              <w:bottom w:val="single" w:sz="12" w:space="0" w:color="auto"/>
            </w:tcBorders>
            <w:shd w:val="clear" w:color="auto" w:fill="auto"/>
          </w:tcPr>
          <w:p w:rsidR="00890A7B" w:rsidRPr="007345E3" w:rsidRDefault="00CE3461" w:rsidP="00216160">
            <w:pPr>
              <w:suppressAutoHyphens w:val="0"/>
              <w:spacing w:before="40" w:after="120"/>
              <w:ind w:right="113"/>
            </w:pPr>
            <w:r w:rsidRPr="007345E3">
              <w:t>UNOPS (sous D-1)</w:t>
            </w:r>
          </w:p>
        </w:tc>
        <w:tc>
          <w:tcPr>
            <w:tcW w:w="3355" w:type="dxa"/>
            <w:tcBorders>
              <w:bottom w:val="single" w:sz="12" w:space="0" w:color="auto"/>
            </w:tcBorders>
            <w:shd w:val="clear" w:color="auto" w:fill="auto"/>
          </w:tcPr>
          <w:p w:rsidR="00890A7B" w:rsidRPr="003B5EA4" w:rsidRDefault="00D3544D" w:rsidP="00216160">
            <w:pPr>
              <w:suppressAutoHyphens w:val="0"/>
              <w:spacing w:before="40" w:after="120"/>
              <w:ind w:right="113"/>
            </w:pPr>
            <w:r w:rsidRPr="003B5EA4">
              <w:t>CCI</w:t>
            </w:r>
            <w:r w:rsidRPr="003B5EA4">
              <w:rPr>
                <w:sz w:val="18"/>
                <w:szCs w:val="18"/>
              </w:rPr>
              <w:t>*</w:t>
            </w:r>
            <w:r w:rsidRPr="003B5EA4">
              <w:t xml:space="preserve">, </w:t>
            </w:r>
            <w:r w:rsidR="00CE3461" w:rsidRPr="003B5EA4">
              <w:t xml:space="preserve">FAO, </w:t>
            </w:r>
            <w:r w:rsidRPr="003B5EA4">
              <w:t xml:space="preserve">FNUAP, HCR, </w:t>
            </w:r>
            <w:r w:rsidR="00CE3461" w:rsidRPr="003B5EA4">
              <w:t>OACI,</w:t>
            </w:r>
            <w:r w:rsidRPr="003B5EA4">
              <w:t xml:space="preserve"> </w:t>
            </w:r>
            <w:r w:rsidR="00CE3461" w:rsidRPr="003B5EA4">
              <w:t xml:space="preserve">OIT, OMI, </w:t>
            </w:r>
            <w:r w:rsidR="00350DEE" w:rsidRPr="003B5EA4">
              <w:t xml:space="preserve">OMM, OMPI, OMS, OMT, </w:t>
            </w:r>
            <w:r w:rsidRPr="003B5EA4">
              <w:t xml:space="preserve">ONU, ONU-Femmes, ONUDC, ONUDI, ONUSIDA, </w:t>
            </w:r>
            <w:r w:rsidR="00350DEE" w:rsidRPr="003B5EA4">
              <w:t xml:space="preserve">PAM, </w:t>
            </w:r>
            <w:r w:rsidR="00CE3461" w:rsidRPr="003B5EA4">
              <w:t xml:space="preserve">PNUD, </w:t>
            </w:r>
            <w:r w:rsidR="00350DEE" w:rsidRPr="003B5EA4">
              <w:t xml:space="preserve">UIT, </w:t>
            </w:r>
            <w:r w:rsidR="00CE3461" w:rsidRPr="003B5EA4">
              <w:t>UNESCO, UNICEF</w:t>
            </w:r>
            <w:r w:rsidR="00350DEE" w:rsidRPr="003B5EA4">
              <w:t xml:space="preserve"> et</w:t>
            </w:r>
            <w:r w:rsidR="00CE3461" w:rsidRPr="003B5EA4">
              <w:t xml:space="preserve"> </w:t>
            </w:r>
            <w:r w:rsidR="00350DEE" w:rsidRPr="003B5EA4">
              <w:t>UNRWA</w:t>
            </w:r>
          </w:p>
        </w:tc>
        <w:tc>
          <w:tcPr>
            <w:tcW w:w="4611" w:type="dxa"/>
            <w:tcBorders>
              <w:bottom w:val="single" w:sz="12" w:space="0" w:color="auto"/>
            </w:tcBorders>
            <w:shd w:val="clear" w:color="auto" w:fill="auto"/>
            <w:tcMar>
              <w:right w:w="0" w:type="dxa"/>
            </w:tcMar>
          </w:tcPr>
          <w:p w:rsidR="00A92F62" w:rsidRPr="003B5EA4" w:rsidRDefault="00A92F62" w:rsidP="00A92F62">
            <w:pPr>
              <w:suppressAutoHyphens w:val="0"/>
              <w:spacing w:before="40" w:after="120"/>
            </w:pPr>
            <w:r w:rsidRPr="003B5EA4">
              <w:t>AIEA (somme forfaitaire uniquement)</w:t>
            </w:r>
          </w:p>
          <w:p w:rsidR="00890A7B" w:rsidRPr="003B5EA4" w:rsidRDefault="00CE3461" w:rsidP="00CE3461">
            <w:pPr>
              <w:suppressAutoHyphens w:val="0"/>
              <w:spacing w:before="40" w:after="120"/>
            </w:pPr>
            <w:r w:rsidRPr="003B5EA4">
              <w:t>UNOPS (D-1 et D-2, classe affaires à partir de 8 heures)</w:t>
            </w:r>
          </w:p>
        </w:tc>
      </w:tr>
    </w:tbl>
    <w:p w:rsidR="001E4A56" w:rsidRDefault="001E4A56" w:rsidP="001F6974">
      <w:pPr>
        <w:pStyle w:val="SingleTxtG"/>
        <w:spacing w:before="120" w:after="0"/>
        <w:ind w:left="284" w:right="284" w:firstLine="170"/>
        <w:jc w:val="left"/>
        <w:rPr>
          <w:sz w:val="18"/>
          <w:szCs w:val="18"/>
        </w:rPr>
      </w:pPr>
      <w:r w:rsidRPr="00413635">
        <w:rPr>
          <w:i/>
          <w:sz w:val="18"/>
          <w:szCs w:val="18"/>
        </w:rPr>
        <w:t>Source</w:t>
      </w:r>
      <w:r>
        <w:rPr>
          <w:sz w:val="18"/>
          <w:szCs w:val="18"/>
        </w:rPr>
        <w:t xml:space="preserve"> : </w:t>
      </w:r>
      <w:r w:rsidRPr="00CF52BD">
        <w:rPr>
          <w:sz w:val="18"/>
          <w:szCs w:val="18"/>
        </w:rPr>
        <w:t>Politiques des organismes et réponses des organismes au questionnaire</w:t>
      </w:r>
      <w:r>
        <w:rPr>
          <w:sz w:val="18"/>
          <w:szCs w:val="18"/>
        </w:rPr>
        <w:t>.</w:t>
      </w:r>
    </w:p>
    <w:p w:rsidR="001F6974" w:rsidRPr="003B5EA4" w:rsidRDefault="001F6974" w:rsidP="001E4A56">
      <w:pPr>
        <w:pStyle w:val="SingleTxtG"/>
        <w:keepNext/>
        <w:spacing w:after="0"/>
        <w:ind w:left="284" w:right="284" w:firstLine="170"/>
        <w:jc w:val="left"/>
        <w:rPr>
          <w:sz w:val="18"/>
          <w:szCs w:val="18"/>
        </w:rPr>
      </w:pPr>
      <w:r w:rsidRPr="003B5EA4">
        <w:rPr>
          <w:i/>
          <w:sz w:val="18"/>
          <w:szCs w:val="18"/>
        </w:rPr>
        <w:lastRenderedPageBreak/>
        <w:t>Notes</w:t>
      </w:r>
      <w:r w:rsidRPr="003B5EA4">
        <w:rPr>
          <w:sz w:val="18"/>
          <w:szCs w:val="18"/>
        </w:rPr>
        <w:t> :</w:t>
      </w:r>
    </w:p>
    <w:p w:rsidR="0049486B" w:rsidRPr="003B5EA4" w:rsidRDefault="0049486B" w:rsidP="0049486B">
      <w:pPr>
        <w:pStyle w:val="SingleTxtG"/>
        <w:spacing w:after="0"/>
        <w:ind w:left="284" w:right="284" w:firstLine="170"/>
        <w:jc w:val="left"/>
        <w:rPr>
          <w:sz w:val="18"/>
          <w:szCs w:val="18"/>
        </w:rPr>
      </w:pPr>
      <w:r w:rsidRPr="003B5EA4">
        <w:rPr>
          <w:sz w:val="18"/>
          <w:szCs w:val="18"/>
        </w:rPr>
        <w:t>AIEA</w:t>
      </w:r>
      <w:r>
        <w:rPr>
          <w:sz w:val="18"/>
          <w:szCs w:val="18"/>
        </w:rPr>
        <w:t> :</w:t>
      </w:r>
      <w:r w:rsidRPr="003B5EA4">
        <w:rPr>
          <w:sz w:val="18"/>
          <w:szCs w:val="18"/>
        </w:rPr>
        <w:t xml:space="preserve"> </w:t>
      </w:r>
      <w:r>
        <w:rPr>
          <w:sz w:val="18"/>
          <w:szCs w:val="18"/>
        </w:rPr>
        <w:t>e</w:t>
      </w:r>
      <w:r w:rsidRPr="003B5EA4">
        <w:rPr>
          <w:sz w:val="18"/>
          <w:szCs w:val="18"/>
        </w:rPr>
        <w:t>n cas de voyage pour des raisons médicales, de sûreté et de sécurité, la classe est déterminée au cas par cas et selon la situation.</w:t>
      </w:r>
    </w:p>
    <w:p w:rsidR="001F6974" w:rsidRPr="003B5EA4" w:rsidRDefault="001F6974" w:rsidP="001F6974">
      <w:pPr>
        <w:pStyle w:val="SingleTxtG"/>
        <w:spacing w:after="0"/>
        <w:ind w:left="284" w:right="284" w:firstLine="170"/>
        <w:jc w:val="left"/>
        <w:rPr>
          <w:sz w:val="18"/>
          <w:szCs w:val="18"/>
        </w:rPr>
      </w:pPr>
      <w:r w:rsidRPr="003B5EA4">
        <w:rPr>
          <w:sz w:val="18"/>
          <w:szCs w:val="18"/>
        </w:rPr>
        <w:t>FAO</w:t>
      </w:r>
      <w:r w:rsidR="00CF52BD">
        <w:rPr>
          <w:sz w:val="18"/>
          <w:szCs w:val="18"/>
        </w:rPr>
        <w:t> :</w:t>
      </w:r>
      <w:r w:rsidRPr="003B5EA4">
        <w:rPr>
          <w:sz w:val="18"/>
          <w:szCs w:val="18"/>
        </w:rPr>
        <w:t xml:space="preserve"> </w:t>
      </w:r>
      <w:r w:rsidR="003E29AC">
        <w:rPr>
          <w:sz w:val="18"/>
          <w:szCs w:val="18"/>
        </w:rPr>
        <w:t>u</w:t>
      </w:r>
      <w:r w:rsidRPr="003B5EA4">
        <w:rPr>
          <w:sz w:val="18"/>
          <w:szCs w:val="18"/>
        </w:rPr>
        <w:t>ne classe de voyage supérieure peut être autorisée pour raisons médicales</w:t>
      </w:r>
      <w:r w:rsidR="00BF0B8F">
        <w:rPr>
          <w:sz w:val="18"/>
          <w:szCs w:val="18"/>
        </w:rPr>
        <w:t> ;</w:t>
      </w:r>
      <w:r w:rsidRPr="003B5EA4">
        <w:rPr>
          <w:sz w:val="18"/>
          <w:szCs w:val="18"/>
        </w:rPr>
        <w:t xml:space="preserve"> tarif le moins cher en cas de voyage pour raisons médicales, de sûreté et de sécurité, et au titre </w:t>
      </w:r>
      <w:r w:rsidR="00D665EC">
        <w:rPr>
          <w:sz w:val="18"/>
          <w:szCs w:val="18"/>
        </w:rPr>
        <w:br/>
      </w:r>
      <w:r w:rsidRPr="003B5EA4">
        <w:rPr>
          <w:sz w:val="18"/>
          <w:szCs w:val="18"/>
        </w:rPr>
        <w:t>des études.</w:t>
      </w:r>
    </w:p>
    <w:p w:rsidR="0049486B" w:rsidRPr="003B5EA4" w:rsidRDefault="0049486B" w:rsidP="0049486B">
      <w:pPr>
        <w:pStyle w:val="SingleTxtG"/>
        <w:spacing w:after="0"/>
        <w:ind w:left="284" w:right="284" w:firstLine="170"/>
        <w:jc w:val="left"/>
        <w:rPr>
          <w:sz w:val="18"/>
          <w:szCs w:val="18"/>
        </w:rPr>
      </w:pPr>
      <w:r w:rsidRPr="003B5EA4">
        <w:rPr>
          <w:sz w:val="18"/>
          <w:szCs w:val="18"/>
        </w:rPr>
        <w:t>HCR</w:t>
      </w:r>
      <w:r>
        <w:rPr>
          <w:sz w:val="18"/>
          <w:szCs w:val="18"/>
        </w:rPr>
        <w:t> :</w:t>
      </w:r>
      <w:r w:rsidRPr="003B5EA4">
        <w:rPr>
          <w:sz w:val="18"/>
          <w:szCs w:val="18"/>
        </w:rPr>
        <w:t xml:space="preserve"> </w:t>
      </w:r>
      <w:r>
        <w:rPr>
          <w:sz w:val="18"/>
          <w:szCs w:val="18"/>
        </w:rPr>
        <w:t>c</w:t>
      </w:r>
      <w:r w:rsidRPr="003B5EA4">
        <w:rPr>
          <w:sz w:val="18"/>
          <w:szCs w:val="18"/>
        </w:rPr>
        <w:t>lasse affaires à partir de 9</w:t>
      </w:r>
      <w:r>
        <w:rPr>
          <w:sz w:val="18"/>
          <w:szCs w:val="18"/>
        </w:rPr>
        <w:t> </w:t>
      </w:r>
      <w:r w:rsidRPr="003B5EA4">
        <w:rPr>
          <w:sz w:val="18"/>
          <w:szCs w:val="18"/>
        </w:rPr>
        <w:t>heures pour les voyages directs et à partir de 11 heures pour les vols à segments ou indirects.</w:t>
      </w:r>
    </w:p>
    <w:p w:rsidR="001F6974" w:rsidRPr="003B5EA4" w:rsidRDefault="001F6974" w:rsidP="001F6974">
      <w:pPr>
        <w:pStyle w:val="SingleTxtG"/>
        <w:spacing w:after="0"/>
        <w:ind w:left="284" w:right="284" w:firstLine="170"/>
        <w:jc w:val="left"/>
        <w:rPr>
          <w:sz w:val="18"/>
          <w:szCs w:val="18"/>
        </w:rPr>
      </w:pPr>
      <w:r w:rsidRPr="003B5EA4">
        <w:rPr>
          <w:sz w:val="18"/>
          <w:szCs w:val="18"/>
        </w:rPr>
        <w:t>OMI</w:t>
      </w:r>
      <w:r w:rsidR="00CF52BD">
        <w:rPr>
          <w:sz w:val="18"/>
          <w:szCs w:val="18"/>
        </w:rPr>
        <w:t> :</w:t>
      </w:r>
      <w:r w:rsidRPr="003B5EA4">
        <w:rPr>
          <w:sz w:val="18"/>
          <w:szCs w:val="18"/>
        </w:rPr>
        <w:t xml:space="preserve"> </w:t>
      </w:r>
      <w:r w:rsidR="003E29AC">
        <w:rPr>
          <w:sz w:val="18"/>
          <w:szCs w:val="18"/>
        </w:rPr>
        <w:t>p</w:t>
      </w:r>
      <w:r w:rsidRPr="003B5EA4">
        <w:rPr>
          <w:sz w:val="18"/>
          <w:szCs w:val="18"/>
        </w:rPr>
        <w:t>as de politique établie pour les évacuations et les voyages pour des raisons médicales, de sûreté et de sécurité, ou de cessation de service.</w:t>
      </w:r>
    </w:p>
    <w:p w:rsidR="0062605B" w:rsidRPr="003B5EA4" w:rsidRDefault="0062605B" w:rsidP="0062605B">
      <w:pPr>
        <w:pStyle w:val="SingleTxtG"/>
        <w:spacing w:after="0"/>
        <w:ind w:left="284" w:right="284" w:firstLine="170"/>
        <w:jc w:val="left"/>
        <w:rPr>
          <w:sz w:val="18"/>
          <w:szCs w:val="18"/>
        </w:rPr>
      </w:pPr>
      <w:r w:rsidRPr="003B5EA4">
        <w:rPr>
          <w:sz w:val="18"/>
          <w:szCs w:val="18"/>
        </w:rPr>
        <w:t>ONU-Femmes</w:t>
      </w:r>
      <w:r>
        <w:rPr>
          <w:sz w:val="18"/>
          <w:szCs w:val="18"/>
        </w:rPr>
        <w:t> :</w:t>
      </w:r>
      <w:r w:rsidRPr="003B5EA4">
        <w:rPr>
          <w:sz w:val="18"/>
          <w:szCs w:val="18"/>
        </w:rPr>
        <w:t xml:space="preserve"> </w:t>
      </w:r>
      <w:r>
        <w:rPr>
          <w:sz w:val="18"/>
          <w:szCs w:val="18"/>
        </w:rPr>
        <w:t>l</w:t>
      </w:r>
      <w:r w:rsidRPr="003B5EA4">
        <w:rPr>
          <w:sz w:val="18"/>
          <w:szCs w:val="18"/>
        </w:rPr>
        <w:t>es évacuations sont gérées par les bureaux de pays du PNUD.</w:t>
      </w:r>
    </w:p>
    <w:p w:rsidR="001F6974" w:rsidRPr="003B5EA4" w:rsidRDefault="001F6974" w:rsidP="001F6974">
      <w:pPr>
        <w:pStyle w:val="SingleTxtG"/>
        <w:spacing w:after="0"/>
        <w:ind w:left="284" w:right="284" w:firstLine="170"/>
        <w:jc w:val="left"/>
        <w:rPr>
          <w:sz w:val="18"/>
          <w:szCs w:val="18"/>
        </w:rPr>
      </w:pPr>
      <w:r w:rsidRPr="003B5EA4">
        <w:rPr>
          <w:sz w:val="18"/>
          <w:szCs w:val="18"/>
        </w:rPr>
        <w:t>ONUSIDA</w:t>
      </w:r>
      <w:r w:rsidR="00CF52BD">
        <w:rPr>
          <w:sz w:val="18"/>
          <w:szCs w:val="18"/>
        </w:rPr>
        <w:t> :</w:t>
      </w:r>
      <w:r w:rsidRPr="003B5EA4">
        <w:rPr>
          <w:sz w:val="18"/>
          <w:szCs w:val="18"/>
        </w:rPr>
        <w:t xml:space="preserve"> </w:t>
      </w:r>
      <w:r w:rsidR="00D17F2B">
        <w:rPr>
          <w:sz w:val="18"/>
          <w:szCs w:val="18"/>
        </w:rPr>
        <w:t>p</w:t>
      </w:r>
      <w:r w:rsidRPr="003B5EA4">
        <w:rPr>
          <w:sz w:val="18"/>
          <w:szCs w:val="18"/>
        </w:rPr>
        <w:t>our les évacuations et les voyages pour raisons médicale, de sûreté et de sécurité, un surclassement en classe affaires peut être recommandé par les services médicaux de l</w:t>
      </w:r>
      <w:r w:rsidR="00762E0A">
        <w:rPr>
          <w:sz w:val="18"/>
          <w:szCs w:val="18"/>
        </w:rPr>
        <w:t>’</w:t>
      </w:r>
      <w:r w:rsidRPr="003B5EA4">
        <w:rPr>
          <w:sz w:val="18"/>
          <w:szCs w:val="18"/>
        </w:rPr>
        <w:t>OMS, pour des raisons de santé.</w:t>
      </w:r>
    </w:p>
    <w:p w:rsidR="0062605B" w:rsidRDefault="0062605B" w:rsidP="0062605B">
      <w:pPr>
        <w:pStyle w:val="SingleTxtG"/>
        <w:spacing w:after="0"/>
        <w:ind w:left="284" w:right="284" w:firstLine="170"/>
        <w:jc w:val="left"/>
        <w:rPr>
          <w:sz w:val="18"/>
          <w:szCs w:val="18"/>
        </w:rPr>
      </w:pPr>
      <w:r w:rsidRPr="003B5EA4">
        <w:rPr>
          <w:sz w:val="18"/>
          <w:szCs w:val="18"/>
        </w:rPr>
        <w:t>OMPI</w:t>
      </w:r>
      <w:r>
        <w:rPr>
          <w:sz w:val="18"/>
          <w:szCs w:val="18"/>
        </w:rPr>
        <w:t> :</w:t>
      </w:r>
      <w:r w:rsidRPr="003B5EA4">
        <w:rPr>
          <w:sz w:val="18"/>
          <w:szCs w:val="18"/>
        </w:rPr>
        <w:t xml:space="preserve"> </w:t>
      </w:r>
      <w:r>
        <w:rPr>
          <w:sz w:val="18"/>
          <w:szCs w:val="18"/>
        </w:rPr>
        <w:t>p</w:t>
      </w:r>
      <w:r w:rsidRPr="003B5EA4">
        <w:rPr>
          <w:sz w:val="18"/>
          <w:szCs w:val="18"/>
        </w:rPr>
        <w:t>as de politique établ</w:t>
      </w:r>
      <w:r>
        <w:rPr>
          <w:sz w:val="18"/>
          <w:szCs w:val="18"/>
        </w:rPr>
        <w:t>ie pour les visites familiales.</w:t>
      </w:r>
    </w:p>
    <w:p w:rsidR="0062605B" w:rsidRPr="003B5EA4" w:rsidRDefault="0062605B" w:rsidP="0062605B">
      <w:pPr>
        <w:pStyle w:val="SingleTxtG"/>
        <w:spacing w:after="0"/>
        <w:ind w:left="284" w:right="284" w:firstLine="170"/>
        <w:jc w:val="left"/>
        <w:rPr>
          <w:sz w:val="18"/>
          <w:szCs w:val="18"/>
        </w:rPr>
      </w:pPr>
      <w:r w:rsidRPr="003B5EA4">
        <w:rPr>
          <w:sz w:val="18"/>
          <w:szCs w:val="18"/>
        </w:rPr>
        <w:t>OMS</w:t>
      </w:r>
      <w:r>
        <w:rPr>
          <w:sz w:val="18"/>
          <w:szCs w:val="18"/>
        </w:rPr>
        <w:t> :</w:t>
      </w:r>
      <w:r w:rsidRPr="003B5EA4">
        <w:rPr>
          <w:sz w:val="18"/>
          <w:szCs w:val="18"/>
        </w:rPr>
        <w:t xml:space="preserve"> </w:t>
      </w:r>
      <w:r>
        <w:rPr>
          <w:sz w:val="18"/>
          <w:szCs w:val="18"/>
        </w:rPr>
        <w:t>p</w:t>
      </w:r>
      <w:r w:rsidRPr="003B5EA4">
        <w:rPr>
          <w:sz w:val="18"/>
          <w:szCs w:val="18"/>
        </w:rPr>
        <w:t>as de politique établie pour les évacuations ou les voyages de formation et de perfectionnement.</w:t>
      </w:r>
    </w:p>
    <w:p w:rsidR="0062605B" w:rsidRPr="003B5EA4" w:rsidRDefault="0062605B" w:rsidP="0062605B">
      <w:pPr>
        <w:pStyle w:val="SingleTxtG"/>
        <w:spacing w:after="0"/>
        <w:ind w:left="284" w:right="284" w:firstLine="170"/>
        <w:jc w:val="left"/>
        <w:rPr>
          <w:sz w:val="18"/>
          <w:szCs w:val="18"/>
        </w:rPr>
      </w:pPr>
      <w:r w:rsidRPr="003B5EA4">
        <w:rPr>
          <w:sz w:val="18"/>
          <w:szCs w:val="18"/>
        </w:rPr>
        <w:t>OMT</w:t>
      </w:r>
      <w:r>
        <w:rPr>
          <w:sz w:val="18"/>
          <w:szCs w:val="18"/>
        </w:rPr>
        <w:t> :</w:t>
      </w:r>
      <w:r w:rsidRPr="003B5EA4">
        <w:rPr>
          <w:sz w:val="18"/>
          <w:szCs w:val="18"/>
        </w:rPr>
        <w:t xml:space="preserve"> </w:t>
      </w:r>
      <w:r>
        <w:rPr>
          <w:sz w:val="18"/>
          <w:szCs w:val="18"/>
        </w:rPr>
        <w:t>p</w:t>
      </w:r>
      <w:r w:rsidRPr="003B5EA4">
        <w:rPr>
          <w:sz w:val="18"/>
          <w:szCs w:val="18"/>
        </w:rPr>
        <w:t>as de politique établie pour les évacuations et les voyages pour raisons médicales, de sûreté et de sécurité, ou de formation et perfectionnement.</w:t>
      </w:r>
    </w:p>
    <w:p w:rsidR="0062605B" w:rsidRPr="003B5EA4" w:rsidRDefault="0062605B" w:rsidP="0062605B">
      <w:pPr>
        <w:pStyle w:val="SingleTxtG"/>
        <w:spacing w:after="0"/>
        <w:ind w:left="284" w:right="284" w:firstLine="170"/>
        <w:jc w:val="left"/>
        <w:rPr>
          <w:sz w:val="18"/>
          <w:szCs w:val="18"/>
        </w:rPr>
      </w:pPr>
      <w:r w:rsidRPr="003B5EA4">
        <w:rPr>
          <w:sz w:val="18"/>
          <w:szCs w:val="18"/>
        </w:rPr>
        <w:t>PAM</w:t>
      </w:r>
      <w:r>
        <w:rPr>
          <w:sz w:val="18"/>
          <w:szCs w:val="18"/>
        </w:rPr>
        <w:t> :</w:t>
      </w:r>
      <w:r w:rsidRPr="003B5EA4">
        <w:rPr>
          <w:sz w:val="18"/>
          <w:szCs w:val="18"/>
        </w:rPr>
        <w:t xml:space="preserve"> </w:t>
      </w:r>
      <w:r>
        <w:rPr>
          <w:sz w:val="18"/>
          <w:szCs w:val="18"/>
        </w:rPr>
        <w:t>l</w:t>
      </w:r>
      <w:r w:rsidRPr="003B5EA4">
        <w:rPr>
          <w:sz w:val="18"/>
          <w:szCs w:val="18"/>
        </w:rPr>
        <w:t>es voyages pour raisons médic</w:t>
      </w:r>
      <w:r w:rsidR="00C27E85">
        <w:rPr>
          <w:sz w:val="18"/>
          <w:szCs w:val="18"/>
        </w:rPr>
        <w:t>ales peuvent s</w:t>
      </w:r>
      <w:r w:rsidRPr="003B5EA4">
        <w:rPr>
          <w:sz w:val="18"/>
          <w:szCs w:val="18"/>
        </w:rPr>
        <w:t>e faire en classe affaires, quelle que soit la durée du voyage, si certifié par le service médical.</w:t>
      </w:r>
    </w:p>
    <w:p w:rsidR="0062605B" w:rsidRPr="003B5EA4" w:rsidRDefault="0062605B" w:rsidP="0062605B">
      <w:pPr>
        <w:pStyle w:val="SingleTxtG"/>
        <w:spacing w:after="0"/>
        <w:ind w:left="284" w:right="284" w:firstLine="170"/>
        <w:jc w:val="left"/>
        <w:rPr>
          <w:sz w:val="18"/>
          <w:szCs w:val="18"/>
        </w:rPr>
      </w:pPr>
      <w:r w:rsidRPr="003B5EA4">
        <w:rPr>
          <w:sz w:val="18"/>
          <w:szCs w:val="18"/>
        </w:rPr>
        <w:t>UIT</w:t>
      </w:r>
      <w:r>
        <w:rPr>
          <w:sz w:val="18"/>
          <w:szCs w:val="18"/>
        </w:rPr>
        <w:t> : p</w:t>
      </w:r>
      <w:r w:rsidRPr="003B5EA4">
        <w:rPr>
          <w:sz w:val="18"/>
          <w:szCs w:val="18"/>
        </w:rPr>
        <w:t>as de politique pour les évacuations et les voyages pour raisons médicales, de sûreté et de sécurité.</w:t>
      </w:r>
    </w:p>
    <w:p w:rsidR="001F6974" w:rsidRPr="003B5EA4" w:rsidRDefault="001F6974" w:rsidP="001F6974">
      <w:pPr>
        <w:pStyle w:val="SingleTxtG"/>
        <w:spacing w:after="0"/>
        <w:ind w:left="284" w:right="284" w:firstLine="170"/>
        <w:jc w:val="left"/>
        <w:rPr>
          <w:sz w:val="18"/>
          <w:szCs w:val="18"/>
        </w:rPr>
      </w:pPr>
      <w:r w:rsidRPr="003B5EA4">
        <w:rPr>
          <w:sz w:val="18"/>
          <w:szCs w:val="18"/>
        </w:rPr>
        <w:t>UNESCO</w:t>
      </w:r>
      <w:r w:rsidR="00CF52BD">
        <w:rPr>
          <w:sz w:val="18"/>
          <w:szCs w:val="18"/>
        </w:rPr>
        <w:t> :</w:t>
      </w:r>
      <w:r w:rsidRPr="003B5EA4">
        <w:rPr>
          <w:sz w:val="18"/>
          <w:szCs w:val="18"/>
        </w:rPr>
        <w:t xml:space="preserve"> </w:t>
      </w:r>
      <w:r w:rsidR="003E29AC">
        <w:rPr>
          <w:sz w:val="18"/>
          <w:szCs w:val="18"/>
        </w:rPr>
        <w:t>p</w:t>
      </w:r>
      <w:r w:rsidRPr="003B5EA4">
        <w:rPr>
          <w:sz w:val="18"/>
          <w:szCs w:val="18"/>
        </w:rPr>
        <w:t>our les fonctionnaire de grade D-2 ou inférieur, classe économique pour toute catégorie de voyage sauf si autrement autorisé par le Chef du service médical.</w:t>
      </w:r>
    </w:p>
    <w:p w:rsidR="001F6974" w:rsidRPr="003B5EA4" w:rsidRDefault="001F6974" w:rsidP="001F6974">
      <w:pPr>
        <w:pStyle w:val="SingleTxtG"/>
        <w:spacing w:after="0"/>
        <w:ind w:left="284" w:right="284" w:firstLine="170"/>
        <w:jc w:val="left"/>
        <w:rPr>
          <w:sz w:val="18"/>
          <w:szCs w:val="18"/>
        </w:rPr>
      </w:pPr>
      <w:r w:rsidRPr="003B5EA4">
        <w:rPr>
          <w:sz w:val="18"/>
          <w:szCs w:val="18"/>
        </w:rPr>
        <w:t>UNRWA</w:t>
      </w:r>
      <w:r w:rsidR="00413635">
        <w:rPr>
          <w:sz w:val="18"/>
          <w:szCs w:val="18"/>
        </w:rPr>
        <w:t> :</w:t>
      </w:r>
      <w:r w:rsidRPr="003B5EA4">
        <w:rPr>
          <w:sz w:val="18"/>
          <w:szCs w:val="18"/>
        </w:rPr>
        <w:t xml:space="preserve"> </w:t>
      </w:r>
      <w:r w:rsidR="003E29AC">
        <w:rPr>
          <w:sz w:val="18"/>
          <w:szCs w:val="18"/>
        </w:rPr>
        <w:t>e</w:t>
      </w:r>
      <w:r w:rsidRPr="003B5EA4">
        <w:rPr>
          <w:sz w:val="18"/>
          <w:szCs w:val="18"/>
        </w:rPr>
        <w:t>n cas d</w:t>
      </w:r>
      <w:r w:rsidR="00762E0A">
        <w:rPr>
          <w:sz w:val="18"/>
          <w:szCs w:val="18"/>
        </w:rPr>
        <w:t>’</w:t>
      </w:r>
      <w:r w:rsidRPr="003B5EA4">
        <w:rPr>
          <w:sz w:val="18"/>
          <w:szCs w:val="18"/>
        </w:rPr>
        <w:t>évacuation et de voyage pour raisons médicales, de sûreté et de sécurité, le Commissaire général ou la personne déléguée peut autoriser un voyage en classe affaires si l</w:t>
      </w:r>
      <w:r w:rsidR="00762E0A">
        <w:rPr>
          <w:sz w:val="18"/>
          <w:szCs w:val="18"/>
        </w:rPr>
        <w:t>’</w:t>
      </w:r>
      <w:r w:rsidRPr="003B5EA4">
        <w:rPr>
          <w:sz w:val="18"/>
          <w:szCs w:val="18"/>
        </w:rPr>
        <w:t>état de santé du voyageur le nécessite.</w:t>
      </w:r>
    </w:p>
    <w:p w:rsidR="001F6974" w:rsidRPr="003B5EA4" w:rsidRDefault="001F6974" w:rsidP="001F6974">
      <w:pPr>
        <w:pStyle w:val="SingleTxtG"/>
        <w:spacing w:after="0"/>
        <w:ind w:left="284" w:right="284" w:firstLine="170"/>
        <w:jc w:val="left"/>
        <w:rPr>
          <w:sz w:val="18"/>
          <w:szCs w:val="18"/>
        </w:rPr>
      </w:pPr>
      <w:r w:rsidRPr="003B5EA4">
        <w:rPr>
          <w:i/>
          <w:sz w:val="18"/>
          <w:szCs w:val="18"/>
          <w:vertAlign w:val="superscript"/>
        </w:rPr>
        <w:t>a</w:t>
      </w:r>
      <w:r w:rsidR="00F42375" w:rsidRPr="003B5EA4">
        <w:rPr>
          <w:sz w:val="18"/>
          <w:szCs w:val="18"/>
        </w:rPr>
        <w:t xml:space="preserve">  </w:t>
      </w:r>
      <w:r w:rsidRPr="003B5EA4">
        <w:rPr>
          <w:sz w:val="18"/>
          <w:szCs w:val="18"/>
        </w:rPr>
        <w:t>OIT</w:t>
      </w:r>
      <w:r w:rsidR="00413635">
        <w:rPr>
          <w:sz w:val="18"/>
          <w:szCs w:val="18"/>
        </w:rPr>
        <w:t> :</w:t>
      </w:r>
      <w:r w:rsidRPr="003B5EA4">
        <w:rPr>
          <w:sz w:val="18"/>
          <w:szCs w:val="18"/>
        </w:rPr>
        <w:t xml:space="preserve"> </w:t>
      </w:r>
      <w:r w:rsidR="003E29AC">
        <w:rPr>
          <w:sz w:val="18"/>
          <w:szCs w:val="18"/>
        </w:rPr>
        <w:t>l</w:t>
      </w:r>
      <w:r w:rsidRPr="003B5EA4">
        <w:rPr>
          <w:sz w:val="18"/>
          <w:szCs w:val="18"/>
        </w:rPr>
        <w:t>a catégorie « tou</w:t>
      </w:r>
      <w:r w:rsidR="009637F5">
        <w:rPr>
          <w:sz w:val="18"/>
          <w:szCs w:val="18"/>
        </w:rPr>
        <w:t>s</w:t>
      </w:r>
      <w:r w:rsidRPr="003B5EA4">
        <w:rPr>
          <w:sz w:val="18"/>
          <w:szCs w:val="18"/>
        </w:rPr>
        <w:t xml:space="preserve"> les autres fonctionnaires » s</w:t>
      </w:r>
      <w:r w:rsidR="00762E0A">
        <w:rPr>
          <w:sz w:val="18"/>
          <w:szCs w:val="18"/>
        </w:rPr>
        <w:t>’</w:t>
      </w:r>
      <w:r w:rsidRPr="003B5EA4">
        <w:rPr>
          <w:sz w:val="18"/>
          <w:szCs w:val="18"/>
        </w:rPr>
        <w:t xml:space="preserve">entend du grade de </w:t>
      </w:r>
      <w:r w:rsidR="00C27E85">
        <w:rPr>
          <w:sz w:val="18"/>
          <w:szCs w:val="18"/>
        </w:rPr>
        <w:t>d</w:t>
      </w:r>
      <w:r w:rsidRPr="003B5EA4">
        <w:rPr>
          <w:sz w:val="18"/>
          <w:szCs w:val="18"/>
        </w:rPr>
        <w:t>irecteur général adjoint et des grades inférieurs</w:t>
      </w:r>
      <w:r w:rsidR="00BF0B8F">
        <w:rPr>
          <w:sz w:val="18"/>
          <w:szCs w:val="18"/>
        </w:rPr>
        <w:t> ;</w:t>
      </w:r>
      <w:r w:rsidRPr="003B5EA4">
        <w:rPr>
          <w:sz w:val="18"/>
          <w:szCs w:val="18"/>
        </w:rPr>
        <w:t xml:space="preserve"> pour l</w:t>
      </w:r>
      <w:r w:rsidR="00762E0A">
        <w:rPr>
          <w:sz w:val="18"/>
          <w:szCs w:val="18"/>
        </w:rPr>
        <w:t>’</w:t>
      </w:r>
      <w:r w:rsidRPr="003B5EA4">
        <w:rPr>
          <w:sz w:val="18"/>
          <w:szCs w:val="18"/>
        </w:rPr>
        <w:t>OMM, elle s</w:t>
      </w:r>
      <w:r w:rsidR="00762E0A">
        <w:rPr>
          <w:sz w:val="18"/>
          <w:szCs w:val="18"/>
        </w:rPr>
        <w:t>’</w:t>
      </w:r>
      <w:r w:rsidRPr="003B5EA4">
        <w:rPr>
          <w:sz w:val="18"/>
          <w:szCs w:val="18"/>
        </w:rPr>
        <w:t xml:space="preserve">entend du grade de </w:t>
      </w:r>
      <w:r w:rsidR="0052160F">
        <w:rPr>
          <w:sz w:val="18"/>
          <w:szCs w:val="18"/>
        </w:rPr>
        <w:t>v</w:t>
      </w:r>
      <w:r w:rsidRPr="003B5EA4">
        <w:rPr>
          <w:sz w:val="18"/>
          <w:szCs w:val="18"/>
        </w:rPr>
        <w:t>ice-</w:t>
      </w:r>
      <w:r w:rsidR="0052160F">
        <w:rPr>
          <w:sz w:val="18"/>
          <w:szCs w:val="18"/>
        </w:rPr>
        <w:t>s</w:t>
      </w:r>
      <w:r w:rsidRPr="003B5EA4">
        <w:rPr>
          <w:sz w:val="18"/>
          <w:szCs w:val="18"/>
        </w:rPr>
        <w:t xml:space="preserve">ecrétaire général, de </w:t>
      </w:r>
      <w:r w:rsidR="00954786">
        <w:rPr>
          <w:sz w:val="18"/>
          <w:szCs w:val="18"/>
        </w:rPr>
        <w:t>sous-s</w:t>
      </w:r>
      <w:r w:rsidRPr="003B5EA4">
        <w:rPr>
          <w:sz w:val="18"/>
          <w:szCs w:val="18"/>
        </w:rPr>
        <w:t>ecrétaire général et des grades inférieurs.</w:t>
      </w:r>
    </w:p>
    <w:p w:rsidR="001F6974" w:rsidRPr="003B5EA4" w:rsidRDefault="001F6974" w:rsidP="001F6974">
      <w:pPr>
        <w:pStyle w:val="SingleTxtG"/>
        <w:spacing w:after="0"/>
        <w:ind w:left="284" w:right="284" w:firstLine="170"/>
        <w:jc w:val="left"/>
        <w:rPr>
          <w:sz w:val="18"/>
          <w:szCs w:val="18"/>
        </w:rPr>
      </w:pPr>
      <w:r w:rsidRPr="003B5EA4">
        <w:rPr>
          <w:i/>
          <w:sz w:val="18"/>
          <w:szCs w:val="18"/>
          <w:vertAlign w:val="superscript"/>
        </w:rPr>
        <w:t>b</w:t>
      </w:r>
      <w:r w:rsidR="00F42375" w:rsidRPr="003B5EA4">
        <w:rPr>
          <w:sz w:val="18"/>
          <w:szCs w:val="18"/>
        </w:rPr>
        <w:t xml:space="preserve">  </w:t>
      </w:r>
      <w:r w:rsidRPr="003B5EA4">
        <w:rPr>
          <w:sz w:val="18"/>
          <w:szCs w:val="18"/>
        </w:rPr>
        <w:t>9 heures pour les vols directs</w:t>
      </w:r>
      <w:r w:rsidR="00C27E85">
        <w:rPr>
          <w:sz w:val="18"/>
          <w:szCs w:val="18"/>
        </w:rPr>
        <w:t xml:space="preserve"> et</w:t>
      </w:r>
      <w:r w:rsidRPr="003B5EA4">
        <w:rPr>
          <w:sz w:val="18"/>
          <w:szCs w:val="18"/>
        </w:rPr>
        <w:t xml:space="preserve"> 11</w:t>
      </w:r>
      <w:r w:rsidR="00444754">
        <w:t> </w:t>
      </w:r>
      <w:r w:rsidRPr="003B5EA4">
        <w:rPr>
          <w:sz w:val="18"/>
          <w:szCs w:val="18"/>
        </w:rPr>
        <w:t>heures pour les vols indirects.</w:t>
      </w:r>
    </w:p>
    <w:p w:rsidR="00433349" w:rsidRDefault="001F6974" w:rsidP="001F6974">
      <w:pPr>
        <w:pStyle w:val="SingleTxtG"/>
        <w:spacing w:after="0"/>
        <w:ind w:left="284" w:right="284" w:firstLine="170"/>
        <w:jc w:val="left"/>
        <w:rPr>
          <w:sz w:val="18"/>
          <w:szCs w:val="18"/>
        </w:rPr>
      </w:pPr>
      <w:r w:rsidRPr="003B5EA4">
        <w:rPr>
          <w:i/>
          <w:sz w:val="18"/>
          <w:szCs w:val="18"/>
          <w:vertAlign w:val="superscript"/>
        </w:rPr>
        <w:t>c</w:t>
      </w:r>
      <w:r w:rsidR="00F42375" w:rsidRPr="003B5EA4">
        <w:rPr>
          <w:sz w:val="18"/>
          <w:szCs w:val="18"/>
        </w:rPr>
        <w:t xml:space="preserve">  </w:t>
      </w:r>
      <w:r w:rsidR="001E4A56">
        <w:rPr>
          <w:sz w:val="18"/>
          <w:szCs w:val="18"/>
        </w:rPr>
        <w:t>AIEA :</w:t>
      </w:r>
      <w:r w:rsidRPr="003B5EA4">
        <w:rPr>
          <w:sz w:val="18"/>
          <w:szCs w:val="18"/>
        </w:rPr>
        <w:t xml:space="preserve"> </w:t>
      </w:r>
      <w:r w:rsidR="003E29AC">
        <w:rPr>
          <w:sz w:val="18"/>
          <w:szCs w:val="18"/>
        </w:rPr>
        <w:t>s</w:t>
      </w:r>
      <w:r w:rsidRPr="003B5EA4">
        <w:rPr>
          <w:sz w:val="18"/>
          <w:szCs w:val="18"/>
        </w:rPr>
        <w:t>omme forfaitaire uniquement, en pourcentage du plein tarif le moins cher en classe économique pour l</w:t>
      </w:r>
      <w:r w:rsidR="00762E0A">
        <w:rPr>
          <w:sz w:val="18"/>
          <w:szCs w:val="18"/>
        </w:rPr>
        <w:t>’</w:t>
      </w:r>
      <w:r w:rsidRPr="003B5EA4">
        <w:rPr>
          <w:sz w:val="18"/>
          <w:szCs w:val="18"/>
        </w:rPr>
        <w:t>itinéraire le plus direct, pour tous voyages statutaires</w:t>
      </w:r>
      <w:r w:rsidR="00F42375" w:rsidRPr="003B5EA4">
        <w:rPr>
          <w:sz w:val="18"/>
          <w:szCs w:val="18"/>
        </w:rPr>
        <w:t>.</w:t>
      </w:r>
    </w:p>
    <w:p w:rsidR="005B331B" w:rsidRPr="003B5EA4" w:rsidRDefault="00433349" w:rsidP="00433349">
      <w:pPr>
        <w:pStyle w:val="HChG"/>
      </w:pPr>
      <w:r w:rsidRPr="003B5EA4">
        <w:br w:type="page"/>
      </w:r>
      <w:r w:rsidRPr="003B5EA4">
        <w:lastRenderedPageBreak/>
        <w:t>Annexe V</w:t>
      </w:r>
    </w:p>
    <w:p w:rsidR="00433349" w:rsidRPr="003B5EA4" w:rsidRDefault="00433349" w:rsidP="00433349">
      <w:pPr>
        <w:pStyle w:val="HChG"/>
        <w:rPr>
          <w:lang w:eastAsia="zh-CN"/>
        </w:rPr>
      </w:pPr>
      <w:r w:rsidRPr="003B5EA4">
        <w:tab/>
      </w:r>
      <w:r w:rsidRPr="003B5EA4">
        <w:tab/>
      </w:r>
      <w:r w:rsidRPr="003B5EA4">
        <w:rPr>
          <w:lang w:eastAsia="zh-CN"/>
        </w:rPr>
        <w:t>Conditions de voyage en avion appliquées aux non-fonctionnaires</w:t>
      </w:r>
    </w:p>
    <w:tbl>
      <w:tblPr>
        <w:tblW w:w="13776" w:type="dxa"/>
        <w:tblInd w:w="284" w:type="dxa"/>
        <w:tblBorders>
          <w:top w:val="single" w:sz="4" w:space="0" w:color="auto"/>
        </w:tblBorders>
        <w:tblCellMar>
          <w:left w:w="0" w:type="dxa"/>
          <w:right w:w="0" w:type="dxa"/>
        </w:tblCellMar>
        <w:tblLook w:val="04A0" w:firstRow="1" w:lastRow="0" w:firstColumn="1" w:lastColumn="0" w:noHBand="0" w:noVBand="1"/>
      </w:tblPr>
      <w:tblGrid>
        <w:gridCol w:w="2028"/>
        <w:gridCol w:w="1806"/>
        <w:gridCol w:w="1896"/>
        <w:gridCol w:w="3099"/>
        <w:gridCol w:w="1330"/>
        <w:gridCol w:w="1449"/>
        <w:gridCol w:w="1167"/>
        <w:gridCol w:w="1001"/>
      </w:tblGrid>
      <w:tr w:rsidR="00B65C28" w:rsidRPr="003B5EA4" w:rsidTr="00B65C28">
        <w:trPr>
          <w:trHeight w:val="240"/>
          <w:tblHeader/>
        </w:trPr>
        <w:tc>
          <w:tcPr>
            <w:tcW w:w="2028" w:type="dxa"/>
            <w:tcBorders>
              <w:top w:val="single" w:sz="4" w:space="0" w:color="auto"/>
              <w:bottom w:val="single" w:sz="12" w:space="0" w:color="auto"/>
            </w:tcBorders>
            <w:shd w:val="clear" w:color="auto" w:fill="auto"/>
            <w:vAlign w:val="bottom"/>
          </w:tcPr>
          <w:p w:rsidR="00433349" w:rsidRPr="003B5EA4" w:rsidRDefault="002F737F" w:rsidP="00135FD8">
            <w:pPr>
              <w:suppressAutoHyphens w:val="0"/>
              <w:spacing w:before="80" w:after="80" w:line="200" w:lineRule="exact"/>
              <w:rPr>
                <w:i/>
                <w:sz w:val="16"/>
              </w:rPr>
            </w:pPr>
            <w:r w:rsidRPr="003B5EA4">
              <w:rPr>
                <w:i/>
                <w:sz w:val="16"/>
              </w:rPr>
              <w:t xml:space="preserve">Catégorie </w:t>
            </w:r>
            <w:r w:rsidR="009A64D9" w:rsidRPr="003B5EA4">
              <w:rPr>
                <w:i/>
                <w:sz w:val="16"/>
              </w:rPr>
              <w:br/>
            </w:r>
            <w:r w:rsidRPr="003B5EA4">
              <w:rPr>
                <w:i/>
                <w:sz w:val="16"/>
              </w:rPr>
              <w:t>de non-fonctionnaires</w:t>
            </w:r>
          </w:p>
        </w:tc>
        <w:tc>
          <w:tcPr>
            <w:tcW w:w="1806" w:type="dxa"/>
            <w:tcBorders>
              <w:top w:val="single" w:sz="4" w:space="0" w:color="auto"/>
              <w:bottom w:val="single" w:sz="12" w:space="0" w:color="auto"/>
            </w:tcBorders>
            <w:shd w:val="clear" w:color="auto" w:fill="auto"/>
            <w:vAlign w:val="bottom"/>
          </w:tcPr>
          <w:p w:rsidR="00433349" w:rsidRPr="003B5EA4" w:rsidRDefault="002F737F" w:rsidP="00135FD8">
            <w:pPr>
              <w:suppressAutoHyphens w:val="0"/>
              <w:spacing w:before="80" w:after="80" w:line="200" w:lineRule="exact"/>
              <w:rPr>
                <w:i/>
                <w:sz w:val="16"/>
              </w:rPr>
            </w:pPr>
            <w:r w:rsidRPr="003B5EA4">
              <w:rPr>
                <w:i/>
                <w:sz w:val="16"/>
              </w:rPr>
              <w:t xml:space="preserve">Première classe </w:t>
            </w:r>
            <w:r w:rsidR="009A64D9" w:rsidRPr="003B5EA4">
              <w:rPr>
                <w:i/>
                <w:sz w:val="16"/>
              </w:rPr>
              <w:br/>
            </w:r>
            <w:r w:rsidRPr="003B5EA4">
              <w:rPr>
                <w:i/>
                <w:sz w:val="16"/>
              </w:rPr>
              <w:t>quel</w:t>
            </w:r>
            <w:r w:rsidR="0082272A" w:rsidRPr="003B5EA4">
              <w:rPr>
                <w:i/>
                <w:sz w:val="16"/>
              </w:rPr>
              <w:t xml:space="preserve">le </w:t>
            </w:r>
            <w:r w:rsidRPr="003B5EA4">
              <w:rPr>
                <w:i/>
                <w:sz w:val="16"/>
              </w:rPr>
              <w:t xml:space="preserve">que soit la durée </w:t>
            </w:r>
            <w:r w:rsidR="009A64D9" w:rsidRPr="003B5EA4">
              <w:rPr>
                <w:i/>
                <w:sz w:val="16"/>
              </w:rPr>
              <w:br/>
            </w:r>
            <w:r w:rsidRPr="003B5EA4">
              <w:rPr>
                <w:i/>
                <w:sz w:val="16"/>
              </w:rPr>
              <w:t>du voyage</w:t>
            </w:r>
          </w:p>
        </w:tc>
        <w:tc>
          <w:tcPr>
            <w:tcW w:w="1896" w:type="dxa"/>
            <w:tcBorders>
              <w:top w:val="single" w:sz="4" w:space="0" w:color="auto"/>
              <w:bottom w:val="single" w:sz="12" w:space="0" w:color="auto"/>
            </w:tcBorders>
            <w:shd w:val="clear" w:color="auto" w:fill="auto"/>
            <w:vAlign w:val="bottom"/>
          </w:tcPr>
          <w:p w:rsidR="00433349" w:rsidRPr="003B5EA4" w:rsidRDefault="0082272A" w:rsidP="009A64D9">
            <w:pPr>
              <w:suppressAutoHyphens w:val="0"/>
              <w:spacing w:before="80" w:after="80" w:line="200" w:lineRule="exact"/>
              <w:rPr>
                <w:i/>
                <w:sz w:val="16"/>
              </w:rPr>
            </w:pPr>
            <w:r w:rsidRPr="003B5EA4">
              <w:rPr>
                <w:i/>
                <w:sz w:val="16"/>
              </w:rPr>
              <w:t>Cla</w:t>
            </w:r>
            <w:r w:rsidR="002F737F" w:rsidRPr="003B5EA4">
              <w:rPr>
                <w:i/>
                <w:sz w:val="16"/>
              </w:rPr>
              <w:t xml:space="preserve">sse affaires </w:t>
            </w:r>
            <w:r w:rsidR="009A64D9" w:rsidRPr="003B5EA4">
              <w:rPr>
                <w:i/>
                <w:sz w:val="16"/>
              </w:rPr>
              <w:br/>
            </w:r>
            <w:r w:rsidR="002F737F" w:rsidRPr="003B5EA4">
              <w:rPr>
                <w:i/>
                <w:sz w:val="16"/>
              </w:rPr>
              <w:t xml:space="preserve">quelle que soit la durée </w:t>
            </w:r>
            <w:r w:rsidR="009A64D9" w:rsidRPr="003B5EA4">
              <w:rPr>
                <w:i/>
                <w:sz w:val="16"/>
              </w:rPr>
              <w:br/>
            </w:r>
            <w:r w:rsidR="002F737F" w:rsidRPr="003B5EA4">
              <w:rPr>
                <w:i/>
                <w:sz w:val="16"/>
              </w:rPr>
              <w:t>du voyage</w:t>
            </w:r>
          </w:p>
        </w:tc>
        <w:tc>
          <w:tcPr>
            <w:tcW w:w="3099" w:type="dxa"/>
            <w:tcBorders>
              <w:top w:val="single" w:sz="4" w:space="0" w:color="auto"/>
              <w:bottom w:val="single" w:sz="12" w:space="0" w:color="auto"/>
            </w:tcBorders>
            <w:shd w:val="clear" w:color="auto" w:fill="auto"/>
            <w:vAlign w:val="bottom"/>
          </w:tcPr>
          <w:p w:rsidR="00433349" w:rsidRPr="003B5EA4" w:rsidRDefault="0082272A" w:rsidP="00135FD8">
            <w:pPr>
              <w:suppressAutoHyphens w:val="0"/>
              <w:spacing w:before="80" w:after="80" w:line="200" w:lineRule="exact"/>
              <w:rPr>
                <w:i/>
                <w:sz w:val="16"/>
              </w:rPr>
            </w:pPr>
            <w:r w:rsidRPr="003B5EA4">
              <w:rPr>
                <w:i/>
                <w:sz w:val="16"/>
              </w:rPr>
              <w:t>Classe économique</w:t>
            </w:r>
          </w:p>
        </w:tc>
        <w:tc>
          <w:tcPr>
            <w:tcW w:w="1330" w:type="dxa"/>
            <w:tcBorders>
              <w:top w:val="single" w:sz="4" w:space="0" w:color="auto"/>
              <w:bottom w:val="single" w:sz="12" w:space="0" w:color="auto"/>
            </w:tcBorders>
            <w:shd w:val="clear" w:color="auto" w:fill="auto"/>
            <w:vAlign w:val="bottom"/>
          </w:tcPr>
          <w:p w:rsidR="00433349" w:rsidRPr="003B5EA4" w:rsidRDefault="0082272A" w:rsidP="00135FD8">
            <w:pPr>
              <w:suppressAutoHyphens w:val="0"/>
              <w:spacing w:before="80" w:after="80" w:line="200" w:lineRule="exact"/>
              <w:rPr>
                <w:i/>
                <w:sz w:val="16"/>
              </w:rPr>
            </w:pPr>
            <w:r w:rsidRPr="003B5EA4">
              <w:rPr>
                <w:i/>
                <w:sz w:val="16"/>
              </w:rPr>
              <w:t xml:space="preserve">Classe affaires </w:t>
            </w:r>
            <w:r w:rsidR="009A64D9" w:rsidRPr="003B5EA4">
              <w:rPr>
                <w:i/>
                <w:sz w:val="16"/>
              </w:rPr>
              <w:br/>
            </w:r>
            <w:r w:rsidRPr="003B5EA4">
              <w:rPr>
                <w:i/>
                <w:sz w:val="16"/>
              </w:rPr>
              <w:t>à partir de 12 heures de vol</w:t>
            </w:r>
          </w:p>
        </w:tc>
        <w:tc>
          <w:tcPr>
            <w:tcW w:w="1449" w:type="dxa"/>
            <w:tcBorders>
              <w:top w:val="single" w:sz="4" w:space="0" w:color="auto"/>
              <w:bottom w:val="single" w:sz="12" w:space="0" w:color="auto"/>
            </w:tcBorders>
            <w:shd w:val="clear" w:color="auto" w:fill="auto"/>
            <w:vAlign w:val="bottom"/>
          </w:tcPr>
          <w:p w:rsidR="00433349" w:rsidRPr="003B5EA4" w:rsidRDefault="0082272A" w:rsidP="0076013B">
            <w:pPr>
              <w:suppressAutoHyphens w:val="0"/>
              <w:spacing w:before="80" w:after="80" w:line="200" w:lineRule="exact"/>
              <w:rPr>
                <w:i/>
                <w:sz w:val="16"/>
              </w:rPr>
            </w:pPr>
            <w:r w:rsidRPr="003B5EA4">
              <w:rPr>
                <w:i/>
                <w:sz w:val="16"/>
              </w:rPr>
              <w:t xml:space="preserve">Classe affaires </w:t>
            </w:r>
            <w:r w:rsidR="009A64D9" w:rsidRPr="003B5EA4">
              <w:rPr>
                <w:i/>
                <w:sz w:val="16"/>
              </w:rPr>
              <w:br/>
            </w:r>
            <w:r w:rsidRPr="003B5EA4">
              <w:rPr>
                <w:i/>
                <w:sz w:val="16"/>
              </w:rPr>
              <w:t xml:space="preserve">à partir </w:t>
            </w:r>
            <w:r w:rsidR="0076013B">
              <w:rPr>
                <w:i/>
                <w:sz w:val="16"/>
              </w:rPr>
              <w:t>de</w:t>
            </w:r>
            <w:r w:rsidR="0076013B">
              <w:rPr>
                <w:i/>
                <w:sz w:val="16"/>
              </w:rPr>
              <w:br/>
            </w:r>
            <w:r w:rsidRPr="003B5EA4">
              <w:rPr>
                <w:i/>
                <w:sz w:val="16"/>
              </w:rPr>
              <w:t>9 heures de vol</w:t>
            </w:r>
          </w:p>
        </w:tc>
        <w:tc>
          <w:tcPr>
            <w:tcW w:w="1167" w:type="dxa"/>
            <w:tcBorders>
              <w:top w:val="single" w:sz="4" w:space="0" w:color="auto"/>
              <w:bottom w:val="single" w:sz="12" w:space="0" w:color="auto"/>
            </w:tcBorders>
            <w:shd w:val="clear" w:color="auto" w:fill="auto"/>
            <w:vAlign w:val="bottom"/>
          </w:tcPr>
          <w:p w:rsidR="00433349" w:rsidRPr="003B5EA4" w:rsidRDefault="0082272A" w:rsidP="00135FD8">
            <w:pPr>
              <w:suppressAutoHyphens w:val="0"/>
              <w:spacing w:before="80" w:after="80" w:line="200" w:lineRule="exact"/>
              <w:rPr>
                <w:i/>
                <w:sz w:val="16"/>
              </w:rPr>
            </w:pPr>
            <w:r w:rsidRPr="003B5EA4">
              <w:rPr>
                <w:i/>
                <w:sz w:val="16"/>
              </w:rPr>
              <w:t xml:space="preserve">Classe affaires </w:t>
            </w:r>
            <w:r w:rsidR="009A64D9" w:rsidRPr="003B5EA4">
              <w:rPr>
                <w:i/>
                <w:sz w:val="16"/>
              </w:rPr>
              <w:br/>
            </w:r>
            <w:r w:rsidRPr="003B5EA4">
              <w:rPr>
                <w:i/>
                <w:sz w:val="16"/>
              </w:rPr>
              <w:t xml:space="preserve">à partir de </w:t>
            </w:r>
            <w:r w:rsidR="0076013B">
              <w:rPr>
                <w:i/>
                <w:sz w:val="16"/>
              </w:rPr>
              <w:br/>
            </w:r>
            <w:r w:rsidRPr="003B5EA4">
              <w:rPr>
                <w:i/>
                <w:sz w:val="16"/>
              </w:rPr>
              <w:t>7 heures de vol</w:t>
            </w:r>
          </w:p>
        </w:tc>
        <w:tc>
          <w:tcPr>
            <w:tcW w:w="1001" w:type="dxa"/>
            <w:tcBorders>
              <w:top w:val="single" w:sz="4" w:space="0" w:color="auto"/>
              <w:bottom w:val="single" w:sz="12" w:space="0" w:color="auto"/>
            </w:tcBorders>
            <w:shd w:val="clear" w:color="auto" w:fill="auto"/>
            <w:tcMar>
              <w:right w:w="0" w:type="dxa"/>
            </w:tcMar>
            <w:vAlign w:val="bottom"/>
          </w:tcPr>
          <w:p w:rsidR="00433349" w:rsidRPr="003B5EA4" w:rsidRDefault="0082272A" w:rsidP="00135FD8">
            <w:pPr>
              <w:suppressAutoHyphens w:val="0"/>
              <w:spacing w:before="80" w:after="80" w:line="200" w:lineRule="exact"/>
              <w:rPr>
                <w:i/>
                <w:sz w:val="16"/>
              </w:rPr>
            </w:pPr>
            <w:r w:rsidRPr="003B5EA4">
              <w:rPr>
                <w:i/>
                <w:sz w:val="16"/>
              </w:rPr>
              <w:t xml:space="preserve">Classe affaires </w:t>
            </w:r>
            <w:r w:rsidR="009A64D9" w:rsidRPr="003B5EA4">
              <w:rPr>
                <w:i/>
                <w:sz w:val="16"/>
              </w:rPr>
              <w:br/>
            </w:r>
            <w:r w:rsidRPr="003B5EA4">
              <w:rPr>
                <w:i/>
                <w:sz w:val="16"/>
              </w:rPr>
              <w:t>à partir de 6 heures de vol</w:t>
            </w:r>
          </w:p>
        </w:tc>
      </w:tr>
      <w:tr w:rsidR="00B65C28" w:rsidRPr="003B5EA4" w:rsidTr="00B65C28">
        <w:trPr>
          <w:trHeight w:hRule="exact" w:val="113"/>
          <w:tblHeader/>
        </w:trPr>
        <w:tc>
          <w:tcPr>
            <w:tcW w:w="2028" w:type="dxa"/>
            <w:tcBorders>
              <w:top w:val="single" w:sz="12" w:space="0" w:color="auto"/>
              <w:bottom w:val="nil"/>
            </w:tcBorders>
            <w:shd w:val="clear" w:color="auto" w:fill="auto"/>
          </w:tcPr>
          <w:p w:rsidR="00433349" w:rsidRPr="003B5EA4" w:rsidRDefault="00433349" w:rsidP="00135FD8">
            <w:pPr>
              <w:suppressAutoHyphens w:val="0"/>
              <w:spacing w:before="40" w:after="120"/>
            </w:pPr>
          </w:p>
        </w:tc>
        <w:tc>
          <w:tcPr>
            <w:tcW w:w="1806" w:type="dxa"/>
            <w:tcBorders>
              <w:top w:val="single" w:sz="12" w:space="0" w:color="auto"/>
              <w:bottom w:val="nil"/>
            </w:tcBorders>
            <w:shd w:val="clear" w:color="auto" w:fill="auto"/>
          </w:tcPr>
          <w:p w:rsidR="00433349" w:rsidRPr="003B5EA4" w:rsidRDefault="00433349" w:rsidP="00135FD8">
            <w:pPr>
              <w:suppressAutoHyphens w:val="0"/>
              <w:spacing w:before="40" w:after="120"/>
            </w:pPr>
          </w:p>
        </w:tc>
        <w:tc>
          <w:tcPr>
            <w:tcW w:w="1896" w:type="dxa"/>
            <w:tcBorders>
              <w:top w:val="single" w:sz="12" w:space="0" w:color="auto"/>
              <w:bottom w:val="nil"/>
            </w:tcBorders>
            <w:shd w:val="clear" w:color="auto" w:fill="auto"/>
          </w:tcPr>
          <w:p w:rsidR="00433349" w:rsidRPr="003B5EA4" w:rsidRDefault="00433349" w:rsidP="00135FD8">
            <w:pPr>
              <w:suppressAutoHyphens w:val="0"/>
              <w:spacing w:before="40" w:after="120"/>
            </w:pPr>
          </w:p>
        </w:tc>
        <w:tc>
          <w:tcPr>
            <w:tcW w:w="3099" w:type="dxa"/>
            <w:tcBorders>
              <w:top w:val="single" w:sz="12" w:space="0" w:color="auto"/>
              <w:bottom w:val="nil"/>
            </w:tcBorders>
            <w:shd w:val="clear" w:color="auto" w:fill="auto"/>
          </w:tcPr>
          <w:p w:rsidR="00433349" w:rsidRPr="003B5EA4" w:rsidRDefault="00433349" w:rsidP="00135FD8">
            <w:pPr>
              <w:suppressAutoHyphens w:val="0"/>
              <w:spacing w:before="40" w:after="120"/>
            </w:pPr>
          </w:p>
        </w:tc>
        <w:tc>
          <w:tcPr>
            <w:tcW w:w="1330" w:type="dxa"/>
            <w:tcBorders>
              <w:top w:val="single" w:sz="12" w:space="0" w:color="auto"/>
              <w:bottom w:val="nil"/>
            </w:tcBorders>
            <w:shd w:val="clear" w:color="auto" w:fill="auto"/>
          </w:tcPr>
          <w:p w:rsidR="00433349" w:rsidRPr="003B5EA4" w:rsidRDefault="00433349" w:rsidP="00135FD8">
            <w:pPr>
              <w:suppressAutoHyphens w:val="0"/>
              <w:spacing w:before="40" w:after="120"/>
            </w:pPr>
          </w:p>
        </w:tc>
        <w:tc>
          <w:tcPr>
            <w:tcW w:w="1449" w:type="dxa"/>
            <w:tcBorders>
              <w:top w:val="single" w:sz="12" w:space="0" w:color="auto"/>
              <w:bottom w:val="nil"/>
            </w:tcBorders>
            <w:shd w:val="clear" w:color="auto" w:fill="auto"/>
          </w:tcPr>
          <w:p w:rsidR="00433349" w:rsidRPr="003B5EA4" w:rsidRDefault="00433349" w:rsidP="00135FD8">
            <w:pPr>
              <w:suppressAutoHyphens w:val="0"/>
              <w:spacing w:before="40" w:after="120"/>
            </w:pPr>
          </w:p>
        </w:tc>
        <w:tc>
          <w:tcPr>
            <w:tcW w:w="1167" w:type="dxa"/>
            <w:tcBorders>
              <w:top w:val="single" w:sz="12" w:space="0" w:color="auto"/>
              <w:bottom w:val="nil"/>
            </w:tcBorders>
            <w:shd w:val="clear" w:color="auto" w:fill="auto"/>
          </w:tcPr>
          <w:p w:rsidR="00433349" w:rsidRPr="003B5EA4" w:rsidRDefault="00433349" w:rsidP="00135FD8">
            <w:pPr>
              <w:suppressAutoHyphens w:val="0"/>
              <w:spacing w:before="40" w:after="120"/>
            </w:pPr>
          </w:p>
        </w:tc>
        <w:tc>
          <w:tcPr>
            <w:tcW w:w="1001" w:type="dxa"/>
            <w:tcBorders>
              <w:top w:val="single" w:sz="12" w:space="0" w:color="auto"/>
              <w:bottom w:val="nil"/>
            </w:tcBorders>
            <w:shd w:val="clear" w:color="auto" w:fill="auto"/>
            <w:tcMar>
              <w:right w:w="0" w:type="dxa"/>
            </w:tcMar>
          </w:tcPr>
          <w:p w:rsidR="00433349" w:rsidRPr="003B5EA4" w:rsidRDefault="00433349" w:rsidP="00135FD8">
            <w:pPr>
              <w:suppressAutoHyphens w:val="0"/>
              <w:spacing w:before="40" w:after="120"/>
            </w:pPr>
          </w:p>
        </w:tc>
      </w:tr>
      <w:tr w:rsidR="00B65C28" w:rsidRPr="003B5EA4" w:rsidTr="00B65C28">
        <w:trPr>
          <w:trHeight w:val="240"/>
        </w:trPr>
        <w:tc>
          <w:tcPr>
            <w:tcW w:w="2028" w:type="dxa"/>
            <w:tcBorders>
              <w:top w:val="nil"/>
            </w:tcBorders>
            <w:shd w:val="clear" w:color="auto" w:fill="auto"/>
          </w:tcPr>
          <w:p w:rsidR="00433349" w:rsidRPr="003B5EA4" w:rsidRDefault="009A64D9" w:rsidP="003C1301">
            <w:pPr>
              <w:suppressAutoHyphens w:val="0"/>
              <w:spacing w:before="40" w:after="120"/>
              <w:ind w:right="113"/>
            </w:pPr>
            <w:r w:rsidRPr="003B5EA4">
              <w:t xml:space="preserve">Représentant </w:t>
            </w:r>
            <w:r w:rsidR="00FF6253" w:rsidRPr="003B5EA4">
              <w:br/>
            </w:r>
            <w:r w:rsidRPr="003B5EA4">
              <w:t xml:space="preserve">des États </w:t>
            </w:r>
            <w:r w:rsidR="003C1301">
              <w:t>M</w:t>
            </w:r>
            <w:r w:rsidRPr="003B5EA4">
              <w:t>embres</w:t>
            </w:r>
          </w:p>
        </w:tc>
        <w:tc>
          <w:tcPr>
            <w:tcW w:w="1806" w:type="dxa"/>
            <w:tcBorders>
              <w:top w:val="nil"/>
            </w:tcBorders>
            <w:shd w:val="clear" w:color="auto" w:fill="auto"/>
          </w:tcPr>
          <w:p w:rsidR="00433349" w:rsidRPr="003B5EA4" w:rsidRDefault="00433349" w:rsidP="00871FDF">
            <w:pPr>
              <w:suppressAutoHyphens w:val="0"/>
              <w:spacing w:before="40" w:after="120"/>
              <w:ind w:right="113"/>
            </w:pPr>
            <w:r w:rsidRPr="003B5EA4">
              <w:t>ONU-</w:t>
            </w:r>
            <w:r w:rsidR="00673AFD" w:rsidRPr="003B5EA4">
              <w:t>Femme</w:t>
            </w:r>
            <w:r w:rsidRPr="003B5EA4">
              <w:t>s</w:t>
            </w:r>
            <w:r w:rsidRPr="003B5EA4">
              <w:rPr>
                <w:i/>
                <w:sz w:val="18"/>
                <w:vertAlign w:val="superscript"/>
              </w:rPr>
              <w:t>a</w:t>
            </w:r>
          </w:p>
        </w:tc>
        <w:tc>
          <w:tcPr>
            <w:tcW w:w="1896" w:type="dxa"/>
            <w:tcBorders>
              <w:top w:val="nil"/>
            </w:tcBorders>
            <w:shd w:val="clear" w:color="auto" w:fill="auto"/>
          </w:tcPr>
          <w:p w:rsidR="00433349" w:rsidRPr="003B5EA4" w:rsidRDefault="00673AFD" w:rsidP="00B61592">
            <w:pPr>
              <w:suppressAutoHyphens w:val="0"/>
              <w:spacing w:before="40" w:after="120"/>
              <w:ind w:right="113"/>
            </w:pPr>
            <w:r w:rsidRPr="003B5EA4">
              <w:t>FNUAP</w:t>
            </w:r>
            <w:r w:rsidR="00B61592">
              <w:rPr>
                <w:i/>
                <w:sz w:val="18"/>
                <w:vertAlign w:val="superscript"/>
              </w:rPr>
              <w:t>c</w:t>
            </w:r>
            <w:r w:rsidRPr="003B5EA4">
              <w:t xml:space="preserve">, </w:t>
            </w:r>
            <w:r w:rsidR="00433349" w:rsidRPr="003B5EA4">
              <w:t>ONUDI</w:t>
            </w:r>
            <w:r w:rsidRPr="003B5EA4">
              <w:t xml:space="preserve"> et </w:t>
            </w:r>
            <w:r w:rsidR="00433349" w:rsidRPr="003B5EA4">
              <w:t>ONUSIDA</w:t>
            </w:r>
            <w:r w:rsidR="00433349" w:rsidRPr="003B5EA4">
              <w:rPr>
                <w:i/>
                <w:sz w:val="18"/>
                <w:vertAlign w:val="superscript"/>
              </w:rPr>
              <w:t>b</w:t>
            </w:r>
          </w:p>
        </w:tc>
        <w:tc>
          <w:tcPr>
            <w:tcW w:w="3099" w:type="dxa"/>
            <w:tcBorders>
              <w:top w:val="nil"/>
            </w:tcBorders>
            <w:shd w:val="clear" w:color="auto" w:fill="auto"/>
          </w:tcPr>
          <w:p w:rsidR="00433349" w:rsidRPr="003B5EA4" w:rsidRDefault="00FA10EE" w:rsidP="00871FDF">
            <w:pPr>
              <w:suppressAutoHyphens w:val="0"/>
              <w:spacing w:before="40" w:after="120"/>
              <w:ind w:right="113"/>
            </w:pPr>
            <w:r w:rsidRPr="003B5EA4">
              <w:t>AIEA, FAO, ONU</w:t>
            </w:r>
            <w:r w:rsidRPr="003B5EA4">
              <w:rPr>
                <w:i/>
                <w:sz w:val="18"/>
                <w:szCs w:val="18"/>
                <w:vertAlign w:val="superscript"/>
              </w:rPr>
              <w:t>d</w:t>
            </w:r>
            <w:r w:rsidRPr="003B5EA4">
              <w:t xml:space="preserve">, OMPI, </w:t>
            </w:r>
            <w:r w:rsidR="00080754" w:rsidRPr="003B5EA4">
              <w:t>OMS</w:t>
            </w:r>
            <w:r w:rsidR="00080754" w:rsidRPr="003B5EA4">
              <w:rPr>
                <w:i/>
                <w:sz w:val="18"/>
                <w:szCs w:val="18"/>
                <w:vertAlign w:val="superscript"/>
              </w:rPr>
              <w:t>e</w:t>
            </w:r>
            <w:r w:rsidR="00080754" w:rsidRPr="003B5EA4">
              <w:t xml:space="preserve">, </w:t>
            </w:r>
            <w:r w:rsidRPr="003B5EA4">
              <w:t>ONUSIDA, UNICEF</w:t>
            </w:r>
            <w:r w:rsidR="00080754" w:rsidRPr="003B5EA4">
              <w:t xml:space="preserve"> et </w:t>
            </w:r>
            <w:r w:rsidRPr="003B5EA4">
              <w:t>UPU</w:t>
            </w:r>
          </w:p>
        </w:tc>
        <w:tc>
          <w:tcPr>
            <w:tcW w:w="1330" w:type="dxa"/>
            <w:tcBorders>
              <w:top w:val="nil"/>
            </w:tcBorders>
            <w:shd w:val="clear" w:color="auto" w:fill="auto"/>
          </w:tcPr>
          <w:p w:rsidR="00433349" w:rsidRPr="003B5EA4" w:rsidRDefault="00433349" w:rsidP="00871FDF">
            <w:pPr>
              <w:suppressAutoHyphens w:val="0"/>
              <w:spacing w:before="40" w:after="120"/>
              <w:ind w:right="113"/>
            </w:pPr>
          </w:p>
        </w:tc>
        <w:tc>
          <w:tcPr>
            <w:tcW w:w="1449" w:type="dxa"/>
            <w:tcBorders>
              <w:top w:val="nil"/>
            </w:tcBorders>
            <w:shd w:val="clear" w:color="auto" w:fill="auto"/>
          </w:tcPr>
          <w:p w:rsidR="00433349" w:rsidRPr="003B5EA4" w:rsidRDefault="00080754" w:rsidP="00871FDF">
            <w:pPr>
              <w:suppressAutoHyphens w:val="0"/>
              <w:spacing w:before="40" w:after="120"/>
              <w:ind w:right="113"/>
            </w:pPr>
            <w:r w:rsidRPr="003B5EA4">
              <w:t>HCR</w:t>
            </w:r>
            <w:r w:rsidRPr="003B5EA4">
              <w:rPr>
                <w:i/>
                <w:sz w:val="18"/>
                <w:szCs w:val="18"/>
                <w:vertAlign w:val="superscript"/>
              </w:rPr>
              <w:t>g</w:t>
            </w:r>
            <w:r w:rsidRPr="003B5EA4">
              <w:t xml:space="preserve">, OACI, OIT, </w:t>
            </w:r>
            <w:r w:rsidR="00234F44" w:rsidRPr="003B5EA4">
              <w:t>OMPI</w:t>
            </w:r>
            <w:r w:rsidR="00234F44" w:rsidRPr="003B5EA4">
              <w:rPr>
                <w:i/>
                <w:sz w:val="18"/>
                <w:szCs w:val="18"/>
                <w:vertAlign w:val="superscript"/>
              </w:rPr>
              <w:t>i</w:t>
            </w:r>
            <w:r w:rsidR="00234F44" w:rsidRPr="003B5EA4">
              <w:rPr>
                <w:i/>
                <w:sz w:val="18"/>
                <w:szCs w:val="18"/>
              </w:rPr>
              <w:t xml:space="preserve"> </w:t>
            </w:r>
            <w:r w:rsidR="00234F44" w:rsidRPr="003B5EA4">
              <w:t>ONU</w:t>
            </w:r>
            <w:r w:rsidR="00AA458F" w:rsidRPr="003B5EA4">
              <w:noBreakHyphen/>
            </w:r>
            <w:r w:rsidR="00234F44" w:rsidRPr="003B5EA4">
              <w:t>Femmes</w:t>
            </w:r>
            <w:r w:rsidR="00234F44" w:rsidRPr="003B5EA4">
              <w:rPr>
                <w:i/>
                <w:sz w:val="18"/>
                <w:szCs w:val="18"/>
                <w:vertAlign w:val="superscript"/>
              </w:rPr>
              <w:t>a</w:t>
            </w:r>
            <w:r w:rsidR="00234F44" w:rsidRPr="003B5EA4">
              <w:t xml:space="preserve">, </w:t>
            </w:r>
            <w:r w:rsidRPr="003B5EA4">
              <w:t>ONUDC,</w:t>
            </w:r>
            <w:r w:rsidR="00AA458F" w:rsidRPr="003B5EA4">
              <w:t xml:space="preserve"> </w:t>
            </w:r>
            <w:r w:rsidRPr="003B5EA4">
              <w:t>PAM</w:t>
            </w:r>
            <w:r w:rsidRPr="003B5EA4">
              <w:rPr>
                <w:i/>
                <w:sz w:val="18"/>
                <w:szCs w:val="18"/>
                <w:vertAlign w:val="superscript"/>
              </w:rPr>
              <w:t>h</w:t>
            </w:r>
            <w:r w:rsidRPr="003B5EA4">
              <w:t xml:space="preserve"> </w:t>
            </w:r>
            <w:r w:rsidRPr="003B5EA4">
              <w:rPr>
                <w:sz w:val="18"/>
                <w:szCs w:val="18"/>
              </w:rPr>
              <w:t xml:space="preserve">et </w:t>
            </w:r>
            <w:r w:rsidRPr="003B5EA4">
              <w:t>UIT</w:t>
            </w:r>
            <w:r w:rsidRPr="003B5EA4">
              <w:rPr>
                <w:i/>
                <w:sz w:val="18"/>
                <w:szCs w:val="18"/>
                <w:vertAlign w:val="superscript"/>
              </w:rPr>
              <w:t>f</w:t>
            </w:r>
          </w:p>
        </w:tc>
        <w:tc>
          <w:tcPr>
            <w:tcW w:w="1167" w:type="dxa"/>
            <w:tcBorders>
              <w:top w:val="nil"/>
            </w:tcBorders>
            <w:shd w:val="clear" w:color="auto" w:fill="auto"/>
          </w:tcPr>
          <w:p w:rsidR="00433349" w:rsidRPr="003B5EA4" w:rsidRDefault="00433349" w:rsidP="00871FDF">
            <w:pPr>
              <w:suppressAutoHyphens w:val="0"/>
              <w:spacing w:before="40" w:after="120"/>
              <w:ind w:right="113"/>
            </w:pPr>
          </w:p>
        </w:tc>
        <w:tc>
          <w:tcPr>
            <w:tcW w:w="1001" w:type="dxa"/>
            <w:tcBorders>
              <w:top w:val="nil"/>
            </w:tcBorders>
            <w:shd w:val="clear" w:color="auto" w:fill="auto"/>
            <w:tcMar>
              <w:right w:w="0" w:type="dxa"/>
            </w:tcMar>
          </w:tcPr>
          <w:p w:rsidR="00433349" w:rsidRPr="003B5EA4" w:rsidRDefault="00433349" w:rsidP="00135FD8">
            <w:pPr>
              <w:suppressAutoHyphens w:val="0"/>
              <w:spacing w:before="40" w:after="120"/>
            </w:pPr>
          </w:p>
        </w:tc>
      </w:tr>
      <w:tr w:rsidR="00B65C28" w:rsidRPr="003B5EA4" w:rsidTr="00B65C28">
        <w:trPr>
          <w:trHeight w:val="240"/>
        </w:trPr>
        <w:tc>
          <w:tcPr>
            <w:tcW w:w="2028" w:type="dxa"/>
            <w:shd w:val="clear" w:color="auto" w:fill="auto"/>
          </w:tcPr>
          <w:p w:rsidR="00433349" w:rsidRPr="003B5EA4" w:rsidRDefault="009A64D9" w:rsidP="00871FDF">
            <w:pPr>
              <w:suppressAutoHyphens w:val="0"/>
              <w:spacing w:before="40" w:after="120"/>
              <w:ind w:right="113"/>
            </w:pPr>
            <w:r w:rsidRPr="003B5EA4">
              <w:t>Membres des organes et organes subsidiaires</w:t>
            </w:r>
          </w:p>
        </w:tc>
        <w:tc>
          <w:tcPr>
            <w:tcW w:w="1806" w:type="dxa"/>
            <w:shd w:val="clear" w:color="auto" w:fill="auto"/>
          </w:tcPr>
          <w:p w:rsidR="00433349" w:rsidRPr="003B5EA4" w:rsidRDefault="00433349" w:rsidP="00871FDF">
            <w:pPr>
              <w:suppressAutoHyphens w:val="0"/>
              <w:spacing w:before="40" w:after="120"/>
              <w:ind w:right="113"/>
            </w:pPr>
          </w:p>
        </w:tc>
        <w:tc>
          <w:tcPr>
            <w:tcW w:w="1896" w:type="dxa"/>
            <w:shd w:val="clear" w:color="auto" w:fill="auto"/>
          </w:tcPr>
          <w:p w:rsidR="00433349" w:rsidRPr="003B5EA4" w:rsidRDefault="00234F44" w:rsidP="00871FDF">
            <w:pPr>
              <w:suppressAutoHyphens w:val="0"/>
              <w:spacing w:before="40" w:after="120"/>
              <w:ind w:right="113"/>
            </w:pPr>
            <w:r w:rsidRPr="003B5EA4">
              <w:rPr>
                <w:rFonts w:asciiTheme="majorBidi" w:hAnsiTheme="majorBidi" w:cstheme="majorBidi"/>
                <w:sz w:val="19"/>
                <w:szCs w:val="19"/>
                <w:lang w:eastAsia="zh-CN"/>
              </w:rPr>
              <w:t>HCR</w:t>
            </w:r>
            <w:r w:rsidRPr="003B5EA4">
              <w:rPr>
                <w:rFonts w:asciiTheme="majorBidi" w:hAnsiTheme="majorBidi" w:cstheme="majorBidi"/>
                <w:i/>
                <w:sz w:val="18"/>
                <w:szCs w:val="18"/>
                <w:vertAlign w:val="superscript"/>
                <w:lang w:eastAsia="zh-CN"/>
              </w:rPr>
              <w:t>g</w:t>
            </w:r>
            <w:r w:rsidRPr="003B5EA4">
              <w:rPr>
                <w:rFonts w:asciiTheme="majorBidi" w:hAnsiTheme="majorBidi" w:cstheme="majorBidi"/>
                <w:sz w:val="19"/>
                <w:szCs w:val="19"/>
                <w:lang w:eastAsia="zh-CN"/>
              </w:rPr>
              <w:t>, ONU, ONU</w:t>
            </w:r>
            <w:r w:rsidR="00871FDF">
              <w:rPr>
                <w:rFonts w:asciiTheme="majorBidi" w:hAnsiTheme="majorBidi" w:cstheme="majorBidi"/>
                <w:sz w:val="19"/>
                <w:szCs w:val="19"/>
                <w:lang w:eastAsia="zh-CN"/>
              </w:rPr>
              <w:noBreakHyphen/>
            </w:r>
            <w:r w:rsidRPr="003B5EA4">
              <w:rPr>
                <w:rFonts w:asciiTheme="majorBidi" w:hAnsiTheme="majorBidi" w:cstheme="majorBidi"/>
                <w:sz w:val="19"/>
                <w:szCs w:val="19"/>
                <w:lang w:eastAsia="zh-CN"/>
              </w:rPr>
              <w:t xml:space="preserve">Femmes, </w:t>
            </w:r>
            <w:r w:rsidR="006C3DFC" w:rsidRPr="003B5EA4">
              <w:rPr>
                <w:rFonts w:asciiTheme="majorBidi" w:hAnsiTheme="majorBidi" w:cstheme="majorBidi"/>
                <w:sz w:val="19"/>
                <w:szCs w:val="19"/>
                <w:lang w:eastAsia="zh-CN"/>
              </w:rPr>
              <w:t>ONUDC et ONUDI</w:t>
            </w:r>
          </w:p>
        </w:tc>
        <w:tc>
          <w:tcPr>
            <w:tcW w:w="3099" w:type="dxa"/>
            <w:shd w:val="clear" w:color="auto" w:fill="auto"/>
          </w:tcPr>
          <w:p w:rsidR="00433349" w:rsidRPr="003B5EA4" w:rsidRDefault="006C3DFC" w:rsidP="00871FDF">
            <w:pPr>
              <w:suppressAutoHyphens w:val="0"/>
              <w:spacing w:before="40" w:after="120"/>
              <w:ind w:right="113"/>
            </w:pPr>
            <w:r w:rsidRPr="003B5EA4">
              <w:rPr>
                <w:rFonts w:asciiTheme="majorBidi" w:hAnsiTheme="majorBidi" w:cstheme="majorBidi"/>
                <w:color w:val="000000"/>
                <w:sz w:val="19"/>
                <w:szCs w:val="19"/>
                <w:lang w:eastAsia="zh-CN"/>
              </w:rPr>
              <w:t>AIEA, FAO, FNUAP, OIT, ONUSIDA, UNICEF et UPU</w:t>
            </w:r>
          </w:p>
        </w:tc>
        <w:tc>
          <w:tcPr>
            <w:tcW w:w="1330" w:type="dxa"/>
            <w:shd w:val="clear" w:color="auto" w:fill="auto"/>
          </w:tcPr>
          <w:p w:rsidR="00433349" w:rsidRPr="003B5EA4" w:rsidRDefault="00433349" w:rsidP="00871FDF">
            <w:pPr>
              <w:suppressAutoHyphens w:val="0"/>
              <w:spacing w:before="40" w:after="120"/>
              <w:ind w:right="113"/>
            </w:pPr>
          </w:p>
        </w:tc>
        <w:tc>
          <w:tcPr>
            <w:tcW w:w="1449" w:type="dxa"/>
            <w:shd w:val="clear" w:color="auto" w:fill="auto"/>
          </w:tcPr>
          <w:p w:rsidR="00433349" w:rsidRPr="003B5EA4" w:rsidRDefault="006C3DFC" w:rsidP="00871FDF">
            <w:pPr>
              <w:suppressAutoHyphens w:val="0"/>
              <w:spacing w:before="40" w:after="120"/>
              <w:ind w:right="113"/>
            </w:pPr>
            <w:r w:rsidRPr="003B5EA4">
              <w:rPr>
                <w:rFonts w:asciiTheme="majorBidi" w:hAnsiTheme="majorBidi" w:cstheme="majorBidi"/>
                <w:color w:val="000000"/>
                <w:sz w:val="19"/>
                <w:szCs w:val="19"/>
                <w:lang w:eastAsia="zh-CN"/>
              </w:rPr>
              <w:t>OACI, OIT</w:t>
            </w:r>
            <w:r w:rsidRPr="003B5EA4">
              <w:rPr>
                <w:rFonts w:asciiTheme="majorBidi" w:hAnsiTheme="majorBidi" w:cstheme="majorBidi"/>
                <w:i/>
                <w:color w:val="000000"/>
                <w:sz w:val="18"/>
                <w:szCs w:val="18"/>
                <w:vertAlign w:val="superscript"/>
                <w:lang w:eastAsia="zh-CN"/>
              </w:rPr>
              <w:t>j</w:t>
            </w:r>
            <w:r w:rsidRPr="003B5EA4">
              <w:rPr>
                <w:rFonts w:asciiTheme="majorBidi" w:hAnsiTheme="majorBidi" w:cstheme="majorBidi"/>
                <w:color w:val="000000"/>
                <w:sz w:val="19"/>
                <w:szCs w:val="19"/>
                <w:lang w:eastAsia="zh-CN"/>
              </w:rPr>
              <w:t>, ONU-Femmes</w:t>
            </w:r>
            <w:r w:rsidRPr="003B5EA4">
              <w:rPr>
                <w:rFonts w:asciiTheme="majorBidi" w:hAnsiTheme="majorBidi" w:cstheme="majorBidi"/>
                <w:i/>
                <w:color w:val="000000"/>
                <w:sz w:val="18"/>
                <w:szCs w:val="18"/>
                <w:vertAlign w:val="superscript"/>
                <w:lang w:eastAsia="zh-CN"/>
              </w:rPr>
              <w:t>a</w:t>
            </w:r>
            <w:r w:rsidRPr="003B5EA4">
              <w:rPr>
                <w:rFonts w:asciiTheme="majorBidi" w:hAnsiTheme="majorBidi" w:cstheme="majorBidi"/>
                <w:color w:val="000000"/>
                <w:sz w:val="19"/>
                <w:szCs w:val="19"/>
                <w:lang w:eastAsia="zh-CN"/>
              </w:rPr>
              <w:t>, ONUSIDA</w:t>
            </w:r>
            <w:r w:rsidRPr="003B5EA4">
              <w:rPr>
                <w:rFonts w:asciiTheme="majorBidi" w:hAnsiTheme="majorBidi" w:cstheme="majorBidi"/>
                <w:i/>
                <w:color w:val="000000"/>
                <w:sz w:val="18"/>
                <w:szCs w:val="18"/>
                <w:vertAlign w:val="superscript"/>
                <w:lang w:eastAsia="zh-CN"/>
              </w:rPr>
              <w:t>b</w:t>
            </w:r>
            <w:r w:rsidRPr="003B5EA4">
              <w:rPr>
                <w:rFonts w:asciiTheme="majorBidi" w:hAnsiTheme="majorBidi" w:cstheme="majorBidi"/>
                <w:color w:val="000000"/>
                <w:sz w:val="19"/>
                <w:szCs w:val="19"/>
                <w:lang w:eastAsia="zh-CN"/>
              </w:rPr>
              <w:t>, OMPI</w:t>
            </w:r>
            <w:r w:rsidR="000842B9" w:rsidRPr="003B5EA4">
              <w:rPr>
                <w:rFonts w:asciiTheme="majorBidi" w:hAnsiTheme="majorBidi" w:cstheme="majorBidi"/>
                <w:color w:val="000000"/>
                <w:sz w:val="19"/>
                <w:szCs w:val="19"/>
                <w:lang w:eastAsia="zh-CN"/>
              </w:rPr>
              <w:t>,</w:t>
            </w:r>
            <w:r w:rsidRPr="003B5EA4">
              <w:rPr>
                <w:rFonts w:asciiTheme="majorBidi" w:hAnsiTheme="majorBidi" w:cstheme="majorBidi"/>
                <w:color w:val="000000"/>
                <w:sz w:val="19"/>
                <w:szCs w:val="19"/>
                <w:lang w:eastAsia="zh-CN"/>
              </w:rPr>
              <w:t xml:space="preserve"> </w:t>
            </w:r>
            <w:r w:rsidR="000842B9" w:rsidRPr="003B5EA4">
              <w:rPr>
                <w:rFonts w:asciiTheme="majorBidi" w:hAnsiTheme="majorBidi" w:cstheme="majorBidi"/>
                <w:color w:val="000000"/>
                <w:sz w:val="19"/>
                <w:szCs w:val="19"/>
                <w:lang w:eastAsia="zh-CN"/>
              </w:rPr>
              <w:t>PAM</w:t>
            </w:r>
            <w:r w:rsidR="000842B9" w:rsidRPr="003B5EA4">
              <w:rPr>
                <w:rFonts w:asciiTheme="majorBidi" w:hAnsiTheme="majorBidi" w:cstheme="majorBidi"/>
                <w:i/>
                <w:color w:val="000000"/>
                <w:sz w:val="18"/>
                <w:szCs w:val="18"/>
                <w:vertAlign w:val="superscript"/>
                <w:lang w:eastAsia="zh-CN"/>
              </w:rPr>
              <w:t>h</w:t>
            </w:r>
            <w:r w:rsidR="000842B9" w:rsidRPr="003B5EA4">
              <w:rPr>
                <w:rFonts w:asciiTheme="majorBidi" w:hAnsiTheme="majorBidi" w:cstheme="majorBidi"/>
                <w:color w:val="000000"/>
                <w:sz w:val="19"/>
                <w:szCs w:val="19"/>
                <w:lang w:eastAsia="zh-CN"/>
              </w:rPr>
              <w:t xml:space="preserve"> </w:t>
            </w:r>
            <w:r w:rsidRPr="003B5EA4">
              <w:rPr>
                <w:rFonts w:asciiTheme="majorBidi" w:hAnsiTheme="majorBidi" w:cstheme="majorBidi"/>
                <w:color w:val="000000"/>
                <w:sz w:val="19"/>
                <w:szCs w:val="19"/>
                <w:lang w:eastAsia="zh-CN"/>
              </w:rPr>
              <w:t>et</w:t>
            </w:r>
            <w:r w:rsidR="00871FDF">
              <w:rPr>
                <w:rFonts w:asciiTheme="majorBidi" w:hAnsiTheme="majorBidi" w:cstheme="majorBidi"/>
                <w:color w:val="000000"/>
                <w:sz w:val="19"/>
                <w:szCs w:val="19"/>
                <w:lang w:eastAsia="zh-CN"/>
              </w:rPr>
              <w:t> </w:t>
            </w:r>
            <w:r w:rsidRPr="003B5EA4">
              <w:rPr>
                <w:rFonts w:asciiTheme="majorBidi" w:hAnsiTheme="majorBidi" w:cstheme="majorBidi"/>
                <w:color w:val="000000"/>
                <w:sz w:val="19"/>
                <w:szCs w:val="19"/>
                <w:lang w:eastAsia="zh-CN"/>
              </w:rPr>
              <w:t>UIT</w:t>
            </w:r>
            <w:r w:rsidRPr="003B5EA4">
              <w:rPr>
                <w:rFonts w:asciiTheme="majorBidi" w:hAnsiTheme="majorBidi" w:cstheme="majorBidi"/>
                <w:i/>
                <w:color w:val="000000"/>
                <w:sz w:val="18"/>
                <w:szCs w:val="18"/>
                <w:vertAlign w:val="superscript"/>
                <w:lang w:eastAsia="zh-CN"/>
              </w:rPr>
              <w:t>f</w:t>
            </w:r>
          </w:p>
        </w:tc>
        <w:tc>
          <w:tcPr>
            <w:tcW w:w="1167" w:type="dxa"/>
            <w:shd w:val="clear" w:color="auto" w:fill="auto"/>
          </w:tcPr>
          <w:p w:rsidR="00433349" w:rsidRPr="003B5EA4" w:rsidRDefault="00433349" w:rsidP="00871FDF">
            <w:pPr>
              <w:suppressAutoHyphens w:val="0"/>
              <w:spacing w:before="40" w:after="120"/>
              <w:ind w:right="113"/>
            </w:pPr>
          </w:p>
        </w:tc>
        <w:tc>
          <w:tcPr>
            <w:tcW w:w="1001" w:type="dxa"/>
            <w:shd w:val="clear" w:color="auto" w:fill="auto"/>
            <w:tcMar>
              <w:right w:w="0" w:type="dxa"/>
            </w:tcMar>
          </w:tcPr>
          <w:p w:rsidR="00433349" w:rsidRPr="003B5EA4" w:rsidRDefault="00433349" w:rsidP="00135FD8">
            <w:pPr>
              <w:suppressAutoHyphens w:val="0"/>
              <w:spacing w:before="40" w:after="120"/>
            </w:pPr>
          </w:p>
        </w:tc>
      </w:tr>
      <w:tr w:rsidR="00B65C28" w:rsidRPr="003B5EA4" w:rsidTr="00B65C28">
        <w:trPr>
          <w:trHeight w:val="240"/>
        </w:trPr>
        <w:tc>
          <w:tcPr>
            <w:tcW w:w="2028" w:type="dxa"/>
            <w:shd w:val="clear" w:color="auto" w:fill="auto"/>
          </w:tcPr>
          <w:p w:rsidR="00433349" w:rsidRPr="003B5EA4" w:rsidRDefault="009A64D9" w:rsidP="00871FDF">
            <w:pPr>
              <w:suppressAutoHyphens w:val="0"/>
              <w:spacing w:before="40" w:after="120"/>
              <w:ind w:right="113"/>
            </w:pPr>
            <w:r w:rsidRPr="003B5EA4">
              <w:t>Hôtes</w:t>
            </w:r>
            <w:r w:rsidR="00673AFD" w:rsidRPr="003B5EA4">
              <w:t> </w:t>
            </w:r>
            <w:r w:rsidRPr="003B5EA4">
              <w:t>: hautes personnalités et personnalités éminentes</w:t>
            </w:r>
          </w:p>
        </w:tc>
        <w:tc>
          <w:tcPr>
            <w:tcW w:w="1806" w:type="dxa"/>
            <w:shd w:val="clear" w:color="auto" w:fill="auto"/>
          </w:tcPr>
          <w:p w:rsidR="00433349" w:rsidRPr="003B5EA4" w:rsidRDefault="00433349" w:rsidP="00871FDF">
            <w:pPr>
              <w:suppressAutoHyphens w:val="0"/>
              <w:spacing w:before="40" w:after="120"/>
              <w:ind w:right="113"/>
            </w:pPr>
            <w:r w:rsidRPr="003B5EA4">
              <w:t>OMS</w:t>
            </w:r>
            <w:r w:rsidRPr="003B5EA4">
              <w:rPr>
                <w:i/>
                <w:sz w:val="18"/>
                <w:vertAlign w:val="superscript"/>
              </w:rPr>
              <w:t>e</w:t>
            </w:r>
          </w:p>
        </w:tc>
        <w:tc>
          <w:tcPr>
            <w:tcW w:w="1896" w:type="dxa"/>
            <w:shd w:val="clear" w:color="auto" w:fill="auto"/>
          </w:tcPr>
          <w:p w:rsidR="00433349" w:rsidRPr="003B5EA4" w:rsidRDefault="000842B9" w:rsidP="00871FDF">
            <w:pPr>
              <w:suppressAutoHyphens w:val="0"/>
              <w:spacing w:before="40" w:after="120"/>
              <w:ind w:right="113"/>
            </w:pPr>
            <w:r w:rsidRPr="003B5EA4">
              <w:rPr>
                <w:rFonts w:asciiTheme="majorBidi" w:hAnsiTheme="majorBidi" w:cstheme="majorBidi"/>
                <w:sz w:val="19"/>
                <w:szCs w:val="19"/>
                <w:lang w:eastAsia="zh-CN"/>
              </w:rPr>
              <w:t>FNUAP, OIT</w:t>
            </w:r>
            <w:r w:rsidRPr="003B5EA4">
              <w:rPr>
                <w:rFonts w:asciiTheme="majorBidi" w:hAnsiTheme="majorBidi" w:cstheme="majorBidi"/>
                <w:i/>
                <w:color w:val="000000"/>
                <w:sz w:val="18"/>
                <w:szCs w:val="18"/>
                <w:vertAlign w:val="superscript"/>
                <w:lang w:eastAsia="zh-CN"/>
              </w:rPr>
              <w:t>j</w:t>
            </w:r>
            <w:r w:rsidRPr="003B5EA4">
              <w:rPr>
                <w:rFonts w:asciiTheme="majorBidi" w:hAnsiTheme="majorBidi" w:cstheme="majorBidi"/>
                <w:sz w:val="19"/>
                <w:szCs w:val="19"/>
                <w:lang w:eastAsia="zh-CN"/>
              </w:rPr>
              <w:t xml:space="preserve">, </w:t>
            </w:r>
            <w:r w:rsidR="00493445" w:rsidRPr="003B5EA4">
              <w:rPr>
                <w:rFonts w:asciiTheme="majorBidi" w:hAnsiTheme="majorBidi" w:cstheme="majorBidi"/>
                <w:sz w:val="19"/>
                <w:szCs w:val="19"/>
                <w:lang w:eastAsia="zh-CN"/>
              </w:rPr>
              <w:t>OMS</w:t>
            </w:r>
            <w:r w:rsidR="00493445" w:rsidRPr="003B5EA4">
              <w:rPr>
                <w:rFonts w:asciiTheme="majorBidi" w:hAnsiTheme="majorBidi" w:cstheme="majorBidi"/>
                <w:i/>
                <w:color w:val="000000"/>
                <w:sz w:val="18"/>
                <w:szCs w:val="18"/>
                <w:vertAlign w:val="superscript"/>
                <w:lang w:eastAsia="zh-CN"/>
              </w:rPr>
              <w:t>e</w:t>
            </w:r>
            <w:r w:rsidR="00493445" w:rsidRPr="003B5EA4">
              <w:rPr>
                <w:rFonts w:asciiTheme="majorBidi" w:hAnsiTheme="majorBidi" w:cstheme="majorBidi"/>
                <w:sz w:val="19"/>
                <w:szCs w:val="19"/>
                <w:lang w:eastAsia="zh-CN"/>
              </w:rPr>
              <w:t>, OMPI</w:t>
            </w:r>
            <w:r w:rsidR="00493445" w:rsidRPr="003B5EA4">
              <w:rPr>
                <w:rFonts w:asciiTheme="majorBidi" w:hAnsiTheme="majorBidi" w:cstheme="majorBidi"/>
                <w:i/>
                <w:color w:val="000000"/>
                <w:sz w:val="18"/>
                <w:szCs w:val="18"/>
                <w:vertAlign w:val="superscript"/>
                <w:lang w:eastAsia="zh-CN"/>
              </w:rPr>
              <w:t>i</w:t>
            </w:r>
            <w:r w:rsidR="00493445" w:rsidRPr="003B5EA4">
              <w:rPr>
                <w:rFonts w:asciiTheme="majorBidi" w:hAnsiTheme="majorBidi" w:cstheme="majorBidi"/>
                <w:sz w:val="19"/>
                <w:szCs w:val="19"/>
                <w:lang w:eastAsia="zh-CN"/>
              </w:rPr>
              <w:t>, ONUDC</w:t>
            </w:r>
            <w:r w:rsidR="00493445" w:rsidRPr="003B5EA4">
              <w:rPr>
                <w:rFonts w:asciiTheme="majorBidi" w:hAnsiTheme="majorBidi" w:cstheme="majorBidi"/>
                <w:i/>
                <w:color w:val="000000"/>
                <w:sz w:val="18"/>
                <w:szCs w:val="18"/>
                <w:vertAlign w:val="superscript"/>
                <w:lang w:eastAsia="zh-CN"/>
              </w:rPr>
              <w:t>k</w:t>
            </w:r>
            <w:r w:rsidR="00493445" w:rsidRPr="003B5EA4">
              <w:rPr>
                <w:rFonts w:asciiTheme="majorBidi" w:hAnsiTheme="majorBidi" w:cstheme="majorBidi"/>
                <w:sz w:val="19"/>
                <w:szCs w:val="19"/>
                <w:lang w:eastAsia="zh-CN"/>
              </w:rPr>
              <w:t xml:space="preserve">, </w:t>
            </w:r>
            <w:r w:rsidRPr="003B5EA4">
              <w:rPr>
                <w:rFonts w:asciiTheme="majorBidi" w:hAnsiTheme="majorBidi" w:cstheme="majorBidi"/>
                <w:sz w:val="19"/>
                <w:szCs w:val="19"/>
                <w:lang w:eastAsia="zh-CN"/>
              </w:rPr>
              <w:t xml:space="preserve">ONUDI, ONUSIDA </w:t>
            </w:r>
            <w:r w:rsidR="00493445" w:rsidRPr="003B5EA4">
              <w:rPr>
                <w:rFonts w:asciiTheme="majorBidi" w:hAnsiTheme="majorBidi" w:cstheme="majorBidi"/>
                <w:sz w:val="19"/>
                <w:szCs w:val="19"/>
                <w:lang w:eastAsia="zh-CN"/>
              </w:rPr>
              <w:t>et PAM</w:t>
            </w:r>
            <w:r w:rsidR="00493445" w:rsidRPr="003B5EA4">
              <w:rPr>
                <w:rFonts w:asciiTheme="majorBidi" w:hAnsiTheme="majorBidi" w:cstheme="majorBidi"/>
                <w:i/>
                <w:color w:val="000000"/>
                <w:sz w:val="18"/>
                <w:szCs w:val="18"/>
                <w:vertAlign w:val="superscript"/>
                <w:lang w:eastAsia="zh-CN"/>
              </w:rPr>
              <w:t>h</w:t>
            </w:r>
          </w:p>
        </w:tc>
        <w:tc>
          <w:tcPr>
            <w:tcW w:w="3099" w:type="dxa"/>
            <w:shd w:val="clear" w:color="auto" w:fill="auto"/>
          </w:tcPr>
          <w:p w:rsidR="00433349" w:rsidRPr="003B5EA4" w:rsidRDefault="00493445" w:rsidP="00FA138B">
            <w:pPr>
              <w:suppressAutoHyphens w:val="0"/>
              <w:spacing w:before="40" w:after="120"/>
              <w:ind w:right="113"/>
            </w:pPr>
            <w:r w:rsidRPr="003B5EA4">
              <w:rPr>
                <w:rFonts w:asciiTheme="majorBidi" w:hAnsiTheme="majorBidi" w:cstheme="majorBidi"/>
                <w:color w:val="000000"/>
                <w:sz w:val="19"/>
                <w:szCs w:val="19"/>
                <w:lang w:eastAsia="zh-CN"/>
              </w:rPr>
              <w:t>AIEA, CCI</w:t>
            </w:r>
            <w:r w:rsidRPr="003B5EA4">
              <w:rPr>
                <w:rFonts w:asciiTheme="majorBidi" w:hAnsiTheme="majorBidi" w:cstheme="majorBidi"/>
                <w:color w:val="000000"/>
                <w:sz w:val="18"/>
                <w:szCs w:val="18"/>
                <w:lang w:eastAsia="zh-CN"/>
              </w:rPr>
              <w:t>*</w:t>
            </w:r>
            <w:r w:rsidRPr="003B5EA4">
              <w:rPr>
                <w:rFonts w:asciiTheme="majorBidi" w:hAnsiTheme="majorBidi" w:cstheme="majorBidi"/>
                <w:color w:val="000000"/>
                <w:sz w:val="19"/>
                <w:szCs w:val="19"/>
                <w:lang w:eastAsia="zh-CN"/>
              </w:rPr>
              <w:t>, ONU, PNUD et</w:t>
            </w:r>
            <w:r w:rsidR="00FA138B">
              <w:rPr>
                <w:rFonts w:asciiTheme="majorBidi" w:hAnsiTheme="majorBidi" w:cstheme="majorBidi"/>
                <w:color w:val="000000"/>
                <w:sz w:val="19"/>
                <w:szCs w:val="19"/>
                <w:lang w:eastAsia="zh-CN"/>
              </w:rPr>
              <w:t> </w:t>
            </w:r>
            <w:r w:rsidRPr="003B5EA4">
              <w:rPr>
                <w:rFonts w:asciiTheme="majorBidi" w:hAnsiTheme="majorBidi" w:cstheme="majorBidi"/>
                <w:color w:val="000000"/>
                <w:sz w:val="19"/>
                <w:szCs w:val="19"/>
                <w:lang w:eastAsia="zh-CN"/>
              </w:rPr>
              <w:t>UNICEF</w:t>
            </w:r>
          </w:p>
        </w:tc>
        <w:tc>
          <w:tcPr>
            <w:tcW w:w="1330" w:type="dxa"/>
            <w:shd w:val="clear" w:color="auto" w:fill="auto"/>
          </w:tcPr>
          <w:p w:rsidR="00433349" w:rsidRPr="003B5EA4" w:rsidRDefault="00433349" w:rsidP="00871FDF">
            <w:pPr>
              <w:suppressAutoHyphens w:val="0"/>
              <w:spacing w:before="40" w:after="120"/>
              <w:ind w:right="113"/>
            </w:pPr>
            <w:r w:rsidRPr="003B5EA4">
              <w:t>FAO</w:t>
            </w:r>
          </w:p>
        </w:tc>
        <w:tc>
          <w:tcPr>
            <w:tcW w:w="1449" w:type="dxa"/>
            <w:shd w:val="clear" w:color="auto" w:fill="auto"/>
          </w:tcPr>
          <w:p w:rsidR="00433349" w:rsidRPr="003B5EA4" w:rsidRDefault="00236BDE" w:rsidP="00871FDF">
            <w:pPr>
              <w:suppressAutoHyphens w:val="0"/>
              <w:spacing w:before="40" w:after="120"/>
              <w:ind w:right="113"/>
            </w:pPr>
            <w:r w:rsidRPr="003B5EA4">
              <w:t>HCR</w:t>
            </w:r>
            <w:r w:rsidRPr="003B5EA4">
              <w:rPr>
                <w:rFonts w:asciiTheme="majorBidi" w:hAnsiTheme="majorBidi" w:cstheme="majorBidi"/>
                <w:i/>
                <w:color w:val="000000"/>
                <w:sz w:val="18"/>
                <w:szCs w:val="18"/>
                <w:vertAlign w:val="superscript"/>
                <w:lang w:eastAsia="zh-CN"/>
              </w:rPr>
              <w:t>g</w:t>
            </w:r>
            <w:r w:rsidRPr="003B5EA4">
              <w:t>, OACI, OMT</w:t>
            </w:r>
            <w:r w:rsidRPr="003B5EA4">
              <w:rPr>
                <w:rFonts w:asciiTheme="majorBidi" w:hAnsiTheme="majorBidi" w:cstheme="majorBidi"/>
                <w:i/>
                <w:color w:val="000000"/>
                <w:sz w:val="18"/>
                <w:szCs w:val="18"/>
                <w:vertAlign w:val="superscript"/>
                <w:lang w:eastAsia="zh-CN"/>
              </w:rPr>
              <w:t>l</w:t>
            </w:r>
            <w:r w:rsidRPr="003B5EA4">
              <w:t xml:space="preserve"> et UIT</w:t>
            </w:r>
            <w:r w:rsidRPr="003B5EA4">
              <w:rPr>
                <w:rFonts w:asciiTheme="majorBidi" w:hAnsiTheme="majorBidi" w:cstheme="majorBidi"/>
                <w:i/>
                <w:color w:val="000000"/>
                <w:sz w:val="18"/>
                <w:szCs w:val="18"/>
                <w:vertAlign w:val="superscript"/>
                <w:lang w:eastAsia="zh-CN"/>
              </w:rPr>
              <w:t>f</w:t>
            </w:r>
          </w:p>
        </w:tc>
        <w:tc>
          <w:tcPr>
            <w:tcW w:w="1167" w:type="dxa"/>
            <w:shd w:val="clear" w:color="auto" w:fill="auto"/>
          </w:tcPr>
          <w:p w:rsidR="00433349" w:rsidRPr="003B5EA4" w:rsidRDefault="00433349" w:rsidP="00871FDF">
            <w:pPr>
              <w:suppressAutoHyphens w:val="0"/>
              <w:spacing w:before="40" w:after="120"/>
              <w:ind w:right="113"/>
            </w:pPr>
          </w:p>
        </w:tc>
        <w:tc>
          <w:tcPr>
            <w:tcW w:w="1001" w:type="dxa"/>
            <w:shd w:val="clear" w:color="auto" w:fill="auto"/>
            <w:tcMar>
              <w:right w:w="0" w:type="dxa"/>
            </w:tcMar>
          </w:tcPr>
          <w:p w:rsidR="00433349" w:rsidRPr="003B5EA4" w:rsidRDefault="00433349" w:rsidP="00135FD8">
            <w:pPr>
              <w:suppressAutoHyphens w:val="0"/>
              <w:spacing w:before="40" w:after="120"/>
            </w:pPr>
          </w:p>
        </w:tc>
      </w:tr>
      <w:tr w:rsidR="00B65C28" w:rsidRPr="003B5EA4" w:rsidTr="00B65C28">
        <w:trPr>
          <w:trHeight w:val="240"/>
        </w:trPr>
        <w:tc>
          <w:tcPr>
            <w:tcW w:w="2028" w:type="dxa"/>
            <w:shd w:val="clear" w:color="auto" w:fill="auto"/>
          </w:tcPr>
          <w:p w:rsidR="00433349" w:rsidRPr="003B5EA4" w:rsidRDefault="00673AFD" w:rsidP="00871FDF">
            <w:pPr>
              <w:suppressAutoHyphens w:val="0"/>
              <w:spacing w:before="40" w:after="120"/>
              <w:ind w:right="113"/>
            </w:pPr>
            <w:r w:rsidRPr="003B5EA4">
              <w:t>Consultants/vacataires</w:t>
            </w:r>
          </w:p>
        </w:tc>
        <w:tc>
          <w:tcPr>
            <w:tcW w:w="1806" w:type="dxa"/>
            <w:shd w:val="clear" w:color="auto" w:fill="auto"/>
          </w:tcPr>
          <w:p w:rsidR="00433349" w:rsidRPr="003B5EA4" w:rsidRDefault="00433349" w:rsidP="00871FDF">
            <w:pPr>
              <w:suppressAutoHyphens w:val="0"/>
              <w:spacing w:before="40" w:after="120"/>
              <w:ind w:right="113"/>
            </w:pPr>
          </w:p>
        </w:tc>
        <w:tc>
          <w:tcPr>
            <w:tcW w:w="1896" w:type="dxa"/>
            <w:shd w:val="clear" w:color="auto" w:fill="auto"/>
          </w:tcPr>
          <w:p w:rsidR="00433349" w:rsidRPr="003B5EA4" w:rsidRDefault="00433349" w:rsidP="00871FDF">
            <w:pPr>
              <w:suppressAutoHyphens w:val="0"/>
              <w:spacing w:before="40" w:after="120"/>
              <w:ind w:right="113"/>
            </w:pPr>
          </w:p>
        </w:tc>
        <w:tc>
          <w:tcPr>
            <w:tcW w:w="3099" w:type="dxa"/>
            <w:shd w:val="clear" w:color="auto" w:fill="auto"/>
          </w:tcPr>
          <w:p w:rsidR="00433349" w:rsidRPr="003B5EA4" w:rsidRDefault="004B73D6" w:rsidP="00871FDF">
            <w:pPr>
              <w:suppressAutoHyphens w:val="0"/>
              <w:spacing w:before="40" w:after="120"/>
              <w:ind w:right="113"/>
            </w:pPr>
            <w:r w:rsidRPr="003B5EA4">
              <w:t>AIEA, CCI</w:t>
            </w:r>
            <w:r w:rsidRPr="003B5EA4">
              <w:rPr>
                <w:sz w:val="18"/>
                <w:szCs w:val="18"/>
              </w:rPr>
              <w:t>*</w:t>
            </w:r>
            <w:r w:rsidRPr="003B5EA4">
              <w:t xml:space="preserve">, </w:t>
            </w:r>
            <w:r w:rsidR="00236BDE" w:rsidRPr="003B5EA4">
              <w:t>FAO</w:t>
            </w:r>
            <w:r w:rsidR="00236BDE" w:rsidRPr="003B5EA4">
              <w:rPr>
                <w:rFonts w:asciiTheme="majorBidi" w:hAnsiTheme="majorBidi" w:cstheme="majorBidi"/>
                <w:i/>
                <w:color w:val="000000"/>
                <w:sz w:val="18"/>
                <w:szCs w:val="18"/>
                <w:vertAlign w:val="superscript"/>
                <w:lang w:eastAsia="zh-CN"/>
              </w:rPr>
              <w:t>m</w:t>
            </w:r>
            <w:r w:rsidR="00236BDE" w:rsidRPr="003B5EA4">
              <w:t xml:space="preserve">, </w:t>
            </w:r>
            <w:r w:rsidR="00FC4B2D" w:rsidRPr="003B5EA4">
              <w:t xml:space="preserve">FNUAP, </w:t>
            </w:r>
            <w:r w:rsidRPr="003B5EA4">
              <w:t xml:space="preserve">HCR, </w:t>
            </w:r>
            <w:r w:rsidR="00236BDE" w:rsidRPr="003B5EA4">
              <w:t xml:space="preserve">OIT, </w:t>
            </w:r>
            <w:r w:rsidR="00FC4B2D" w:rsidRPr="003B5EA4">
              <w:t>OMS</w:t>
            </w:r>
            <w:r w:rsidR="00FC4B2D" w:rsidRPr="003B5EA4">
              <w:rPr>
                <w:rFonts w:asciiTheme="majorBidi" w:hAnsiTheme="majorBidi" w:cstheme="majorBidi"/>
                <w:i/>
                <w:color w:val="000000"/>
                <w:sz w:val="18"/>
                <w:szCs w:val="18"/>
                <w:vertAlign w:val="superscript"/>
                <w:lang w:eastAsia="zh-CN"/>
              </w:rPr>
              <w:t>e</w:t>
            </w:r>
            <w:r w:rsidR="00FC4B2D" w:rsidRPr="003B5EA4">
              <w:t>,</w:t>
            </w:r>
            <w:r w:rsidR="00FC4B2D" w:rsidRPr="003B5EA4">
              <w:rPr>
                <w:vertAlign w:val="superscript"/>
              </w:rPr>
              <w:t xml:space="preserve"> </w:t>
            </w:r>
            <w:r w:rsidR="00236BDE" w:rsidRPr="003B5EA4">
              <w:t xml:space="preserve">ONU, </w:t>
            </w:r>
            <w:r w:rsidR="00FC4B2D" w:rsidRPr="003B5EA4">
              <w:t xml:space="preserve">ONU-Femmes, ONUDC, ONUDI, </w:t>
            </w:r>
            <w:r w:rsidR="00236BDE" w:rsidRPr="003B5EA4">
              <w:t xml:space="preserve">ONUSIDA, </w:t>
            </w:r>
            <w:r w:rsidR="006E7C8F" w:rsidRPr="003B5EA4">
              <w:t xml:space="preserve">PAM, </w:t>
            </w:r>
            <w:r w:rsidR="00236BDE" w:rsidRPr="003B5EA4">
              <w:t>PNUD, PNUE, OMPI</w:t>
            </w:r>
            <w:r w:rsidR="0069415B" w:rsidRPr="003B5EA4">
              <w:t xml:space="preserve">, </w:t>
            </w:r>
            <w:r w:rsidRPr="003B5EA4">
              <w:t xml:space="preserve">UIT, </w:t>
            </w:r>
            <w:r w:rsidR="0069415B" w:rsidRPr="003B5EA4">
              <w:t>UNESCO</w:t>
            </w:r>
            <w:r w:rsidR="0069415B" w:rsidRPr="003B5EA4">
              <w:rPr>
                <w:rFonts w:asciiTheme="majorBidi" w:hAnsiTheme="majorBidi" w:cstheme="majorBidi"/>
                <w:i/>
                <w:color w:val="000000"/>
                <w:sz w:val="18"/>
                <w:szCs w:val="18"/>
                <w:vertAlign w:val="superscript"/>
                <w:lang w:eastAsia="zh-CN"/>
              </w:rPr>
              <w:t>n</w:t>
            </w:r>
            <w:r w:rsidR="0069415B" w:rsidRPr="003B5EA4">
              <w:t>, UNICEF, UNOPS</w:t>
            </w:r>
            <w:r w:rsidR="0069415B" w:rsidRPr="003B5EA4">
              <w:rPr>
                <w:rFonts w:asciiTheme="majorBidi" w:hAnsiTheme="majorBidi" w:cstheme="majorBidi"/>
                <w:i/>
                <w:color w:val="000000"/>
                <w:sz w:val="18"/>
                <w:szCs w:val="18"/>
                <w:vertAlign w:val="superscript"/>
                <w:lang w:eastAsia="zh-CN"/>
              </w:rPr>
              <w:t>p</w:t>
            </w:r>
            <w:r w:rsidR="00F14E99" w:rsidRPr="003B5EA4">
              <w:t xml:space="preserve">, </w:t>
            </w:r>
            <w:r w:rsidR="0069415B" w:rsidRPr="003B5EA4">
              <w:t>UNRWA</w:t>
            </w:r>
            <w:r w:rsidRPr="003B5EA4">
              <w:t xml:space="preserve"> et UPU</w:t>
            </w:r>
          </w:p>
        </w:tc>
        <w:tc>
          <w:tcPr>
            <w:tcW w:w="1330" w:type="dxa"/>
            <w:shd w:val="clear" w:color="auto" w:fill="auto"/>
          </w:tcPr>
          <w:p w:rsidR="00433349" w:rsidRPr="003B5EA4" w:rsidRDefault="00433349" w:rsidP="00871FDF">
            <w:pPr>
              <w:suppressAutoHyphens w:val="0"/>
              <w:spacing w:before="40" w:after="120"/>
              <w:ind w:right="113"/>
            </w:pPr>
            <w:r w:rsidRPr="003B5EA4">
              <w:t>FAO (</w:t>
            </w:r>
            <w:r w:rsidR="00236BDE" w:rsidRPr="003B5EA4">
              <w:t>consultants uniquemen</w:t>
            </w:r>
            <w:r w:rsidR="00F51A0E">
              <w:t>t</w:t>
            </w:r>
            <w:r w:rsidRPr="003B5EA4">
              <w:t>)</w:t>
            </w:r>
          </w:p>
        </w:tc>
        <w:tc>
          <w:tcPr>
            <w:tcW w:w="1449" w:type="dxa"/>
            <w:shd w:val="clear" w:color="auto" w:fill="auto"/>
          </w:tcPr>
          <w:p w:rsidR="00433349" w:rsidRPr="003B5EA4" w:rsidRDefault="00433349" w:rsidP="00871FDF">
            <w:pPr>
              <w:suppressAutoHyphens w:val="0"/>
              <w:spacing w:before="40" w:after="120"/>
              <w:ind w:right="113"/>
            </w:pPr>
            <w:r w:rsidRPr="003B5EA4">
              <w:t xml:space="preserve">OACI </w:t>
            </w:r>
            <w:r w:rsidR="00236BDE" w:rsidRPr="003B5EA4">
              <w:t>et</w:t>
            </w:r>
            <w:r w:rsidRPr="003B5EA4">
              <w:t xml:space="preserve"> OMT</w:t>
            </w:r>
          </w:p>
        </w:tc>
        <w:tc>
          <w:tcPr>
            <w:tcW w:w="1167" w:type="dxa"/>
            <w:shd w:val="clear" w:color="auto" w:fill="auto"/>
          </w:tcPr>
          <w:p w:rsidR="00433349" w:rsidRPr="003B5EA4" w:rsidRDefault="00433349" w:rsidP="00871FDF">
            <w:pPr>
              <w:suppressAutoHyphens w:val="0"/>
              <w:spacing w:before="40" w:after="120"/>
              <w:ind w:right="113"/>
            </w:pPr>
            <w:r w:rsidRPr="003B5EA4">
              <w:t>OMI</w:t>
            </w:r>
          </w:p>
        </w:tc>
        <w:tc>
          <w:tcPr>
            <w:tcW w:w="1001" w:type="dxa"/>
            <w:shd w:val="clear" w:color="auto" w:fill="auto"/>
            <w:tcMar>
              <w:right w:w="0" w:type="dxa"/>
            </w:tcMar>
          </w:tcPr>
          <w:p w:rsidR="00433349" w:rsidRPr="003B5EA4" w:rsidRDefault="00433349" w:rsidP="00135FD8">
            <w:pPr>
              <w:suppressAutoHyphens w:val="0"/>
              <w:spacing w:before="40" w:after="120"/>
            </w:pPr>
          </w:p>
        </w:tc>
      </w:tr>
      <w:tr w:rsidR="00B65C28" w:rsidRPr="003B5EA4" w:rsidTr="00B65C28">
        <w:trPr>
          <w:trHeight w:val="240"/>
        </w:trPr>
        <w:tc>
          <w:tcPr>
            <w:tcW w:w="2028" w:type="dxa"/>
            <w:tcBorders>
              <w:bottom w:val="single" w:sz="12" w:space="0" w:color="auto"/>
            </w:tcBorders>
            <w:shd w:val="clear" w:color="auto" w:fill="auto"/>
          </w:tcPr>
          <w:p w:rsidR="00433349" w:rsidRPr="003B5EA4" w:rsidRDefault="00673AFD" w:rsidP="00871FDF">
            <w:pPr>
              <w:suppressAutoHyphens w:val="0"/>
              <w:spacing w:before="40" w:after="120"/>
              <w:ind w:right="113"/>
            </w:pPr>
            <w:r w:rsidRPr="003B5EA4">
              <w:t>Autres</w:t>
            </w:r>
          </w:p>
        </w:tc>
        <w:tc>
          <w:tcPr>
            <w:tcW w:w="1806" w:type="dxa"/>
            <w:tcBorders>
              <w:bottom w:val="single" w:sz="12" w:space="0" w:color="auto"/>
            </w:tcBorders>
            <w:shd w:val="clear" w:color="auto" w:fill="auto"/>
          </w:tcPr>
          <w:p w:rsidR="00433349" w:rsidRPr="003B5EA4" w:rsidRDefault="00433349" w:rsidP="00871FDF">
            <w:pPr>
              <w:suppressAutoHyphens w:val="0"/>
              <w:spacing w:before="40" w:after="120"/>
              <w:ind w:right="113"/>
            </w:pPr>
            <w:r w:rsidRPr="003B5EA4">
              <w:t>OMS</w:t>
            </w:r>
            <w:r w:rsidRPr="003B5EA4">
              <w:rPr>
                <w:i/>
                <w:sz w:val="18"/>
                <w:vertAlign w:val="superscript"/>
              </w:rPr>
              <w:t>e</w:t>
            </w:r>
            <w:r w:rsidRPr="003B5EA4">
              <w:t xml:space="preserve"> </w:t>
            </w:r>
            <w:r w:rsidR="00673AFD" w:rsidRPr="003B5EA4">
              <w:t>et</w:t>
            </w:r>
            <w:r w:rsidRPr="003B5EA4">
              <w:t xml:space="preserve"> </w:t>
            </w:r>
            <w:r w:rsidR="00673AFD" w:rsidRPr="003B5EA4">
              <w:t>ONU</w:t>
            </w:r>
            <w:r w:rsidRPr="003B5EA4">
              <w:t>DC</w:t>
            </w:r>
          </w:p>
        </w:tc>
        <w:tc>
          <w:tcPr>
            <w:tcW w:w="1896" w:type="dxa"/>
            <w:tcBorders>
              <w:bottom w:val="single" w:sz="12" w:space="0" w:color="auto"/>
            </w:tcBorders>
            <w:shd w:val="clear" w:color="auto" w:fill="auto"/>
          </w:tcPr>
          <w:p w:rsidR="00433349" w:rsidRPr="003B5EA4" w:rsidRDefault="00673AFD" w:rsidP="00871FDF">
            <w:pPr>
              <w:suppressAutoHyphens w:val="0"/>
              <w:spacing w:before="40" w:after="120"/>
              <w:ind w:right="113"/>
            </w:pPr>
            <w:r w:rsidRPr="003B5EA4">
              <w:t>FNUAP</w:t>
            </w:r>
            <w:r w:rsidR="00433349" w:rsidRPr="003B5EA4">
              <w:rPr>
                <w:i/>
                <w:sz w:val="18"/>
                <w:vertAlign w:val="superscript"/>
              </w:rPr>
              <w:t>c</w:t>
            </w:r>
          </w:p>
        </w:tc>
        <w:tc>
          <w:tcPr>
            <w:tcW w:w="3099" w:type="dxa"/>
            <w:tcBorders>
              <w:bottom w:val="single" w:sz="12" w:space="0" w:color="auto"/>
            </w:tcBorders>
            <w:shd w:val="clear" w:color="auto" w:fill="auto"/>
          </w:tcPr>
          <w:p w:rsidR="00433349" w:rsidRPr="003B5EA4" w:rsidRDefault="00433349" w:rsidP="00871FDF">
            <w:pPr>
              <w:suppressAutoHyphens w:val="0"/>
              <w:spacing w:before="40" w:after="120"/>
              <w:ind w:right="113"/>
            </w:pPr>
            <w:r w:rsidRPr="003B5EA4">
              <w:t>ACNUR</w:t>
            </w:r>
            <w:r w:rsidRPr="003B5EA4">
              <w:rPr>
                <w:i/>
                <w:sz w:val="18"/>
                <w:vertAlign w:val="superscript"/>
              </w:rPr>
              <w:t>g</w:t>
            </w:r>
            <w:r w:rsidRPr="003B5EA4">
              <w:t>, OMS</w:t>
            </w:r>
            <w:r w:rsidRPr="003B5EA4">
              <w:rPr>
                <w:i/>
                <w:sz w:val="18"/>
                <w:vertAlign w:val="superscript"/>
              </w:rPr>
              <w:t>ll</w:t>
            </w:r>
            <w:r w:rsidRPr="003B5EA4">
              <w:t xml:space="preserve"> </w:t>
            </w:r>
            <w:r w:rsidR="007B1861" w:rsidRPr="003B5EA4">
              <w:t>et</w:t>
            </w:r>
            <w:r w:rsidRPr="003B5EA4">
              <w:t xml:space="preserve"> ONU</w:t>
            </w:r>
            <w:r w:rsidRPr="003B5EA4">
              <w:noBreakHyphen/>
            </w:r>
            <w:r w:rsidR="007B1861" w:rsidRPr="003B5EA4">
              <w:t>Femme</w:t>
            </w:r>
            <w:r w:rsidRPr="003B5EA4">
              <w:t>s</w:t>
            </w:r>
            <w:r w:rsidRPr="003B5EA4">
              <w:rPr>
                <w:i/>
                <w:sz w:val="18"/>
                <w:vertAlign w:val="superscript"/>
              </w:rPr>
              <w:t>p</w:t>
            </w:r>
          </w:p>
        </w:tc>
        <w:tc>
          <w:tcPr>
            <w:tcW w:w="1330" w:type="dxa"/>
            <w:tcBorders>
              <w:bottom w:val="single" w:sz="12" w:space="0" w:color="auto"/>
            </w:tcBorders>
            <w:shd w:val="clear" w:color="auto" w:fill="auto"/>
          </w:tcPr>
          <w:p w:rsidR="00433349" w:rsidRPr="003B5EA4" w:rsidRDefault="00433349" w:rsidP="00871FDF">
            <w:pPr>
              <w:suppressAutoHyphens w:val="0"/>
              <w:spacing w:before="40" w:after="120"/>
              <w:ind w:right="113"/>
            </w:pPr>
          </w:p>
        </w:tc>
        <w:tc>
          <w:tcPr>
            <w:tcW w:w="1449" w:type="dxa"/>
            <w:tcBorders>
              <w:bottom w:val="single" w:sz="12" w:space="0" w:color="auto"/>
            </w:tcBorders>
            <w:shd w:val="clear" w:color="auto" w:fill="auto"/>
          </w:tcPr>
          <w:p w:rsidR="00433349" w:rsidRPr="003B5EA4" w:rsidRDefault="007B1861" w:rsidP="00871FDF">
            <w:pPr>
              <w:suppressAutoHyphens w:val="0"/>
              <w:spacing w:before="40" w:after="120"/>
              <w:ind w:right="113"/>
            </w:pPr>
            <w:r w:rsidRPr="003B5EA4">
              <w:t>HC</w:t>
            </w:r>
            <w:r w:rsidR="00433349" w:rsidRPr="003B5EA4">
              <w:t>R</w:t>
            </w:r>
            <w:r w:rsidR="00433349" w:rsidRPr="003B5EA4">
              <w:rPr>
                <w:i/>
                <w:sz w:val="18"/>
                <w:vertAlign w:val="superscript"/>
              </w:rPr>
              <w:t>g</w:t>
            </w:r>
            <w:r w:rsidR="00433349" w:rsidRPr="003B5EA4">
              <w:t xml:space="preserve"> </w:t>
            </w:r>
            <w:r w:rsidRPr="003B5EA4">
              <w:t>et</w:t>
            </w:r>
            <w:r w:rsidR="00433349" w:rsidRPr="003B5EA4">
              <w:t xml:space="preserve"> OMPI</w:t>
            </w:r>
            <w:r w:rsidR="00433349" w:rsidRPr="003B5EA4">
              <w:rPr>
                <w:i/>
                <w:sz w:val="18"/>
                <w:vertAlign w:val="superscript"/>
              </w:rPr>
              <w:t>i</w:t>
            </w:r>
          </w:p>
        </w:tc>
        <w:tc>
          <w:tcPr>
            <w:tcW w:w="1167" w:type="dxa"/>
            <w:tcBorders>
              <w:bottom w:val="single" w:sz="12" w:space="0" w:color="auto"/>
            </w:tcBorders>
            <w:shd w:val="clear" w:color="auto" w:fill="auto"/>
          </w:tcPr>
          <w:p w:rsidR="00433349" w:rsidRPr="003B5EA4" w:rsidRDefault="00433349" w:rsidP="00871FDF">
            <w:pPr>
              <w:suppressAutoHyphens w:val="0"/>
              <w:spacing w:before="40" w:after="120"/>
              <w:ind w:right="113"/>
            </w:pPr>
          </w:p>
        </w:tc>
        <w:tc>
          <w:tcPr>
            <w:tcW w:w="1001" w:type="dxa"/>
            <w:tcBorders>
              <w:bottom w:val="single" w:sz="12" w:space="0" w:color="auto"/>
            </w:tcBorders>
            <w:shd w:val="clear" w:color="auto" w:fill="auto"/>
            <w:tcMar>
              <w:right w:w="0" w:type="dxa"/>
            </w:tcMar>
          </w:tcPr>
          <w:p w:rsidR="00433349" w:rsidRPr="003B5EA4" w:rsidRDefault="00433349" w:rsidP="00135FD8">
            <w:pPr>
              <w:suppressAutoHyphens w:val="0"/>
              <w:spacing w:before="40" w:after="120"/>
            </w:pPr>
            <w:r w:rsidRPr="003B5EA4">
              <w:t>OMS</w:t>
            </w:r>
            <w:r w:rsidRPr="003B5EA4">
              <w:rPr>
                <w:i/>
                <w:sz w:val="18"/>
                <w:vertAlign w:val="superscript"/>
              </w:rPr>
              <w:t>e</w:t>
            </w:r>
          </w:p>
        </w:tc>
      </w:tr>
    </w:tbl>
    <w:p w:rsidR="00B375D3" w:rsidRDefault="00A4178A" w:rsidP="00D31028">
      <w:pPr>
        <w:pStyle w:val="SingleTxtG"/>
        <w:spacing w:before="120" w:after="0"/>
        <w:ind w:left="284" w:right="284" w:firstLine="170"/>
        <w:jc w:val="left"/>
        <w:rPr>
          <w:sz w:val="18"/>
          <w:szCs w:val="18"/>
        </w:rPr>
      </w:pPr>
      <w:r w:rsidRPr="003B5EA4">
        <w:rPr>
          <w:i/>
          <w:sz w:val="18"/>
          <w:szCs w:val="18"/>
        </w:rPr>
        <w:t>Sources</w:t>
      </w:r>
      <w:r w:rsidRPr="003B5EA4">
        <w:rPr>
          <w:sz w:val="18"/>
          <w:szCs w:val="18"/>
        </w:rPr>
        <w:t> :</w:t>
      </w:r>
      <w:r w:rsidRPr="003B5EA4">
        <w:rPr>
          <w:i/>
          <w:sz w:val="18"/>
          <w:szCs w:val="18"/>
        </w:rPr>
        <w:t xml:space="preserve"> </w:t>
      </w:r>
      <w:r w:rsidRPr="003B5EA4">
        <w:rPr>
          <w:sz w:val="18"/>
          <w:szCs w:val="18"/>
        </w:rPr>
        <w:t>Politiques des organismes et réponses des organismes au questionnaire.</w:t>
      </w:r>
    </w:p>
    <w:p w:rsidR="00D31028" w:rsidRPr="003B5EA4" w:rsidRDefault="00D31028" w:rsidP="00D31028">
      <w:pPr>
        <w:pStyle w:val="SingleTxtG"/>
        <w:spacing w:after="0"/>
        <w:ind w:left="284" w:right="284" w:firstLine="170"/>
        <w:jc w:val="left"/>
        <w:rPr>
          <w:sz w:val="18"/>
          <w:szCs w:val="18"/>
        </w:rPr>
      </w:pPr>
      <w:r w:rsidRPr="003B5EA4">
        <w:rPr>
          <w:i/>
          <w:sz w:val="18"/>
          <w:szCs w:val="18"/>
        </w:rPr>
        <w:t>Notes</w:t>
      </w:r>
      <w:r w:rsidRPr="003B5EA4">
        <w:rPr>
          <w:sz w:val="18"/>
          <w:szCs w:val="18"/>
        </w:rPr>
        <w:t> :</w:t>
      </w:r>
    </w:p>
    <w:p w:rsidR="00D31028" w:rsidRPr="003B5EA4" w:rsidRDefault="00D31028" w:rsidP="00D31028">
      <w:pPr>
        <w:pStyle w:val="SingleTxtG"/>
        <w:spacing w:after="0"/>
        <w:ind w:left="284" w:right="284" w:firstLine="170"/>
        <w:jc w:val="left"/>
        <w:rPr>
          <w:b/>
          <w:bCs/>
          <w:sz w:val="18"/>
          <w:szCs w:val="18"/>
        </w:rPr>
      </w:pPr>
      <w:r w:rsidRPr="003B5EA4">
        <w:rPr>
          <w:sz w:val="18"/>
          <w:szCs w:val="18"/>
        </w:rPr>
        <w:t>ONU-Habitat et l</w:t>
      </w:r>
      <w:r w:rsidR="00762E0A">
        <w:rPr>
          <w:sz w:val="18"/>
          <w:szCs w:val="18"/>
        </w:rPr>
        <w:t>’</w:t>
      </w:r>
      <w:r w:rsidRPr="003B5EA4">
        <w:rPr>
          <w:sz w:val="18"/>
          <w:szCs w:val="18"/>
        </w:rPr>
        <w:t>OMM n</w:t>
      </w:r>
      <w:r w:rsidR="00762E0A">
        <w:rPr>
          <w:sz w:val="18"/>
          <w:szCs w:val="18"/>
        </w:rPr>
        <w:t>’</w:t>
      </w:r>
      <w:r w:rsidRPr="003B5EA4">
        <w:rPr>
          <w:sz w:val="18"/>
          <w:szCs w:val="18"/>
        </w:rPr>
        <w:t>ont pas répondu au questionnaire.</w:t>
      </w:r>
    </w:p>
    <w:p w:rsidR="00D31028" w:rsidRPr="003B5EA4" w:rsidRDefault="00D31028" w:rsidP="00D31028">
      <w:pPr>
        <w:pStyle w:val="SingleTxtG"/>
        <w:spacing w:after="0"/>
        <w:ind w:left="284" w:right="284" w:firstLine="170"/>
        <w:jc w:val="left"/>
        <w:rPr>
          <w:sz w:val="18"/>
          <w:szCs w:val="18"/>
        </w:rPr>
      </w:pPr>
      <w:r w:rsidRPr="003B5EA4">
        <w:rPr>
          <w:sz w:val="18"/>
          <w:szCs w:val="18"/>
        </w:rPr>
        <w:t>La CNUCED n</w:t>
      </w:r>
      <w:r w:rsidR="00762E0A">
        <w:rPr>
          <w:sz w:val="18"/>
          <w:szCs w:val="18"/>
        </w:rPr>
        <w:t>’</w:t>
      </w:r>
      <w:r w:rsidRPr="003B5EA4">
        <w:rPr>
          <w:sz w:val="18"/>
          <w:szCs w:val="18"/>
        </w:rPr>
        <w:t>a pas rempli la partie du questionnaire relative aux voyages des non-fonctionnaires.</w:t>
      </w:r>
    </w:p>
    <w:tbl>
      <w:tblPr>
        <w:tblStyle w:val="Grilledutableau"/>
        <w:tblW w:w="134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197"/>
        <w:gridCol w:w="11335"/>
      </w:tblGrid>
      <w:tr w:rsidR="00B375D3" w:rsidRPr="003B5EA4" w:rsidTr="006E04C7">
        <w:trPr>
          <w:jc w:val="center"/>
        </w:trPr>
        <w:tc>
          <w:tcPr>
            <w:tcW w:w="905" w:type="dxa"/>
          </w:tcPr>
          <w:p w:rsidR="00B375D3" w:rsidRPr="003B5EA4" w:rsidRDefault="00B375D3" w:rsidP="00135FD8">
            <w:pPr>
              <w:pStyle w:val="SingleTxtG"/>
              <w:keepNext/>
              <w:keepLines/>
              <w:spacing w:after="0"/>
              <w:ind w:left="0" w:right="0"/>
              <w:jc w:val="left"/>
              <w:rPr>
                <w:i/>
                <w:sz w:val="18"/>
              </w:rPr>
            </w:pPr>
            <w:r w:rsidRPr="003B5EA4">
              <w:rPr>
                <w:sz w:val="18"/>
                <w:szCs w:val="18"/>
              </w:rPr>
              <w:lastRenderedPageBreak/>
              <w:br w:type="page"/>
            </w:r>
            <w:r w:rsidRPr="003B5EA4">
              <w:rPr>
                <w:i/>
                <w:sz w:val="18"/>
              </w:rPr>
              <w:t>Note</w:t>
            </w:r>
            <w:r w:rsidR="006E04C7">
              <w:rPr>
                <w:i/>
                <w:sz w:val="18"/>
              </w:rPr>
              <w:t xml:space="preserve"> de bas de page</w:t>
            </w:r>
          </w:p>
        </w:tc>
        <w:tc>
          <w:tcPr>
            <w:tcW w:w="1197" w:type="dxa"/>
            <w:vAlign w:val="bottom"/>
          </w:tcPr>
          <w:p w:rsidR="00B375D3" w:rsidRPr="003B5EA4" w:rsidRDefault="00B375D3" w:rsidP="00B375D3">
            <w:pPr>
              <w:pStyle w:val="SingleTxtG"/>
              <w:keepNext/>
              <w:keepLines/>
              <w:spacing w:after="0"/>
              <w:ind w:left="0" w:right="0"/>
              <w:jc w:val="left"/>
              <w:rPr>
                <w:i/>
                <w:sz w:val="18"/>
              </w:rPr>
            </w:pPr>
            <w:r w:rsidRPr="003B5EA4">
              <w:rPr>
                <w:i/>
                <w:sz w:val="18"/>
              </w:rPr>
              <w:t>Organisme</w:t>
            </w:r>
          </w:p>
        </w:tc>
        <w:tc>
          <w:tcPr>
            <w:tcW w:w="11335" w:type="dxa"/>
            <w:vAlign w:val="bottom"/>
          </w:tcPr>
          <w:p w:rsidR="00B375D3" w:rsidRPr="003B5EA4" w:rsidRDefault="00B375D3" w:rsidP="00135FD8">
            <w:pPr>
              <w:pStyle w:val="SingleTxtG"/>
              <w:keepNext/>
              <w:keepLines/>
              <w:spacing w:after="0"/>
              <w:ind w:left="0" w:right="0"/>
              <w:jc w:val="left"/>
              <w:rPr>
                <w:i/>
                <w:sz w:val="18"/>
              </w:rPr>
            </w:pPr>
            <w:r w:rsidRPr="003B5EA4">
              <w:rPr>
                <w:i/>
                <w:sz w:val="18"/>
              </w:rPr>
              <w:t>Remarques</w:t>
            </w:r>
          </w:p>
        </w:tc>
      </w:tr>
      <w:tr w:rsidR="00D22ED6" w:rsidRPr="003B5EA4" w:rsidTr="006E04C7">
        <w:trPr>
          <w:jc w:val="center"/>
        </w:trPr>
        <w:tc>
          <w:tcPr>
            <w:tcW w:w="905" w:type="dxa"/>
          </w:tcPr>
          <w:p w:rsidR="00D22ED6" w:rsidRPr="003B5EA4" w:rsidRDefault="00D22ED6" w:rsidP="00D22ED6">
            <w:pPr>
              <w:pStyle w:val="SingleTxtG"/>
              <w:spacing w:after="0"/>
              <w:ind w:left="0" w:right="0"/>
              <w:jc w:val="center"/>
              <w:rPr>
                <w:i/>
                <w:sz w:val="18"/>
                <w:vertAlign w:val="superscript"/>
              </w:rPr>
            </w:pPr>
            <w:r w:rsidRPr="003B5EA4">
              <w:rPr>
                <w:i/>
                <w:sz w:val="18"/>
                <w:vertAlign w:val="superscript"/>
              </w:rPr>
              <w:t>c</w:t>
            </w:r>
          </w:p>
        </w:tc>
        <w:tc>
          <w:tcPr>
            <w:tcW w:w="1197" w:type="dxa"/>
          </w:tcPr>
          <w:p w:rsidR="00D22ED6" w:rsidRPr="003B5EA4" w:rsidRDefault="00D22ED6" w:rsidP="00D22ED6">
            <w:pPr>
              <w:pStyle w:val="SingleTxtG"/>
              <w:spacing w:after="0"/>
              <w:ind w:left="0" w:right="0"/>
              <w:jc w:val="left"/>
              <w:rPr>
                <w:sz w:val="18"/>
              </w:rPr>
            </w:pPr>
            <w:r w:rsidRPr="003B5EA4">
              <w:rPr>
                <w:sz w:val="18"/>
              </w:rPr>
              <w:t>FNUAP</w:t>
            </w:r>
          </w:p>
        </w:tc>
        <w:tc>
          <w:tcPr>
            <w:tcW w:w="11335" w:type="dxa"/>
          </w:tcPr>
          <w:p w:rsidR="00D22ED6" w:rsidRPr="003B5EA4" w:rsidRDefault="00D22ED6" w:rsidP="00D22ED6">
            <w:pPr>
              <w:pStyle w:val="SingleTxtG"/>
              <w:spacing w:after="0"/>
              <w:ind w:left="0" w:right="0"/>
              <w:jc w:val="left"/>
              <w:rPr>
                <w:sz w:val="18"/>
              </w:rPr>
            </w:pPr>
            <w:r w:rsidRPr="003B5EA4">
              <w:rPr>
                <w:sz w:val="18"/>
              </w:rPr>
              <w:t>Pour les représentants des États membres, seul le chef de la délégation a le droit de voyager en classe affaires.</w:t>
            </w:r>
          </w:p>
          <w:p w:rsidR="00D22ED6" w:rsidRPr="003B5EA4" w:rsidRDefault="00D22ED6" w:rsidP="00D22ED6">
            <w:pPr>
              <w:pStyle w:val="SingleTxtG"/>
              <w:spacing w:after="0"/>
              <w:ind w:left="0" w:right="0"/>
              <w:jc w:val="left"/>
              <w:rPr>
                <w:sz w:val="18"/>
              </w:rPr>
            </w:pPr>
            <w:r w:rsidRPr="003B5EA4">
              <w:rPr>
                <w:sz w:val="18"/>
              </w:rPr>
              <w:t>Pour les autres : une dérogation aux fins de voyage en classe affaires doit être obtenue auprès du Directeur exécutif préalablement à chaque réunion du Comité consultatif pour les questions d</w:t>
            </w:r>
            <w:r w:rsidR="00762E0A">
              <w:rPr>
                <w:sz w:val="18"/>
              </w:rPr>
              <w:t>’</w:t>
            </w:r>
            <w:r w:rsidRPr="003B5EA4">
              <w:rPr>
                <w:iCs/>
                <w:sz w:val="18"/>
              </w:rPr>
              <w:t>audit</w:t>
            </w:r>
            <w:r w:rsidRPr="003B5EA4">
              <w:rPr>
                <w:sz w:val="18"/>
              </w:rPr>
              <w:t>.</w:t>
            </w:r>
          </w:p>
        </w:tc>
      </w:tr>
      <w:tr w:rsidR="00D22ED6" w:rsidRPr="003B5EA4" w:rsidTr="006E04C7">
        <w:trPr>
          <w:jc w:val="center"/>
        </w:trPr>
        <w:tc>
          <w:tcPr>
            <w:tcW w:w="905" w:type="dxa"/>
          </w:tcPr>
          <w:p w:rsidR="00D22ED6" w:rsidRPr="003B5EA4" w:rsidRDefault="00D22ED6" w:rsidP="00D22ED6">
            <w:pPr>
              <w:pStyle w:val="SingleTxtG"/>
              <w:spacing w:after="0"/>
              <w:ind w:left="0" w:right="0"/>
              <w:jc w:val="center"/>
              <w:rPr>
                <w:i/>
                <w:sz w:val="18"/>
                <w:vertAlign w:val="superscript"/>
              </w:rPr>
            </w:pPr>
            <w:r w:rsidRPr="003B5EA4">
              <w:rPr>
                <w:i/>
                <w:sz w:val="18"/>
                <w:vertAlign w:val="superscript"/>
              </w:rPr>
              <w:t>m</w:t>
            </w:r>
          </w:p>
        </w:tc>
        <w:tc>
          <w:tcPr>
            <w:tcW w:w="1197" w:type="dxa"/>
          </w:tcPr>
          <w:p w:rsidR="00D22ED6" w:rsidRPr="003B5EA4" w:rsidRDefault="00D22ED6" w:rsidP="00D22ED6">
            <w:pPr>
              <w:pStyle w:val="SingleTxtG"/>
              <w:spacing w:after="0"/>
              <w:ind w:left="0" w:right="0"/>
              <w:jc w:val="left"/>
              <w:rPr>
                <w:sz w:val="18"/>
              </w:rPr>
            </w:pPr>
            <w:r w:rsidRPr="003B5EA4">
              <w:rPr>
                <w:sz w:val="18"/>
              </w:rPr>
              <w:t>FAO</w:t>
            </w:r>
          </w:p>
        </w:tc>
        <w:tc>
          <w:tcPr>
            <w:tcW w:w="11335" w:type="dxa"/>
          </w:tcPr>
          <w:p w:rsidR="00D22ED6" w:rsidRPr="003B5EA4" w:rsidRDefault="00D22ED6" w:rsidP="00D22ED6">
            <w:pPr>
              <w:pStyle w:val="SingleTxtG"/>
              <w:spacing w:after="0"/>
              <w:ind w:left="0" w:right="0"/>
              <w:jc w:val="left"/>
              <w:rPr>
                <w:sz w:val="18"/>
              </w:rPr>
            </w:pPr>
            <w:r w:rsidRPr="003B5EA4">
              <w:rPr>
                <w:sz w:val="18"/>
              </w:rPr>
              <w:t>Le règlement du personnel s</w:t>
            </w:r>
            <w:r w:rsidR="00762E0A">
              <w:rPr>
                <w:sz w:val="18"/>
              </w:rPr>
              <w:t>’</w:t>
            </w:r>
            <w:r w:rsidRPr="003B5EA4">
              <w:rPr>
                <w:sz w:val="18"/>
              </w:rPr>
              <w:t>applique aux consultants</w:t>
            </w:r>
            <w:r w:rsidR="00BF0B8F">
              <w:rPr>
                <w:sz w:val="18"/>
              </w:rPr>
              <w:t> ;</w:t>
            </w:r>
            <w:r w:rsidRPr="003B5EA4">
              <w:rPr>
                <w:sz w:val="18"/>
              </w:rPr>
              <w:t xml:space="preserve"> les vacataires doivent voyager en classe économique quelle que soit la durée du vol.</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g</w:t>
            </w:r>
          </w:p>
        </w:tc>
        <w:tc>
          <w:tcPr>
            <w:tcW w:w="1197" w:type="dxa"/>
          </w:tcPr>
          <w:p w:rsidR="00B375D3" w:rsidRPr="003B5EA4" w:rsidRDefault="006E2055" w:rsidP="00135FD8">
            <w:pPr>
              <w:pStyle w:val="SingleTxtG"/>
              <w:spacing w:after="0"/>
              <w:ind w:left="0" w:right="0"/>
              <w:jc w:val="left"/>
              <w:rPr>
                <w:sz w:val="18"/>
              </w:rPr>
            </w:pPr>
            <w:r w:rsidRPr="003B5EA4">
              <w:rPr>
                <w:sz w:val="18"/>
              </w:rPr>
              <w:t>HCR</w:t>
            </w:r>
          </w:p>
        </w:tc>
        <w:tc>
          <w:tcPr>
            <w:tcW w:w="11335" w:type="dxa"/>
          </w:tcPr>
          <w:p w:rsidR="00B375D3" w:rsidRPr="003B5EA4" w:rsidRDefault="006E2055" w:rsidP="00782A9F">
            <w:pPr>
              <w:pStyle w:val="SingleTxtG"/>
              <w:spacing w:after="0"/>
              <w:ind w:left="0" w:right="0"/>
              <w:jc w:val="left"/>
              <w:rPr>
                <w:sz w:val="18"/>
              </w:rPr>
            </w:pPr>
            <w:r w:rsidRPr="003B5EA4">
              <w:rPr>
                <w:sz w:val="18"/>
              </w:rPr>
              <w:t>Le règlement du personnel s</w:t>
            </w:r>
            <w:r w:rsidR="00762E0A">
              <w:rPr>
                <w:sz w:val="18"/>
              </w:rPr>
              <w:t>’</w:t>
            </w:r>
            <w:r w:rsidRPr="003B5EA4">
              <w:rPr>
                <w:sz w:val="18"/>
              </w:rPr>
              <w:t>applique aux représentants des États membres, au</w:t>
            </w:r>
            <w:r w:rsidR="00782A9F">
              <w:rPr>
                <w:sz w:val="18"/>
              </w:rPr>
              <w:t>x</w:t>
            </w:r>
            <w:r w:rsidRPr="003B5EA4">
              <w:rPr>
                <w:sz w:val="18"/>
              </w:rPr>
              <w:t xml:space="preserve"> hautes personnalités et aux personnalités</w:t>
            </w:r>
            <w:r w:rsidR="00755416" w:rsidRPr="003B5EA4">
              <w:rPr>
                <w:sz w:val="18"/>
              </w:rPr>
              <w:t> </w:t>
            </w:r>
            <w:r w:rsidRPr="003B5EA4">
              <w:rPr>
                <w:sz w:val="18"/>
              </w:rPr>
              <w:t xml:space="preserve">; les membres des organes et organes subsidiaires bénéficient des mêmes conditions de voyage que les </w:t>
            </w:r>
            <w:r w:rsidR="00782A9F">
              <w:rPr>
                <w:sz w:val="18"/>
              </w:rPr>
              <w:t>s</w:t>
            </w:r>
            <w:r w:rsidRPr="003B5EA4">
              <w:rPr>
                <w:sz w:val="18"/>
              </w:rPr>
              <w:t>ous-</w:t>
            </w:r>
            <w:r w:rsidR="00782A9F">
              <w:rPr>
                <w:sz w:val="18"/>
              </w:rPr>
              <w:t>s</w:t>
            </w:r>
            <w:r w:rsidRPr="003B5EA4">
              <w:rPr>
                <w:sz w:val="18"/>
              </w:rPr>
              <w:t>ecrétaires généraux</w:t>
            </w:r>
            <w:r w:rsidR="00BF0B8F">
              <w:rPr>
                <w:sz w:val="18"/>
              </w:rPr>
              <w:t> ;</w:t>
            </w:r>
            <w:r w:rsidRPr="003B5EA4">
              <w:rPr>
                <w:sz w:val="18"/>
              </w:rPr>
              <w:t xml:space="preserve"> les </w:t>
            </w:r>
            <w:r w:rsidR="00782A9F">
              <w:rPr>
                <w:sz w:val="18"/>
              </w:rPr>
              <w:t>r</w:t>
            </w:r>
            <w:r w:rsidRPr="003B5EA4">
              <w:rPr>
                <w:sz w:val="18"/>
              </w:rPr>
              <w:t>apporteurs spéciaux bénéficient de l</w:t>
            </w:r>
            <w:r w:rsidR="00762E0A">
              <w:rPr>
                <w:sz w:val="18"/>
              </w:rPr>
              <w:t>’</w:t>
            </w:r>
            <w:r w:rsidRPr="003B5EA4">
              <w:rPr>
                <w:sz w:val="18"/>
              </w:rPr>
              <w:t>indemnité journalière de subsistance au taux de 140 %</w:t>
            </w:r>
            <w:r w:rsidR="00755416" w:rsidRPr="003B5EA4">
              <w:rPr>
                <w:sz w:val="18"/>
              </w:rPr>
              <w:t> </w:t>
            </w:r>
            <w:r w:rsidRPr="003B5EA4">
              <w:rPr>
                <w:sz w:val="18"/>
              </w:rPr>
              <w:t>; les volontaires des Nations Unies et les personnes hors HCR participant aux réunions ont droit à la classe économique quelle que soit la durée du voyage</w:t>
            </w:r>
            <w:r w:rsidR="00755416" w:rsidRPr="003B5EA4">
              <w:rPr>
                <w:sz w:val="18"/>
              </w:rPr>
              <w:t> </w:t>
            </w:r>
            <w:r w:rsidRPr="003B5EA4">
              <w:rPr>
                <w:sz w:val="18"/>
              </w:rPr>
              <w:t>; les experts de l</w:t>
            </w:r>
            <w:r w:rsidR="00762E0A">
              <w:rPr>
                <w:sz w:val="18"/>
              </w:rPr>
              <w:t>’</w:t>
            </w:r>
            <w:r w:rsidRPr="003B5EA4">
              <w:rPr>
                <w:sz w:val="18"/>
              </w:rPr>
              <w:t xml:space="preserve">ONU, les candidats externes et les membres de jury de recrutement voyageant pour prendre part à des entrevues de recrutement ont droit à la classe affaires si le voyage dépasse les </w:t>
            </w:r>
            <w:r w:rsidR="00782A9F">
              <w:rPr>
                <w:sz w:val="18"/>
              </w:rPr>
              <w:t>neuf</w:t>
            </w:r>
            <w:r w:rsidR="00755416" w:rsidRPr="003B5EA4">
              <w:rPr>
                <w:sz w:val="18"/>
              </w:rPr>
              <w:t> </w:t>
            </w:r>
            <w:r w:rsidRPr="003B5EA4">
              <w:rPr>
                <w:sz w:val="18"/>
              </w:rPr>
              <w:t>heures.</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j</w:t>
            </w:r>
          </w:p>
        </w:tc>
        <w:tc>
          <w:tcPr>
            <w:tcW w:w="1197" w:type="dxa"/>
          </w:tcPr>
          <w:p w:rsidR="00B375D3" w:rsidRPr="003B5EA4" w:rsidRDefault="00B375D3" w:rsidP="00135FD8">
            <w:pPr>
              <w:pStyle w:val="SingleTxtG"/>
              <w:spacing w:after="0"/>
              <w:ind w:left="0" w:right="0"/>
              <w:jc w:val="left"/>
              <w:rPr>
                <w:sz w:val="18"/>
              </w:rPr>
            </w:pPr>
            <w:r w:rsidRPr="003B5EA4">
              <w:rPr>
                <w:sz w:val="18"/>
              </w:rPr>
              <w:t>OIT</w:t>
            </w:r>
          </w:p>
        </w:tc>
        <w:tc>
          <w:tcPr>
            <w:tcW w:w="11335" w:type="dxa"/>
          </w:tcPr>
          <w:p w:rsidR="00B375D3" w:rsidRPr="003B5EA4" w:rsidRDefault="009E25AE" w:rsidP="0024194C">
            <w:pPr>
              <w:pStyle w:val="SingleTxtG"/>
              <w:spacing w:after="0"/>
              <w:ind w:left="0" w:right="0"/>
              <w:jc w:val="left"/>
              <w:rPr>
                <w:sz w:val="18"/>
              </w:rPr>
            </w:pPr>
            <w:r w:rsidRPr="003B5EA4">
              <w:rPr>
                <w:sz w:val="18"/>
              </w:rPr>
              <w:t>Le règlement du personnel s</w:t>
            </w:r>
            <w:r w:rsidR="00762E0A">
              <w:rPr>
                <w:sz w:val="18"/>
              </w:rPr>
              <w:t>’</w:t>
            </w:r>
            <w:r w:rsidRPr="003B5EA4">
              <w:rPr>
                <w:sz w:val="18"/>
              </w:rPr>
              <w:t xml:space="preserve">applique à certains organes et comités (seuil de </w:t>
            </w:r>
            <w:r w:rsidR="0024194C">
              <w:rPr>
                <w:sz w:val="18"/>
              </w:rPr>
              <w:t>neuf</w:t>
            </w:r>
            <w:r w:rsidRPr="003B5EA4">
              <w:rPr>
                <w:sz w:val="18"/>
              </w:rPr>
              <w:t> heures)</w:t>
            </w:r>
            <w:r w:rsidR="00BF0B8F">
              <w:rPr>
                <w:sz w:val="18"/>
              </w:rPr>
              <w:t> ;</w:t>
            </w:r>
            <w:r w:rsidRPr="003B5EA4">
              <w:rPr>
                <w:sz w:val="18"/>
              </w:rPr>
              <w:t xml:space="preserve"> la règle de la classe économique quelle que soit la durée du vol peut s</w:t>
            </w:r>
            <w:r w:rsidR="00762E0A">
              <w:rPr>
                <w:sz w:val="18"/>
              </w:rPr>
              <w:t>’</w:t>
            </w:r>
            <w:r w:rsidRPr="003B5EA4">
              <w:rPr>
                <w:sz w:val="18"/>
              </w:rPr>
              <w:t>appliquer à certains comités et pour certaines réunions</w:t>
            </w:r>
            <w:r w:rsidR="00BF0B8F">
              <w:rPr>
                <w:sz w:val="18"/>
              </w:rPr>
              <w:t> ;</w:t>
            </w:r>
            <w:r w:rsidRPr="003B5EA4">
              <w:rPr>
                <w:sz w:val="18"/>
              </w:rPr>
              <w:t xml:space="preserve"> dans le cas des hautes personnalités et des personnalités éminentes, le voyage en classe affaires est permis moyennant dérogation du Cabinet.</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i</w:t>
            </w:r>
          </w:p>
        </w:tc>
        <w:tc>
          <w:tcPr>
            <w:tcW w:w="1197" w:type="dxa"/>
          </w:tcPr>
          <w:p w:rsidR="00B375D3" w:rsidRPr="003B5EA4" w:rsidRDefault="00B375D3" w:rsidP="00135FD8">
            <w:pPr>
              <w:pStyle w:val="SingleTxtG"/>
              <w:spacing w:after="0"/>
              <w:ind w:left="0" w:right="0"/>
              <w:jc w:val="left"/>
              <w:rPr>
                <w:sz w:val="18"/>
              </w:rPr>
            </w:pPr>
            <w:r w:rsidRPr="003B5EA4">
              <w:rPr>
                <w:sz w:val="18"/>
              </w:rPr>
              <w:t>OMPI</w:t>
            </w:r>
          </w:p>
        </w:tc>
        <w:tc>
          <w:tcPr>
            <w:tcW w:w="11335" w:type="dxa"/>
          </w:tcPr>
          <w:p w:rsidR="00B375D3" w:rsidRPr="003B5EA4" w:rsidRDefault="009E25AE" w:rsidP="0024194C">
            <w:pPr>
              <w:pStyle w:val="SingleTxtG"/>
              <w:spacing w:after="0"/>
              <w:ind w:left="0" w:right="0"/>
              <w:jc w:val="left"/>
              <w:rPr>
                <w:sz w:val="18"/>
              </w:rPr>
            </w:pPr>
            <w:r w:rsidRPr="003B5EA4">
              <w:rPr>
                <w:sz w:val="18"/>
              </w:rPr>
              <w:t xml:space="preserve">Classe affaires uniquement pour les représentants participant aux assemblées ou aux comités permanents des États </w:t>
            </w:r>
            <w:r w:rsidR="0024194C">
              <w:rPr>
                <w:sz w:val="18"/>
              </w:rPr>
              <w:t>m</w:t>
            </w:r>
            <w:r w:rsidRPr="003B5EA4">
              <w:rPr>
                <w:sz w:val="18"/>
              </w:rPr>
              <w:t xml:space="preserve">embres si le voyage est de plus de </w:t>
            </w:r>
            <w:r w:rsidR="00782A9F">
              <w:rPr>
                <w:sz w:val="18"/>
              </w:rPr>
              <w:t>neuf</w:t>
            </w:r>
            <w:r w:rsidR="00755416" w:rsidRPr="003B5EA4">
              <w:rPr>
                <w:sz w:val="18"/>
              </w:rPr>
              <w:t> </w:t>
            </w:r>
            <w:r w:rsidRPr="003B5EA4">
              <w:rPr>
                <w:sz w:val="18"/>
              </w:rPr>
              <w:t>heures</w:t>
            </w:r>
            <w:r w:rsidR="00755416" w:rsidRPr="003B5EA4">
              <w:rPr>
                <w:sz w:val="18"/>
              </w:rPr>
              <w:t> </w:t>
            </w:r>
            <w:r w:rsidRPr="003B5EA4">
              <w:rPr>
                <w:sz w:val="18"/>
              </w:rPr>
              <w:t>; les voyages en classe affaires pour les hautes personnalités et les personnalités éminentes doivent être autorisés par le Directeur général</w:t>
            </w:r>
            <w:r w:rsidR="00755416" w:rsidRPr="003B5EA4">
              <w:rPr>
                <w:sz w:val="18"/>
              </w:rPr>
              <w:t> </w:t>
            </w:r>
            <w:r w:rsidRPr="003B5EA4">
              <w:rPr>
                <w:sz w:val="18"/>
              </w:rPr>
              <w:t xml:space="preserve">; les orateurs et conférenciers ont droit à un billet en classe affaires si le voyage dure plus de </w:t>
            </w:r>
            <w:r w:rsidR="00782A9F">
              <w:rPr>
                <w:sz w:val="18"/>
              </w:rPr>
              <w:t>neuf</w:t>
            </w:r>
            <w:r w:rsidR="00755416" w:rsidRPr="003B5EA4">
              <w:rPr>
                <w:sz w:val="18"/>
              </w:rPr>
              <w:t> </w:t>
            </w:r>
            <w:r w:rsidRPr="003B5EA4">
              <w:rPr>
                <w:sz w:val="18"/>
              </w:rPr>
              <w:t>heures</w:t>
            </w:r>
            <w:r w:rsidR="00B375D3" w:rsidRPr="003B5EA4">
              <w:rPr>
                <w:sz w:val="18"/>
              </w:rPr>
              <w:t>.</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e</w:t>
            </w:r>
          </w:p>
        </w:tc>
        <w:tc>
          <w:tcPr>
            <w:tcW w:w="1197" w:type="dxa"/>
          </w:tcPr>
          <w:p w:rsidR="00B375D3" w:rsidRPr="003B5EA4" w:rsidRDefault="00B375D3" w:rsidP="00135FD8">
            <w:pPr>
              <w:pStyle w:val="SingleTxtG"/>
              <w:spacing w:after="0"/>
              <w:ind w:left="0" w:right="0"/>
              <w:jc w:val="left"/>
              <w:rPr>
                <w:sz w:val="18"/>
              </w:rPr>
            </w:pPr>
            <w:r w:rsidRPr="003B5EA4">
              <w:rPr>
                <w:sz w:val="18"/>
              </w:rPr>
              <w:t>OMS</w:t>
            </w:r>
          </w:p>
        </w:tc>
        <w:tc>
          <w:tcPr>
            <w:tcW w:w="11335" w:type="dxa"/>
          </w:tcPr>
          <w:p w:rsidR="00B375D3" w:rsidRPr="003B5EA4" w:rsidRDefault="00135FD8" w:rsidP="00135FD8">
            <w:pPr>
              <w:pStyle w:val="SingleTxtG"/>
              <w:spacing w:after="0"/>
              <w:ind w:left="0" w:right="0"/>
              <w:jc w:val="left"/>
              <w:rPr>
                <w:sz w:val="18"/>
              </w:rPr>
            </w:pPr>
            <w:r w:rsidRPr="003B5EA4">
              <w:rPr>
                <w:sz w:val="18"/>
              </w:rPr>
              <w:t>Les non-fonctionnaires n</w:t>
            </w:r>
            <w:r w:rsidR="00762E0A">
              <w:rPr>
                <w:sz w:val="18"/>
              </w:rPr>
              <w:t>’</w:t>
            </w:r>
            <w:r w:rsidRPr="003B5EA4">
              <w:rPr>
                <w:sz w:val="18"/>
              </w:rPr>
              <w:t>ont pas droit à la classe affaires, quelle que soit la durée du voyage. Néanmoins, dans des circonstances exceptionnelles, des billets de classe affaires peuvent être octroyés aux conseillers, experts, membres de comités d</w:t>
            </w:r>
            <w:r w:rsidR="00762E0A">
              <w:rPr>
                <w:sz w:val="18"/>
              </w:rPr>
              <w:t>’</w:t>
            </w:r>
            <w:r w:rsidRPr="003B5EA4">
              <w:rPr>
                <w:sz w:val="18"/>
              </w:rPr>
              <w:t xml:space="preserve">experts et consultants, si une justification appropriée est fournie, et si la durée du voyage dépasse </w:t>
            </w:r>
            <w:r w:rsidR="00782A9F">
              <w:rPr>
                <w:sz w:val="18"/>
              </w:rPr>
              <w:t>neuf</w:t>
            </w:r>
            <w:r w:rsidRPr="003B5EA4">
              <w:rPr>
                <w:sz w:val="18"/>
              </w:rPr>
              <w:t> heures</w:t>
            </w:r>
            <w:r w:rsidR="00B375D3" w:rsidRPr="003B5EA4">
              <w:rPr>
                <w:sz w:val="18"/>
              </w:rPr>
              <w:t>.</w:t>
            </w:r>
          </w:p>
          <w:p w:rsidR="00B375D3" w:rsidRPr="003B5EA4" w:rsidRDefault="00135FD8" w:rsidP="00135FD8">
            <w:pPr>
              <w:pStyle w:val="SingleTxtG"/>
              <w:spacing w:after="0"/>
              <w:ind w:left="0" w:right="0"/>
              <w:jc w:val="left"/>
              <w:rPr>
                <w:sz w:val="18"/>
              </w:rPr>
            </w:pPr>
            <w:r w:rsidRPr="003B5EA4">
              <w:rPr>
                <w:sz w:val="18"/>
              </w:rPr>
              <w:t>Délégations de l</w:t>
            </w:r>
            <w:r w:rsidR="00762E0A">
              <w:rPr>
                <w:sz w:val="18"/>
              </w:rPr>
              <w:t>’</w:t>
            </w:r>
            <w:r w:rsidRPr="003B5EA4">
              <w:rPr>
                <w:sz w:val="18"/>
              </w:rPr>
              <w:t>Assemblée mondiale de la santé : chacun des pays les moins avancés bénéficie d</w:t>
            </w:r>
            <w:r w:rsidR="00762E0A">
              <w:rPr>
                <w:sz w:val="18"/>
              </w:rPr>
              <w:t>’</w:t>
            </w:r>
            <w:r w:rsidRPr="003B5EA4">
              <w:rPr>
                <w:sz w:val="18"/>
              </w:rPr>
              <w:t>un billet aller retour en classe économique pour un délégué ou délégué associé.</w:t>
            </w:r>
            <w:r w:rsidRPr="003B5EA4" w:rsidDel="006A3C04">
              <w:rPr>
                <w:sz w:val="18"/>
              </w:rPr>
              <w:t xml:space="preserve"> </w:t>
            </w:r>
            <w:r w:rsidRPr="003B5EA4">
              <w:rPr>
                <w:sz w:val="18"/>
              </w:rPr>
              <w:t>Représentants des comités régionaux : chaque membre ou membre délégué d</w:t>
            </w:r>
            <w:r w:rsidR="00762E0A">
              <w:rPr>
                <w:sz w:val="18"/>
              </w:rPr>
              <w:t>’</w:t>
            </w:r>
            <w:r w:rsidRPr="003B5EA4">
              <w:rPr>
                <w:sz w:val="18"/>
              </w:rPr>
              <w:t>un comité régional de l</w:t>
            </w:r>
            <w:r w:rsidR="00762E0A">
              <w:rPr>
                <w:sz w:val="18"/>
              </w:rPr>
              <w:t>’</w:t>
            </w:r>
            <w:r w:rsidRPr="003B5EA4">
              <w:rPr>
                <w:sz w:val="18"/>
              </w:rPr>
              <w:t>OMS dont la contribution au budget ordinaire de l</w:t>
            </w:r>
            <w:r w:rsidR="00762E0A">
              <w:rPr>
                <w:sz w:val="18"/>
              </w:rPr>
              <w:t>’</w:t>
            </w:r>
            <w:r w:rsidRPr="003B5EA4">
              <w:rPr>
                <w:sz w:val="18"/>
              </w:rPr>
              <w:t>OMS atteint le minimum du barème des quotes-parts bénéficie d</w:t>
            </w:r>
            <w:r w:rsidR="00762E0A">
              <w:rPr>
                <w:sz w:val="18"/>
              </w:rPr>
              <w:t>’</w:t>
            </w:r>
            <w:r w:rsidRPr="003B5EA4">
              <w:rPr>
                <w:sz w:val="18"/>
              </w:rPr>
              <w:t>un billet aller retour en classe économique pour un délégué ou délégué associé</w:t>
            </w:r>
            <w:r w:rsidR="00755416" w:rsidRPr="003B5EA4">
              <w:rPr>
                <w:sz w:val="18"/>
              </w:rPr>
              <w:t xml:space="preserve"> </w:t>
            </w:r>
            <w:r w:rsidRPr="003B5EA4">
              <w:rPr>
                <w:sz w:val="18"/>
              </w:rPr>
              <w:t>de chaque pays désigné</w:t>
            </w:r>
            <w:r w:rsidR="00B375D3" w:rsidRPr="003B5EA4">
              <w:rPr>
                <w:sz w:val="18"/>
              </w:rPr>
              <w:t>.</w:t>
            </w:r>
          </w:p>
          <w:p w:rsidR="00B375D3" w:rsidRPr="003B5EA4" w:rsidRDefault="00135FD8" w:rsidP="00135FD8">
            <w:pPr>
              <w:pStyle w:val="SingleTxtG"/>
              <w:spacing w:after="0"/>
              <w:ind w:left="0" w:right="0"/>
              <w:jc w:val="left"/>
              <w:rPr>
                <w:sz w:val="18"/>
              </w:rPr>
            </w:pPr>
            <w:r w:rsidRPr="003B5EA4">
              <w:rPr>
                <w:sz w:val="18"/>
              </w:rPr>
              <w:t>Les membres du Conseil exécutif de l</w:t>
            </w:r>
            <w:r w:rsidR="00762E0A">
              <w:rPr>
                <w:sz w:val="18"/>
              </w:rPr>
              <w:t>’</w:t>
            </w:r>
            <w:r w:rsidRPr="003B5EA4">
              <w:rPr>
                <w:sz w:val="18"/>
              </w:rPr>
              <w:t>OMS (ou membres suppléants) bénéficie</w:t>
            </w:r>
            <w:r w:rsidR="0024194C">
              <w:rPr>
                <w:sz w:val="18"/>
              </w:rPr>
              <w:t>nt</w:t>
            </w:r>
            <w:r w:rsidRPr="003B5EA4">
              <w:rPr>
                <w:sz w:val="18"/>
              </w:rPr>
              <w:t xml:space="preserve"> d</w:t>
            </w:r>
            <w:r w:rsidR="00762E0A">
              <w:rPr>
                <w:sz w:val="18"/>
              </w:rPr>
              <w:t>’</w:t>
            </w:r>
            <w:r w:rsidRPr="003B5EA4">
              <w:rPr>
                <w:sz w:val="18"/>
              </w:rPr>
              <w:t xml:space="preserve">un billet en classe économique (ou classe affaires pour les vols de plus de </w:t>
            </w:r>
            <w:r w:rsidR="00782A9F">
              <w:rPr>
                <w:sz w:val="18"/>
              </w:rPr>
              <w:t>six</w:t>
            </w:r>
            <w:r w:rsidR="00755416" w:rsidRPr="003B5EA4">
              <w:rPr>
                <w:sz w:val="18"/>
              </w:rPr>
              <w:t> </w:t>
            </w:r>
            <w:r w:rsidRPr="003B5EA4">
              <w:rPr>
                <w:sz w:val="18"/>
              </w:rPr>
              <w:t>heures)</w:t>
            </w:r>
            <w:r w:rsidR="00755416" w:rsidRPr="003B5EA4">
              <w:rPr>
                <w:sz w:val="18"/>
              </w:rPr>
              <w:t> </w:t>
            </w:r>
            <w:r w:rsidRPr="003B5EA4">
              <w:rPr>
                <w:sz w:val="18"/>
              </w:rPr>
              <w:t>; le Président du Conseil exécutif a droit à un billet aller retour en première classe quelle que soit la durée du voyage</w:t>
            </w:r>
            <w:r w:rsidR="00B375D3" w:rsidRPr="003B5EA4">
              <w:rPr>
                <w:sz w:val="18"/>
              </w:rPr>
              <w:t>.</w:t>
            </w:r>
          </w:p>
          <w:p w:rsidR="00B375D3" w:rsidRPr="003B5EA4" w:rsidRDefault="0066441B" w:rsidP="00135FD8">
            <w:pPr>
              <w:pStyle w:val="SingleTxtG"/>
              <w:spacing w:after="0"/>
              <w:ind w:left="0" w:right="0"/>
              <w:jc w:val="left"/>
              <w:rPr>
                <w:sz w:val="18"/>
              </w:rPr>
            </w:pPr>
            <w:r w:rsidRPr="003B5EA4">
              <w:rPr>
                <w:sz w:val="18"/>
              </w:rPr>
              <w:t>Lorsque le voyageur est une haute personnalité, tel qu</w:t>
            </w:r>
            <w:r w:rsidR="00762E0A">
              <w:rPr>
                <w:sz w:val="18"/>
              </w:rPr>
              <w:t>’</w:t>
            </w:r>
            <w:r w:rsidRPr="003B5EA4">
              <w:rPr>
                <w:sz w:val="18"/>
              </w:rPr>
              <w:t>un ancien chef d</w:t>
            </w:r>
            <w:r w:rsidR="00762E0A">
              <w:rPr>
                <w:sz w:val="18"/>
              </w:rPr>
              <w:t>’</w:t>
            </w:r>
            <w:r w:rsidRPr="003B5EA4">
              <w:rPr>
                <w:sz w:val="18"/>
              </w:rPr>
              <w:t>État, ou une personnalité éminente offrant ses services à l</w:t>
            </w:r>
            <w:r w:rsidR="00762E0A">
              <w:rPr>
                <w:sz w:val="18"/>
              </w:rPr>
              <w:t>’</w:t>
            </w:r>
            <w:r w:rsidRPr="003B5EA4">
              <w:rPr>
                <w:sz w:val="18"/>
              </w:rPr>
              <w:t>organisation gratuitement, il peut se voir octroyer un billet en classe affaires ou en première classe</w:t>
            </w:r>
            <w:r w:rsidR="00B375D3" w:rsidRPr="003B5EA4">
              <w:rPr>
                <w:sz w:val="18"/>
              </w:rPr>
              <w:t>.</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l</w:t>
            </w:r>
          </w:p>
        </w:tc>
        <w:tc>
          <w:tcPr>
            <w:tcW w:w="1197" w:type="dxa"/>
          </w:tcPr>
          <w:p w:rsidR="00B375D3" w:rsidRPr="003B5EA4" w:rsidRDefault="00B375D3" w:rsidP="00135FD8">
            <w:pPr>
              <w:pStyle w:val="SingleTxtG"/>
              <w:spacing w:after="0"/>
              <w:ind w:left="0" w:right="0"/>
              <w:jc w:val="left"/>
              <w:rPr>
                <w:sz w:val="18"/>
              </w:rPr>
            </w:pPr>
            <w:r w:rsidRPr="003B5EA4">
              <w:rPr>
                <w:sz w:val="18"/>
              </w:rPr>
              <w:t>OMT</w:t>
            </w:r>
          </w:p>
        </w:tc>
        <w:tc>
          <w:tcPr>
            <w:tcW w:w="11335" w:type="dxa"/>
          </w:tcPr>
          <w:p w:rsidR="00B375D3" w:rsidRPr="003B5EA4" w:rsidRDefault="0066441B" w:rsidP="00135FD8">
            <w:pPr>
              <w:pStyle w:val="SingleTxtG"/>
              <w:spacing w:after="0"/>
              <w:ind w:left="0" w:right="0"/>
              <w:jc w:val="left"/>
              <w:rPr>
                <w:sz w:val="18"/>
              </w:rPr>
            </w:pPr>
            <w:r w:rsidRPr="003B5EA4">
              <w:rPr>
                <w:sz w:val="18"/>
              </w:rPr>
              <w:t>Le règlement du personnel s</w:t>
            </w:r>
            <w:r w:rsidR="00762E0A">
              <w:rPr>
                <w:sz w:val="18"/>
              </w:rPr>
              <w:t>’</w:t>
            </w:r>
            <w:r w:rsidRPr="003B5EA4">
              <w:rPr>
                <w:sz w:val="18"/>
              </w:rPr>
              <w:t>applique aux hautes personnalités et aux personnalités éminentes, et le financement de leur voyage doit être spécifiquement approuvé par le Secrétaire général</w:t>
            </w:r>
            <w:r w:rsidR="00B375D3" w:rsidRPr="003B5EA4">
              <w:rPr>
                <w:sz w:val="18"/>
              </w:rPr>
              <w:t>.</w:t>
            </w:r>
          </w:p>
        </w:tc>
      </w:tr>
      <w:tr w:rsidR="00406F4D" w:rsidRPr="003B5EA4" w:rsidTr="006E04C7">
        <w:trPr>
          <w:jc w:val="center"/>
        </w:trPr>
        <w:tc>
          <w:tcPr>
            <w:tcW w:w="905" w:type="dxa"/>
          </w:tcPr>
          <w:p w:rsidR="00406F4D" w:rsidRPr="003B5EA4" w:rsidRDefault="00406F4D" w:rsidP="00406F4D">
            <w:pPr>
              <w:pStyle w:val="SingleTxtG"/>
              <w:spacing w:after="0"/>
              <w:ind w:left="0" w:right="0"/>
              <w:jc w:val="center"/>
              <w:rPr>
                <w:i/>
                <w:sz w:val="18"/>
                <w:vertAlign w:val="superscript"/>
              </w:rPr>
            </w:pPr>
            <w:r w:rsidRPr="003B5EA4">
              <w:rPr>
                <w:i/>
                <w:sz w:val="18"/>
                <w:vertAlign w:val="superscript"/>
              </w:rPr>
              <w:t>d</w:t>
            </w:r>
          </w:p>
        </w:tc>
        <w:tc>
          <w:tcPr>
            <w:tcW w:w="1197" w:type="dxa"/>
          </w:tcPr>
          <w:p w:rsidR="00406F4D" w:rsidRPr="003B5EA4" w:rsidRDefault="00406F4D" w:rsidP="00406F4D">
            <w:pPr>
              <w:pStyle w:val="SingleTxtG"/>
              <w:spacing w:after="0"/>
              <w:ind w:left="0" w:right="0"/>
              <w:jc w:val="left"/>
              <w:rPr>
                <w:sz w:val="18"/>
              </w:rPr>
            </w:pPr>
            <w:r w:rsidRPr="003B5EA4">
              <w:rPr>
                <w:sz w:val="18"/>
              </w:rPr>
              <w:t>ONU</w:t>
            </w:r>
          </w:p>
        </w:tc>
        <w:tc>
          <w:tcPr>
            <w:tcW w:w="11335" w:type="dxa"/>
          </w:tcPr>
          <w:p w:rsidR="00406F4D" w:rsidRPr="003B5EA4" w:rsidRDefault="00406F4D" w:rsidP="00406F4D">
            <w:pPr>
              <w:pStyle w:val="SingleTxtG"/>
              <w:spacing w:after="0"/>
              <w:ind w:left="0" w:right="0"/>
              <w:jc w:val="left"/>
              <w:rPr>
                <w:sz w:val="18"/>
              </w:rPr>
            </w:pPr>
            <w:r w:rsidRPr="003B5EA4">
              <w:rPr>
                <w:sz w:val="18"/>
              </w:rPr>
              <w:t>Tout non-fonctionnaire peut voyager dans la classe supérieure à la classe économique moyennant dérogation accordée par le Secrétaire général adjoint à la gestion.</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a</w:t>
            </w:r>
          </w:p>
        </w:tc>
        <w:tc>
          <w:tcPr>
            <w:tcW w:w="1197" w:type="dxa"/>
          </w:tcPr>
          <w:p w:rsidR="00B375D3" w:rsidRPr="003B5EA4" w:rsidRDefault="00B375D3" w:rsidP="0066441B">
            <w:pPr>
              <w:pStyle w:val="SingleTxtG"/>
              <w:spacing w:after="0"/>
              <w:ind w:left="0" w:right="0"/>
              <w:jc w:val="left"/>
              <w:rPr>
                <w:sz w:val="18"/>
              </w:rPr>
            </w:pPr>
            <w:r w:rsidRPr="003B5EA4">
              <w:rPr>
                <w:sz w:val="18"/>
              </w:rPr>
              <w:t>ONU-</w:t>
            </w:r>
            <w:r w:rsidR="0066441B" w:rsidRPr="003B5EA4">
              <w:rPr>
                <w:sz w:val="18"/>
              </w:rPr>
              <w:t>Femm</w:t>
            </w:r>
            <w:r w:rsidRPr="003B5EA4">
              <w:rPr>
                <w:sz w:val="18"/>
              </w:rPr>
              <w:t>es</w:t>
            </w:r>
          </w:p>
        </w:tc>
        <w:tc>
          <w:tcPr>
            <w:tcW w:w="11335" w:type="dxa"/>
          </w:tcPr>
          <w:p w:rsidR="00B375D3" w:rsidRPr="003B5EA4" w:rsidRDefault="004771AF" w:rsidP="0024194C">
            <w:pPr>
              <w:pStyle w:val="SingleTxtG"/>
              <w:spacing w:after="0"/>
              <w:ind w:left="0" w:right="0"/>
              <w:jc w:val="left"/>
              <w:rPr>
                <w:sz w:val="18"/>
              </w:rPr>
            </w:pPr>
            <w:r w:rsidRPr="003B5EA4">
              <w:rPr>
                <w:sz w:val="18"/>
              </w:rPr>
              <w:t>Les représentants des pays les moins avancés qui participent à l</w:t>
            </w:r>
            <w:r w:rsidR="00762E0A">
              <w:rPr>
                <w:sz w:val="18"/>
              </w:rPr>
              <w:t>’</w:t>
            </w:r>
            <w:r w:rsidRPr="003B5EA4">
              <w:rPr>
                <w:sz w:val="18"/>
              </w:rPr>
              <w:t xml:space="preserve">Assemblée générale ont droit à un billet en première classe quelle que soit la durée du voyage et à quatre billets en classe économique pour les voyages de moins de </w:t>
            </w:r>
            <w:r w:rsidR="0024194C">
              <w:rPr>
                <w:sz w:val="18"/>
              </w:rPr>
              <w:t>neuf</w:t>
            </w:r>
            <w:r w:rsidR="00755416" w:rsidRPr="003B5EA4">
              <w:rPr>
                <w:sz w:val="18"/>
              </w:rPr>
              <w:t> </w:t>
            </w:r>
            <w:r w:rsidRPr="003B5EA4">
              <w:rPr>
                <w:sz w:val="18"/>
              </w:rPr>
              <w:t xml:space="preserve">heures, ou à la classe immédiatement au-dessous de la première classe pour les voyages de plus de </w:t>
            </w:r>
            <w:r w:rsidR="00782A9F">
              <w:rPr>
                <w:sz w:val="18"/>
              </w:rPr>
              <w:t>neuf</w:t>
            </w:r>
            <w:r w:rsidR="0024194C">
              <w:rPr>
                <w:sz w:val="18"/>
              </w:rPr>
              <w:t> </w:t>
            </w:r>
            <w:r w:rsidRPr="003B5EA4">
              <w:rPr>
                <w:sz w:val="18"/>
              </w:rPr>
              <w:t>heures</w:t>
            </w:r>
            <w:r w:rsidR="00755416" w:rsidRPr="003B5EA4">
              <w:rPr>
                <w:sz w:val="18"/>
              </w:rPr>
              <w:t> </w:t>
            </w:r>
            <w:r w:rsidRPr="003B5EA4">
              <w:rPr>
                <w:sz w:val="18"/>
              </w:rPr>
              <w:t>; dans le cas des membres des organes et organes subsidiaires, si le membre est un représentant permanent accrédité, le voyage se fera en classe affaires quelle que soit la durée du vol (ST/AI/2006/4)</w:t>
            </w:r>
            <w:r w:rsidR="00BF0B8F">
              <w:rPr>
                <w:sz w:val="18"/>
              </w:rPr>
              <w:t> ;</w:t>
            </w:r>
            <w:r w:rsidRPr="003B5EA4">
              <w:rPr>
                <w:sz w:val="18"/>
              </w:rPr>
              <w:t xml:space="preserve"> les membres du Conseil exécutif ont droit aux mêmes billets que les membres du personnel d</w:t>
            </w:r>
            <w:r w:rsidR="00762E0A">
              <w:rPr>
                <w:sz w:val="18"/>
              </w:rPr>
              <w:t>’</w:t>
            </w:r>
            <w:r w:rsidRPr="003B5EA4">
              <w:rPr>
                <w:sz w:val="18"/>
              </w:rPr>
              <w:t>ONU-Femmes</w:t>
            </w:r>
            <w:r w:rsidR="00755416" w:rsidRPr="003B5EA4">
              <w:rPr>
                <w:sz w:val="18"/>
              </w:rPr>
              <w:t> </w:t>
            </w:r>
            <w:r w:rsidRPr="003B5EA4">
              <w:rPr>
                <w:sz w:val="18"/>
              </w:rPr>
              <w:t>; les membres du Comité pour l</w:t>
            </w:r>
            <w:r w:rsidR="00762E0A">
              <w:rPr>
                <w:sz w:val="18"/>
              </w:rPr>
              <w:t>’</w:t>
            </w:r>
            <w:r w:rsidRPr="003B5EA4">
              <w:rPr>
                <w:sz w:val="18"/>
              </w:rPr>
              <w:t xml:space="preserve">élimination de la </w:t>
            </w:r>
            <w:r w:rsidRPr="003B5EA4">
              <w:rPr>
                <w:iCs/>
                <w:sz w:val="18"/>
              </w:rPr>
              <w:t>discrimination</w:t>
            </w:r>
            <w:r w:rsidRPr="003B5EA4">
              <w:rPr>
                <w:sz w:val="18"/>
              </w:rPr>
              <w:t xml:space="preserve"> à l</w:t>
            </w:r>
            <w:r w:rsidR="00762E0A">
              <w:rPr>
                <w:sz w:val="18"/>
              </w:rPr>
              <w:t>’</w:t>
            </w:r>
            <w:r w:rsidRPr="003B5EA4">
              <w:rPr>
                <w:sz w:val="18"/>
              </w:rPr>
              <w:t>égard des femmes ont droit à un voyage en classe affaires quelle que soit la durée du vol</w:t>
            </w:r>
            <w:r w:rsidR="00B375D3" w:rsidRPr="003B5EA4">
              <w:rPr>
                <w:sz w:val="18"/>
              </w:rPr>
              <w:t>.</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p</w:t>
            </w:r>
          </w:p>
        </w:tc>
        <w:tc>
          <w:tcPr>
            <w:tcW w:w="1197" w:type="dxa"/>
          </w:tcPr>
          <w:p w:rsidR="00B375D3" w:rsidRPr="003B5EA4" w:rsidRDefault="00B375D3" w:rsidP="00135FD8">
            <w:pPr>
              <w:pStyle w:val="SingleTxtG"/>
              <w:spacing w:after="0"/>
              <w:ind w:left="0" w:right="0"/>
              <w:jc w:val="left"/>
              <w:rPr>
                <w:sz w:val="18"/>
              </w:rPr>
            </w:pPr>
          </w:p>
        </w:tc>
        <w:tc>
          <w:tcPr>
            <w:tcW w:w="11335" w:type="dxa"/>
          </w:tcPr>
          <w:p w:rsidR="00B375D3" w:rsidRPr="003B5EA4" w:rsidRDefault="004771AF" w:rsidP="0024194C">
            <w:pPr>
              <w:pStyle w:val="SingleTxtG"/>
              <w:spacing w:after="0"/>
              <w:ind w:left="0" w:right="0"/>
              <w:jc w:val="left"/>
              <w:rPr>
                <w:sz w:val="18"/>
              </w:rPr>
            </w:pPr>
            <w:r w:rsidRPr="003B5EA4">
              <w:rPr>
                <w:sz w:val="18"/>
              </w:rPr>
              <w:t>Les participants aux réunions, postulants, experts associés, administrateurs auxiliaires, volontaires et boursiers des Nations</w:t>
            </w:r>
            <w:r w:rsidR="0024194C">
              <w:rPr>
                <w:sz w:val="18"/>
              </w:rPr>
              <w:t xml:space="preserve"> </w:t>
            </w:r>
            <w:r w:rsidRPr="003B5EA4">
              <w:rPr>
                <w:sz w:val="18"/>
              </w:rPr>
              <w:t>Unies voyagent en classe économique quelle que soit la durée du voyage</w:t>
            </w:r>
            <w:r w:rsidR="00B375D3" w:rsidRPr="003B5EA4">
              <w:rPr>
                <w:sz w:val="18"/>
              </w:rPr>
              <w:t>.</w:t>
            </w:r>
          </w:p>
        </w:tc>
      </w:tr>
      <w:tr w:rsidR="00D22ED6" w:rsidRPr="003B5EA4" w:rsidTr="006E04C7">
        <w:trPr>
          <w:cantSplit/>
          <w:jc w:val="center"/>
        </w:trPr>
        <w:tc>
          <w:tcPr>
            <w:tcW w:w="905" w:type="dxa"/>
          </w:tcPr>
          <w:p w:rsidR="00D22ED6" w:rsidRPr="003B5EA4" w:rsidRDefault="00D22ED6" w:rsidP="00D22ED6">
            <w:pPr>
              <w:pStyle w:val="SingleTxtG"/>
              <w:spacing w:after="0"/>
              <w:ind w:left="0" w:right="0"/>
              <w:jc w:val="center"/>
              <w:rPr>
                <w:i/>
                <w:sz w:val="18"/>
                <w:vertAlign w:val="superscript"/>
              </w:rPr>
            </w:pPr>
            <w:r w:rsidRPr="003B5EA4">
              <w:rPr>
                <w:i/>
                <w:sz w:val="18"/>
                <w:vertAlign w:val="superscript"/>
              </w:rPr>
              <w:lastRenderedPageBreak/>
              <w:t>k</w:t>
            </w:r>
          </w:p>
        </w:tc>
        <w:tc>
          <w:tcPr>
            <w:tcW w:w="1197" w:type="dxa"/>
          </w:tcPr>
          <w:p w:rsidR="00D22ED6" w:rsidRPr="003B5EA4" w:rsidRDefault="00D22ED6" w:rsidP="00D22ED6">
            <w:pPr>
              <w:pStyle w:val="SingleTxtG"/>
              <w:spacing w:after="0"/>
              <w:ind w:left="0" w:right="0"/>
              <w:jc w:val="left"/>
              <w:rPr>
                <w:sz w:val="18"/>
              </w:rPr>
            </w:pPr>
            <w:r w:rsidRPr="003B5EA4">
              <w:rPr>
                <w:sz w:val="18"/>
              </w:rPr>
              <w:t>ONUDC</w:t>
            </w:r>
          </w:p>
        </w:tc>
        <w:tc>
          <w:tcPr>
            <w:tcW w:w="11335" w:type="dxa"/>
          </w:tcPr>
          <w:p w:rsidR="00D22ED6" w:rsidRPr="003B5EA4" w:rsidRDefault="00D22ED6" w:rsidP="00D22ED6">
            <w:pPr>
              <w:pStyle w:val="SingleTxtG"/>
              <w:spacing w:after="0"/>
              <w:ind w:left="0" w:right="0"/>
              <w:jc w:val="left"/>
              <w:rPr>
                <w:sz w:val="18"/>
              </w:rPr>
            </w:pPr>
            <w:r w:rsidRPr="003B5EA4">
              <w:rPr>
                <w:sz w:val="18"/>
              </w:rPr>
              <w:t>Les hautes personnalités et les personnalités éminentes peuvent voyager en classe affaires moyennant autorisation du Secrétaire général adjoint à la gestion</w:t>
            </w:r>
            <w:r w:rsidR="00BF0B8F">
              <w:rPr>
                <w:sz w:val="18"/>
              </w:rPr>
              <w:t> ;</w:t>
            </w:r>
            <w:r w:rsidRPr="003B5EA4">
              <w:rPr>
                <w:sz w:val="18"/>
              </w:rPr>
              <w:t xml:space="preserve"> les représentants des pays les moins avancés qui participent aux sessions régulières, extraordinaires ou extraordinaires d</w:t>
            </w:r>
            <w:r w:rsidR="00762E0A">
              <w:rPr>
                <w:sz w:val="18"/>
              </w:rPr>
              <w:t>’</w:t>
            </w:r>
            <w:r w:rsidRPr="003B5EA4">
              <w:rPr>
                <w:sz w:val="18"/>
              </w:rPr>
              <w:t>urgence de l</w:t>
            </w:r>
            <w:r w:rsidR="00762E0A">
              <w:rPr>
                <w:sz w:val="18"/>
              </w:rPr>
              <w:t>’</w:t>
            </w:r>
            <w:r w:rsidRPr="003B5EA4">
              <w:rPr>
                <w:sz w:val="18"/>
              </w:rPr>
              <w:t>Assemblée générale on</w:t>
            </w:r>
            <w:r w:rsidR="00762E0A">
              <w:rPr>
                <w:sz w:val="18"/>
              </w:rPr>
              <w:t>t</w:t>
            </w:r>
            <w:r w:rsidRPr="003B5EA4">
              <w:rPr>
                <w:sz w:val="18"/>
              </w:rPr>
              <w:t xml:space="preserve"> droit à un billet de première classe.</w:t>
            </w:r>
          </w:p>
        </w:tc>
      </w:tr>
      <w:tr w:rsidR="00B375D3" w:rsidRPr="003B5EA4" w:rsidTr="006E04C7">
        <w:trPr>
          <w:jc w:val="center"/>
        </w:trPr>
        <w:tc>
          <w:tcPr>
            <w:tcW w:w="905" w:type="dxa"/>
          </w:tcPr>
          <w:p w:rsidR="00B375D3" w:rsidRPr="003B5EA4" w:rsidRDefault="00B375D3" w:rsidP="00135FD8">
            <w:pPr>
              <w:pStyle w:val="SingleTxtG"/>
              <w:keepNext/>
              <w:keepLines/>
              <w:spacing w:after="0"/>
              <w:ind w:left="0" w:right="0"/>
              <w:jc w:val="center"/>
              <w:rPr>
                <w:i/>
                <w:sz w:val="18"/>
                <w:vertAlign w:val="superscript"/>
              </w:rPr>
            </w:pPr>
            <w:r w:rsidRPr="003B5EA4">
              <w:rPr>
                <w:i/>
                <w:sz w:val="18"/>
                <w:vertAlign w:val="superscript"/>
              </w:rPr>
              <w:t>b</w:t>
            </w:r>
          </w:p>
        </w:tc>
        <w:tc>
          <w:tcPr>
            <w:tcW w:w="1197" w:type="dxa"/>
          </w:tcPr>
          <w:p w:rsidR="00B375D3" w:rsidRPr="003B5EA4" w:rsidRDefault="00B375D3" w:rsidP="00135FD8">
            <w:pPr>
              <w:pStyle w:val="SingleTxtG"/>
              <w:keepNext/>
              <w:keepLines/>
              <w:spacing w:after="0"/>
              <w:ind w:left="0" w:right="0"/>
              <w:jc w:val="left"/>
              <w:rPr>
                <w:sz w:val="18"/>
              </w:rPr>
            </w:pPr>
            <w:r w:rsidRPr="003B5EA4">
              <w:rPr>
                <w:sz w:val="18"/>
              </w:rPr>
              <w:t>ONUSIDA</w:t>
            </w:r>
          </w:p>
        </w:tc>
        <w:tc>
          <w:tcPr>
            <w:tcW w:w="11335" w:type="dxa"/>
          </w:tcPr>
          <w:p w:rsidR="00B375D3" w:rsidRPr="003B5EA4" w:rsidRDefault="004771AF" w:rsidP="00762E0A">
            <w:pPr>
              <w:pStyle w:val="SingleTxtG"/>
              <w:keepNext/>
              <w:keepLines/>
              <w:spacing w:after="0"/>
              <w:ind w:left="0" w:right="0"/>
              <w:jc w:val="left"/>
              <w:rPr>
                <w:sz w:val="18"/>
              </w:rPr>
            </w:pPr>
            <w:r w:rsidRPr="003B5EA4">
              <w:rPr>
                <w:sz w:val="18"/>
              </w:rPr>
              <w:t xml:space="preserve">Les représentants des États </w:t>
            </w:r>
            <w:r w:rsidR="00762E0A">
              <w:rPr>
                <w:sz w:val="18"/>
              </w:rPr>
              <w:t>m</w:t>
            </w:r>
            <w:r w:rsidRPr="003B5EA4">
              <w:rPr>
                <w:sz w:val="18"/>
              </w:rPr>
              <w:t>embres d</w:t>
            </w:r>
            <w:r w:rsidR="00762E0A">
              <w:rPr>
                <w:sz w:val="18"/>
              </w:rPr>
              <w:t>’</w:t>
            </w:r>
            <w:r w:rsidRPr="003B5EA4">
              <w:rPr>
                <w:sz w:val="18"/>
              </w:rPr>
              <w:t>un grade égal ou supérieur à celui de ministre sont autorisés à voyager en classe affaires quelle que soit la durée du vol</w:t>
            </w:r>
            <w:r w:rsidR="00BF0B8F">
              <w:rPr>
                <w:sz w:val="18"/>
              </w:rPr>
              <w:t> ;</w:t>
            </w:r>
            <w:r w:rsidRPr="003B5EA4">
              <w:rPr>
                <w:sz w:val="18"/>
              </w:rPr>
              <w:t xml:space="preserve"> les membres des organes et organes subsidiaires et les membres du Conseil de coordination sont autorisés à voyager en classe affaires pour les réunions officielles du Conseil et les visites sur le terrain si la durée du voyage dépasse </w:t>
            </w:r>
            <w:r w:rsidR="00762E0A">
              <w:rPr>
                <w:sz w:val="18"/>
              </w:rPr>
              <w:t>neuf</w:t>
            </w:r>
            <w:r w:rsidRPr="003B5EA4">
              <w:rPr>
                <w:sz w:val="18"/>
              </w:rPr>
              <w:t> heures</w:t>
            </w:r>
            <w:r w:rsidR="00B375D3" w:rsidRPr="003B5EA4">
              <w:rPr>
                <w:sz w:val="18"/>
              </w:rPr>
              <w:t>.</w:t>
            </w:r>
          </w:p>
        </w:tc>
      </w:tr>
      <w:tr w:rsidR="003232C3" w:rsidRPr="003B5EA4" w:rsidTr="006E04C7">
        <w:trPr>
          <w:jc w:val="center"/>
        </w:trPr>
        <w:tc>
          <w:tcPr>
            <w:tcW w:w="905" w:type="dxa"/>
          </w:tcPr>
          <w:p w:rsidR="003232C3" w:rsidRPr="003B5EA4" w:rsidRDefault="003232C3" w:rsidP="003232C3">
            <w:pPr>
              <w:pStyle w:val="SingleTxtG"/>
              <w:spacing w:after="0"/>
              <w:ind w:left="0" w:right="0"/>
              <w:jc w:val="center"/>
              <w:rPr>
                <w:i/>
                <w:sz w:val="18"/>
                <w:vertAlign w:val="superscript"/>
              </w:rPr>
            </w:pPr>
            <w:r w:rsidRPr="003B5EA4">
              <w:rPr>
                <w:i/>
                <w:sz w:val="18"/>
                <w:vertAlign w:val="superscript"/>
              </w:rPr>
              <w:t>h</w:t>
            </w:r>
          </w:p>
        </w:tc>
        <w:tc>
          <w:tcPr>
            <w:tcW w:w="1197" w:type="dxa"/>
          </w:tcPr>
          <w:p w:rsidR="003232C3" w:rsidRPr="003B5EA4" w:rsidRDefault="003232C3" w:rsidP="003232C3">
            <w:pPr>
              <w:pStyle w:val="SingleTxtG"/>
              <w:spacing w:after="0"/>
              <w:ind w:left="0" w:right="0"/>
              <w:jc w:val="left"/>
              <w:rPr>
                <w:sz w:val="18"/>
              </w:rPr>
            </w:pPr>
            <w:r w:rsidRPr="003B5EA4">
              <w:rPr>
                <w:sz w:val="18"/>
              </w:rPr>
              <w:t>PAM</w:t>
            </w:r>
          </w:p>
        </w:tc>
        <w:tc>
          <w:tcPr>
            <w:tcW w:w="11335" w:type="dxa"/>
          </w:tcPr>
          <w:p w:rsidR="003232C3" w:rsidRPr="003B5EA4" w:rsidRDefault="003232C3" w:rsidP="00762E0A">
            <w:pPr>
              <w:pStyle w:val="SingleTxtG"/>
              <w:spacing w:after="0"/>
              <w:ind w:left="0" w:right="0"/>
              <w:jc w:val="left"/>
              <w:rPr>
                <w:sz w:val="18"/>
              </w:rPr>
            </w:pPr>
            <w:r w:rsidRPr="003B5EA4">
              <w:rPr>
                <w:sz w:val="18"/>
              </w:rPr>
              <w:t>Les représentants d</w:t>
            </w:r>
            <w:r w:rsidR="00762E0A">
              <w:rPr>
                <w:sz w:val="18"/>
              </w:rPr>
              <w:t>’</w:t>
            </w:r>
            <w:r w:rsidRPr="003B5EA4">
              <w:rPr>
                <w:sz w:val="18"/>
              </w:rPr>
              <w:t xml:space="preserve">États </w:t>
            </w:r>
            <w:r w:rsidR="00762E0A">
              <w:rPr>
                <w:sz w:val="18"/>
              </w:rPr>
              <w:t>m</w:t>
            </w:r>
            <w:r w:rsidRPr="003B5EA4">
              <w:rPr>
                <w:sz w:val="18"/>
              </w:rPr>
              <w:t>embres ayant droit à la classe affaires sont le président et les membres du Conseil exécutif</w:t>
            </w:r>
            <w:r w:rsidR="00BF0B8F">
              <w:rPr>
                <w:sz w:val="18"/>
              </w:rPr>
              <w:t> ;</w:t>
            </w:r>
            <w:r w:rsidRPr="003B5EA4">
              <w:rPr>
                <w:sz w:val="18"/>
              </w:rPr>
              <w:t xml:space="preserve"> les membres des organes et organes subsidiaires ayant droit à la classe affaires sont les membres du Comité de vérification externe</w:t>
            </w:r>
            <w:r w:rsidR="00BF0B8F">
              <w:rPr>
                <w:sz w:val="18"/>
              </w:rPr>
              <w:t> ;</w:t>
            </w:r>
            <w:r w:rsidRPr="003B5EA4">
              <w:rPr>
                <w:sz w:val="18"/>
              </w:rPr>
              <w:t xml:space="preserve"> pour les hautes personnalités et des personnalités éminentes, les invités bénévoles peuvent se voir accorder la classe affaires.</w:t>
            </w:r>
          </w:p>
        </w:tc>
      </w:tr>
      <w:tr w:rsidR="003232C3" w:rsidRPr="003B5EA4" w:rsidTr="006E04C7">
        <w:trPr>
          <w:jc w:val="center"/>
        </w:trPr>
        <w:tc>
          <w:tcPr>
            <w:tcW w:w="905" w:type="dxa"/>
          </w:tcPr>
          <w:p w:rsidR="003232C3" w:rsidRPr="003B5EA4" w:rsidRDefault="003232C3" w:rsidP="003232C3">
            <w:pPr>
              <w:pStyle w:val="SingleTxtG"/>
              <w:spacing w:after="0"/>
              <w:ind w:left="0" w:right="0"/>
              <w:jc w:val="center"/>
              <w:rPr>
                <w:i/>
                <w:sz w:val="18"/>
                <w:vertAlign w:val="superscript"/>
              </w:rPr>
            </w:pPr>
            <w:r w:rsidRPr="003B5EA4">
              <w:rPr>
                <w:i/>
                <w:sz w:val="18"/>
                <w:vertAlign w:val="superscript"/>
              </w:rPr>
              <w:t>f</w:t>
            </w:r>
          </w:p>
        </w:tc>
        <w:tc>
          <w:tcPr>
            <w:tcW w:w="1197" w:type="dxa"/>
          </w:tcPr>
          <w:p w:rsidR="003232C3" w:rsidRPr="003B5EA4" w:rsidRDefault="003232C3" w:rsidP="003232C3">
            <w:pPr>
              <w:pStyle w:val="SingleTxtG"/>
              <w:spacing w:after="0"/>
              <w:ind w:left="0" w:right="0"/>
              <w:jc w:val="left"/>
              <w:rPr>
                <w:sz w:val="18"/>
              </w:rPr>
            </w:pPr>
            <w:r w:rsidRPr="003B5EA4">
              <w:rPr>
                <w:sz w:val="18"/>
              </w:rPr>
              <w:t>UIT</w:t>
            </w:r>
          </w:p>
        </w:tc>
        <w:tc>
          <w:tcPr>
            <w:tcW w:w="11335" w:type="dxa"/>
          </w:tcPr>
          <w:p w:rsidR="003232C3" w:rsidRPr="003B5EA4" w:rsidRDefault="003232C3" w:rsidP="003232C3">
            <w:pPr>
              <w:pStyle w:val="SingleTxtG"/>
              <w:spacing w:after="0"/>
              <w:ind w:left="0" w:right="0"/>
              <w:jc w:val="left"/>
              <w:rPr>
                <w:sz w:val="18"/>
              </w:rPr>
            </w:pPr>
            <w:r w:rsidRPr="003B5EA4">
              <w:rPr>
                <w:sz w:val="18"/>
              </w:rPr>
              <w:t>La politique des voyages de l</w:t>
            </w:r>
            <w:r w:rsidR="00762E0A">
              <w:rPr>
                <w:sz w:val="18"/>
              </w:rPr>
              <w:t>’</w:t>
            </w:r>
            <w:r w:rsidRPr="003B5EA4">
              <w:rPr>
                <w:sz w:val="18"/>
              </w:rPr>
              <w:t>UIT s</w:t>
            </w:r>
            <w:r w:rsidR="00762E0A">
              <w:rPr>
                <w:sz w:val="18"/>
              </w:rPr>
              <w:t>’</w:t>
            </w:r>
            <w:r w:rsidRPr="003B5EA4">
              <w:rPr>
                <w:sz w:val="18"/>
              </w:rPr>
              <w:t>applique aux représentants des États Membres, aux membres des organes et organes subsidiaires, et aux hautes personnalités et personnalités éminentes.</w:t>
            </w:r>
          </w:p>
        </w:tc>
      </w:tr>
      <w:tr w:rsidR="00B375D3" w:rsidRPr="003B5EA4" w:rsidTr="006E04C7">
        <w:trPr>
          <w:jc w:val="center"/>
        </w:trPr>
        <w:tc>
          <w:tcPr>
            <w:tcW w:w="905" w:type="dxa"/>
          </w:tcPr>
          <w:p w:rsidR="00B375D3" w:rsidRPr="003B5EA4" w:rsidRDefault="00B375D3" w:rsidP="00135FD8">
            <w:pPr>
              <w:pStyle w:val="SingleTxtG"/>
              <w:spacing w:after="0"/>
              <w:ind w:left="0" w:right="0"/>
              <w:jc w:val="center"/>
              <w:rPr>
                <w:i/>
                <w:sz w:val="18"/>
                <w:vertAlign w:val="superscript"/>
              </w:rPr>
            </w:pPr>
            <w:r w:rsidRPr="003B5EA4">
              <w:rPr>
                <w:i/>
                <w:sz w:val="18"/>
                <w:vertAlign w:val="superscript"/>
              </w:rPr>
              <w:t>n</w:t>
            </w:r>
          </w:p>
        </w:tc>
        <w:tc>
          <w:tcPr>
            <w:tcW w:w="1197" w:type="dxa"/>
          </w:tcPr>
          <w:p w:rsidR="00B375D3" w:rsidRPr="003B5EA4" w:rsidRDefault="00B375D3" w:rsidP="00135FD8">
            <w:pPr>
              <w:pStyle w:val="SingleTxtG"/>
              <w:spacing w:after="0"/>
              <w:ind w:left="0" w:right="0"/>
              <w:jc w:val="left"/>
              <w:rPr>
                <w:sz w:val="18"/>
              </w:rPr>
            </w:pPr>
            <w:r w:rsidRPr="003B5EA4">
              <w:rPr>
                <w:sz w:val="18"/>
              </w:rPr>
              <w:t>UNESCO</w:t>
            </w:r>
          </w:p>
        </w:tc>
        <w:tc>
          <w:tcPr>
            <w:tcW w:w="11335" w:type="dxa"/>
          </w:tcPr>
          <w:p w:rsidR="00B375D3" w:rsidRPr="003B5EA4" w:rsidRDefault="004771AF" w:rsidP="00762E0A">
            <w:pPr>
              <w:pStyle w:val="SingleTxtG"/>
              <w:spacing w:after="0"/>
              <w:ind w:left="0" w:right="0"/>
              <w:jc w:val="left"/>
              <w:rPr>
                <w:sz w:val="18"/>
              </w:rPr>
            </w:pPr>
            <w:r w:rsidRPr="003B5EA4">
              <w:rPr>
                <w:sz w:val="18"/>
              </w:rPr>
              <w:t>Selon le manuel administratif de l</w:t>
            </w:r>
            <w:r w:rsidR="00762E0A">
              <w:rPr>
                <w:sz w:val="18"/>
              </w:rPr>
              <w:t>’</w:t>
            </w:r>
            <w:r w:rsidRPr="003B5EA4">
              <w:rPr>
                <w:sz w:val="18"/>
              </w:rPr>
              <w:t>UNESCO (par 5.11), les personnes non membres du personnel voyagent en classe économique (ou équivalent selon le mode de transport) et leur classe de voyage ne peut pas être supérieure à celle prévue pour les membres du personnel de l</w:t>
            </w:r>
            <w:r w:rsidR="00762E0A">
              <w:rPr>
                <w:sz w:val="18"/>
              </w:rPr>
              <w:t>’</w:t>
            </w:r>
            <w:r w:rsidRPr="003B5EA4">
              <w:rPr>
                <w:sz w:val="18"/>
              </w:rPr>
              <w:t>UNESCO de niveau équivalent</w:t>
            </w:r>
            <w:r w:rsidR="00B375D3" w:rsidRPr="003B5EA4">
              <w:rPr>
                <w:sz w:val="18"/>
              </w:rPr>
              <w:t>.</w:t>
            </w:r>
          </w:p>
        </w:tc>
      </w:tr>
      <w:tr w:rsidR="003232C3" w:rsidRPr="003B5EA4" w:rsidTr="006E04C7">
        <w:trPr>
          <w:jc w:val="center"/>
        </w:trPr>
        <w:tc>
          <w:tcPr>
            <w:tcW w:w="905" w:type="dxa"/>
          </w:tcPr>
          <w:p w:rsidR="003232C3" w:rsidRPr="003B5EA4" w:rsidRDefault="003232C3" w:rsidP="003232C3">
            <w:pPr>
              <w:pStyle w:val="SingleTxtG"/>
              <w:spacing w:after="0"/>
              <w:ind w:left="0" w:right="0"/>
              <w:jc w:val="center"/>
              <w:rPr>
                <w:i/>
                <w:sz w:val="18"/>
                <w:vertAlign w:val="superscript"/>
              </w:rPr>
            </w:pPr>
            <w:r w:rsidRPr="003B5EA4">
              <w:rPr>
                <w:i/>
                <w:sz w:val="18"/>
                <w:vertAlign w:val="superscript"/>
              </w:rPr>
              <w:t>p</w:t>
            </w:r>
          </w:p>
        </w:tc>
        <w:tc>
          <w:tcPr>
            <w:tcW w:w="1197" w:type="dxa"/>
          </w:tcPr>
          <w:p w:rsidR="003232C3" w:rsidRPr="003B5EA4" w:rsidRDefault="003232C3" w:rsidP="003232C3">
            <w:pPr>
              <w:pStyle w:val="SingleTxtG"/>
              <w:spacing w:after="0"/>
              <w:ind w:left="0" w:right="0"/>
              <w:jc w:val="left"/>
              <w:rPr>
                <w:sz w:val="18"/>
              </w:rPr>
            </w:pPr>
            <w:r w:rsidRPr="003B5EA4">
              <w:rPr>
                <w:sz w:val="18"/>
              </w:rPr>
              <w:t>UNOPS</w:t>
            </w:r>
          </w:p>
        </w:tc>
        <w:tc>
          <w:tcPr>
            <w:tcW w:w="11335" w:type="dxa"/>
          </w:tcPr>
          <w:p w:rsidR="003232C3" w:rsidRPr="003B5EA4" w:rsidRDefault="003232C3" w:rsidP="00FC294E">
            <w:pPr>
              <w:pStyle w:val="SingleTxtG"/>
              <w:spacing w:after="0"/>
              <w:ind w:left="0" w:right="0"/>
              <w:jc w:val="left"/>
              <w:rPr>
                <w:sz w:val="18"/>
              </w:rPr>
            </w:pPr>
            <w:r w:rsidRPr="003B5EA4">
              <w:rPr>
                <w:sz w:val="18"/>
              </w:rPr>
              <w:t>Conformément aux règlement relatif aux voyages (AI/CSPG/2014/01 rev.3, 5.2.1), les vacataires voyagent en classe économique quelle que soit la durée du vol</w:t>
            </w:r>
            <w:r w:rsidR="00BF0B8F">
              <w:rPr>
                <w:sz w:val="18"/>
              </w:rPr>
              <w:t> ;</w:t>
            </w:r>
            <w:r w:rsidRPr="003B5EA4">
              <w:rPr>
                <w:sz w:val="18"/>
              </w:rPr>
              <w:t xml:space="preserve"> si le voyageur est considéré comme étant une haute personnalité ou une personnalité éminente, il ou elle pourra demander de voyager dans une classe supérieure.</w:t>
            </w:r>
          </w:p>
        </w:tc>
      </w:tr>
      <w:tr w:rsidR="003232C3" w:rsidRPr="003B5EA4" w:rsidTr="006E04C7">
        <w:trPr>
          <w:jc w:val="center"/>
        </w:trPr>
        <w:tc>
          <w:tcPr>
            <w:tcW w:w="905" w:type="dxa"/>
          </w:tcPr>
          <w:p w:rsidR="003232C3" w:rsidRPr="003B5EA4" w:rsidRDefault="003232C3" w:rsidP="003232C3">
            <w:pPr>
              <w:pStyle w:val="SingleTxtG"/>
              <w:spacing w:after="0"/>
              <w:ind w:left="0" w:right="0"/>
              <w:jc w:val="center"/>
              <w:rPr>
                <w:i/>
                <w:sz w:val="18"/>
                <w:vertAlign w:val="superscript"/>
              </w:rPr>
            </w:pPr>
            <w:r w:rsidRPr="003B5EA4">
              <w:rPr>
                <w:i/>
                <w:sz w:val="18"/>
                <w:vertAlign w:val="superscript"/>
              </w:rPr>
              <w:t>o</w:t>
            </w:r>
          </w:p>
        </w:tc>
        <w:tc>
          <w:tcPr>
            <w:tcW w:w="1197" w:type="dxa"/>
          </w:tcPr>
          <w:p w:rsidR="003232C3" w:rsidRPr="003B5EA4" w:rsidRDefault="003232C3" w:rsidP="003232C3">
            <w:pPr>
              <w:pStyle w:val="SingleTxtG"/>
              <w:spacing w:after="0"/>
              <w:ind w:left="0" w:right="0"/>
              <w:jc w:val="left"/>
              <w:rPr>
                <w:sz w:val="18"/>
              </w:rPr>
            </w:pPr>
            <w:r w:rsidRPr="003B5EA4">
              <w:rPr>
                <w:sz w:val="18"/>
              </w:rPr>
              <w:t>UNRWA</w:t>
            </w:r>
          </w:p>
        </w:tc>
        <w:tc>
          <w:tcPr>
            <w:tcW w:w="11335" w:type="dxa"/>
          </w:tcPr>
          <w:p w:rsidR="003232C3" w:rsidRPr="003B5EA4" w:rsidRDefault="003232C3" w:rsidP="003232C3">
            <w:pPr>
              <w:pStyle w:val="SingleTxtG"/>
              <w:spacing w:after="0"/>
              <w:ind w:left="0" w:right="0"/>
              <w:jc w:val="left"/>
              <w:rPr>
                <w:sz w:val="18"/>
              </w:rPr>
            </w:pPr>
            <w:r w:rsidRPr="003B5EA4">
              <w:rPr>
                <w:sz w:val="18"/>
              </w:rPr>
              <w:t>Tous les non-fonctionnaires voyagent en classe économique.</w:t>
            </w:r>
          </w:p>
        </w:tc>
      </w:tr>
    </w:tbl>
    <w:p w:rsidR="00A4178A" w:rsidRPr="003B5EA4" w:rsidRDefault="007D53EE" w:rsidP="007D53EE">
      <w:pPr>
        <w:pStyle w:val="HChG"/>
      </w:pPr>
      <w:r w:rsidRPr="003B5EA4">
        <w:br w:type="page"/>
      </w:r>
      <w:r w:rsidRPr="003B5EA4">
        <w:lastRenderedPageBreak/>
        <w:t>Annexe VI</w:t>
      </w:r>
    </w:p>
    <w:p w:rsidR="007D53EE" w:rsidRPr="003B5EA4" w:rsidRDefault="007D53EE" w:rsidP="007D53EE">
      <w:pPr>
        <w:pStyle w:val="HChG"/>
      </w:pPr>
      <w:r w:rsidRPr="003B5EA4">
        <w:tab/>
      </w:r>
      <w:r w:rsidRPr="003B5EA4">
        <w:tab/>
        <w:t>Exemples de mesures prises par les organismes participants du Corps commun d</w:t>
      </w:r>
      <w:r w:rsidR="00762E0A">
        <w:t>’</w:t>
      </w:r>
      <w:r w:rsidRPr="003B5EA4">
        <w:t xml:space="preserve">inspection </w:t>
      </w:r>
      <w:r w:rsidRPr="003B5EA4">
        <w:br/>
        <w:t>pour réformer leurs politiques en matière de voyages</w:t>
      </w:r>
    </w:p>
    <w:tbl>
      <w:tblPr>
        <w:tblW w:w="13776" w:type="dxa"/>
        <w:tblInd w:w="284" w:type="dxa"/>
        <w:tblBorders>
          <w:top w:val="single" w:sz="4" w:space="0" w:color="auto"/>
        </w:tblBorders>
        <w:tblCellMar>
          <w:left w:w="0" w:type="dxa"/>
          <w:right w:w="0" w:type="dxa"/>
        </w:tblCellMar>
        <w:tblLook w:val="04A0" w:firstRow="1" w:lastRow="0" w:firstColumn="1" w:lastColumn="0" w:noHBand="0" w:noVBand="1"/>
      </w:tblPr>
      <w:tblGrid>
        <w:gridCol w:w="1794"/>
        <w:gridCol w:w="1262"/>
        <w:gridCol w:w="10720"/>
      </w:tblGrid>
      <w:tr w:rsidR="00C23171" w:rsidRPr="003B5EA4" w:rsidTr="002A5753">
        <w:trPr>
          <w:trHeight w:val="240"/>
          <w:tblHeader/>
        </w:trPr>
        <w:tc>
          <w:tcPr>
            <w:tcW w:w="1794" w:type="dxa"/>
            <w:tcBorders>
              <w:top w:val="single" w:sz="4" w:space="0" w:color="auto"/>
              <w:bottom w:val="single" w:sz="12" w:space="0" w:color="auto"/>
            </w:tcBorders>
            <w:shd w:val="clear" w:color="auto" w:fill="auto"/>
            <w:vAlign w:val="bottom"/>
          </w:tcPr>
          <w:p w:rsidR="00C23171" w:rsidRPr="003B5EA4" w:rsidRDefault="00C23171" w:rsidP="00C23171">
            <w:pPr>
              <w:suppressAutoHyphens w:val="0"/>
              <w:spacing w:before="80" w:after="80" w:line="200" w:lineRule="exact"/>
              <w:rPr>
                <w:i/>
                <w:sz w:val="16"/>
              </w:rPr>
            </w:pPr>
            <w:r w:rsidRPr="003B5EA4">
              <w:rPr>
                <w:i/>
                <w:sz w:val="16"/>
              </w:rPr>
              <w:t>Organisation</w:t>
            </w:r>
          </w:p>
        </w:tc>
        <w:tc>
          <w:tcPr>
            <w:tcW w:w="1262" w:type="dxa"/>
            <w:tcBorders>
              <w:top w:val="single" w:sz="4" w:space="0" w:color="auto"/>
              <w:bottom w:val="single" w:sz="12" w:space="0" w:color="auto"/>
            </w:tcBorders>
            <w:shd w:val="clear" w:color="auto" w:fill="auto"/>
            <w:vAlign w:val="bottom"/>
          </w:tcPr>
          <w:p w:rsidR="00C23171" w:rsidRPr="003B5EA4" w:rsidRDefault="00C23171" w:rsidP="002A5753">
            <w:pPr>
              <w:suppressAutoHyphens w:val="0"/>
              <w:spacing w:before="80" w:after="80" w:line="200" w:lineRule="exact"/>
              <w:rPr>
                <w:i/>
                <w:sz w:val="16"/>
              </w:rPr>
            </w:pPr>
            <w:r w:rsidRPr="003B5EA4">
              <w:rPr>
                <w:i/>
                <w:sz w:val="16"/>
              </w:rPr>
              <w:t>Année</w:t>
            </w:r>
          </w:p>
        </w:tc>
        <w:tc>
          <w:tcPr>
            <w:tcW w:w="10720" w:type="dxa"/>
            <w:tcBorders>
              <w:top w:val="single" w:sz="4" w:space="0" w:color="auto"/>
              <w:bottom w:val="single" w:sz="12" w:space="0" w:color="auto"/>
            </w:tcBorders>
            <w:shd w:val="clear" w:color="auto" w:fill="auto"/>
            <w:vAlign w:val="bottom"/>
          </w:tcPr>
          <w:p w:rsidR="00C23171" w:rsidRPr="003B5EA4" w:rsidRDefault="00C23171" w:rsidP="002A5753">
            <w:pPr>
              <w:suppressAutoHyphens w:val="0"/>
              <w:spacing w:before="80" w:after="80" w:line="200" w:lineRule="exact"/>
              <w:rPr>
                <w:i/>
                <w:sz w:val="16"/>
              </w:rPr>
            </w:pPr>
            <w:r w:rsidRPr="003B5EA4">
              <w:rPr>
                <w:i/>
                <w:sz w:val="16"/>
              </w:rPr>
              <w:t>Réformes</w:t>
            </w:r>
          </w:p>
        </w:tc>
      </w:tr>
      <w:tr w:rsidR="00C23171" w:rsidRPr="003B5EA4" w:rsidTr="002A5753">
        <w:trPr>
          <w:trHeight w:hRule="exact" w:val="113"/>
          <w:tblHeader/>
        </w:trPr>
        <w:tc>
          <w:tcPr>
            <w:tcW w:w="1794" w:type="dxa"/>
            <w:tcBorders>
              <w:top w:val="single" w:sz="12" w:space="0" w:color="auto"/>
              <w:bottom w:val="nil"/>
            </w:tcBorders>
            <w:shd w:val="clear" w:color="auto" w:fill="auto"/>
          </w:tcPr>
          <w:p w:rsidR="00C23171" w:rsidRPr="003B5EA4" w:rsidRDefault="00C23171" w:rsidP="002A5753">
            <w:pPr>
              <w:suppressAutoHyphens w:val="0"/>
              <w:spacing w:before="40" w:after="120"/>
            </w:pPr>
          </w:p>
        </w:tc>
        <w:tc>
          <w:tcPr>
            <w:tcW w:w="1262" w:type="dxa"/>
            <w:tcBorders>
              <w:top w:val="single" w:sz="12" w:space="0" w:color="auto"/>
              <w:bottom w:val="nil"/>
            </w:tcBorders>
            <w:shd w:val="clear" w:color="auto" w:fill="auto"/>
          </w:tcPr>
          <w:p w:rsidR="00C23171" w:rsidRPr="003B5EA4" w:rsidRDefault="00C23171" w:rsidP="002A5753">
            <w:pPr>
              <w:suppressAutoHyphens w:val="0"/>
              <w:spacing w:before="40" w:after="120"/>
            </w:pPr>
          </w:p>
        </w:tc>
        <w:tc>
          <w:tcPr>
            <w:tcW w:w="10720" w:type="dxa"/>
            <w:tcBorders>
              <w:top w:val="single" w:sz="12" w:space="0" w:color="auto"/>
              <w:bottom w:val="nil"/>
            </w:tcBorders>
            <w:shd w:val="clear" w:color="auto" w:fill="auto"/>
          </w:tcPr>
          <w:p w:rsidR="00C23171" w:rsidRPr="003B5EA4" w:rsidRDefault="00C23171" w:rsidP="002A5753">
            <w:pPr>
              <w:suppressAutoHyphens w:val="0"/>
              <w:spacing w:before="40" w:after="120"/>
            </w:pPr>
          </w:p>
        </w:tc>
      </w:tr>
      <w:tr w:rsidR="00C23171" w:rsidRPr="003B5EA4" w:rsidTr="002A5753">
        <w:trPr>
          <w:trHeight w:val="240"/>
        </w:trPr>
        <w:tc>
          <w:tcPr>
            <w:tcW w:w="1794" w:type="dxa"/>
            <w:tcBorders>
              <w:top w:val="nil"/>
            </w:tcBorders>
            <w:shd w:val="clear" w:color="auto" w:fill="auto"/>
          </w:tcPr>
          <w:p w:rsidR="00C23171" w:rsidRPr="003B5EA4" w:rsidRDefault="00C23171" w:rsidP="002A5753">
            <w:pPr>
              <w:suppressAutoHyphens w:val="0"/>
              <w:spacing w:before="40" w:after="120"/>
            </w:pPr>
            <w:r w:rsidRPr="003B5EA4">
              <w:t>ONU</w:t>
            </w:r>
          </w:p>
        </w:tc>
        <w:tc>
          <w:tcPr>
            <w:tcW w:w="1262" w:type="dxa"/>
            <w:vMerge w:val="restart"/>
            <w:tcBorders>
              <w:top w:val="nil"/>
            </w:tcBorders>
            <w:shd w:val="clear" w:color="auto" w:fill="auto"/>
          </w:tcPr>
          <w:p w:rsidR="00C23171" w:rsidRPr="003B5EA4" w:rsidRDefault="00C23171" w:rsidP="00C23171">
            <w:pPr>
              <w:suppressAutoHyphens w:val="0"/>
              <w:spacing w:before="40" w:after="120"/>
            </w:pPr>
            <w:r w:rsidRPr="003B5EA4">
              <w:t>2013 et 2016</w:t>
            </w:r>
          </w:p>
        </w:tc>
        <w:tc>
          <w:tcPr>
            <w:tcW w:w="10720" w:type="dxa"/>
            <w:vMerge w:val="restart"/>
            <w:tcBorders>
              <w:top w:val="nil"/>
            </w:tcBorders>
            <w:shd w:val="clear" w:color="auto" w:fill="auto"/>
          </w:tcPr>
          <w:p w:rsidR="00C23171" w:rsidRPr="003B5EA4" w:rsidRDefault="00A07C1D" w:rsidP="00C23171">
            <w:pPr>
              <w:pStyle w:val="Bullet1G"/>
              <w:numPr>
                <w:ilvl w:val="0"/>
                <w:numId w:val="1"/>
              </w:numPr>
              <w:spacing w:before="40"/>
              <w:ind w:left="170" w:right="0"/>
              <w:jc w:val="left"/>
            </w:pPr>
            <w:r w:rsidRPr="003B5EA4">
              <w:t>L</w:t>
            </w:r>
            <w:r w:rsidR="00762E0A">
              <w:t>’</w:t>
            </w:r>
            <w:r w:rsidRPr="003B5EA4">
              <w:t>instruction administrative ST/AI/2013/3 a été publiée en exécution de la décision de l</w:t>
            </w:r>
            <w:r w:rsidR="00762E0A">
              <w:t>’</w:t>
            </w:r>
            <w:r w:rsidRPr="003B5EA4">
              <w:t>Assemblée générale concernant les conditions de voyage en avion. Elle prévoit également des changements quant aux voyages des non-membres du personnel de l</w:t>
            </w:r>
            <w:r w:rsidR="00762E0A">
              <w:t>’</w:t>
            </w:r>
            <w:r w:rsidRPr="003B5EA4">
              <w:t>ONU, exception faite de ceux explicitement exclus de la nouvelle politique aux termes du paragraphe 20 de la section</w:t>
            </w:r>
            <w:r w:rsidR="00F65977" w:rsidRPr="003B5EA4">
              <w:t> </w:t>
            </w:r>
            <w:r w:rsidRPr="003B5EA4">
              <w:t>6 de la résolution 67/254 A de l</w:t>
            </w:r>
            <w:r w:rsidR="00762E0A">
              <w:t>’</w:t>
            </w:r>
            <w:r w:rsidRPr="003B5EA4">
              <w:t>Assemblée générale</w:t>
            </w:r>
            <w:r w:rsidR="00C23171" w:rsidRPr="003B5EA4">
              <w:t>.</w:t>
            </w:r>
          </w:p>
          <w:p w:rsidR="00C23171" w:rsidRPr="003B5EA4" w:rsidRDefault="00A07C1D" w:rsidP="00C23171">
            <w:pPr>
              <w:pStyle w:val="Bullet1G"/>
              <w:numPr>
                <w:ilvl w:val="0"/>
                <w:numId w:val="1"/>
              </w:numPr>
              <w:spacing w:before="40"/>
              <w:ind w:left="170" w:right="0"/>
              <w:jc w:val="left"/>
            </w:pPr>
            <w:r w:rsidRPr="003B5EA4">
              <w:rPr>
                <w:bCs/>
              </w:rPr>
              <w:t>La somme forfaitaire a été réduite de 75 % à 70 % du tarif le moins restrictif</w:t>
            </w:r>
            <w:r w:rsidR="00C23171" w:rsidRPr="003B5EA4">
              <w:t>.</w:t>
            </w:r>
          </w:p>
          <w:p w:rsidR="00C23171" w:rsidRPr="003B5EA4" w:rsidRDefault="00325ADB" w:rsidP="00C23171">
            <w:pPr>
              <w:pStyle w:val="Bullet1G"/>
              <w:numPr>
                <w:ilvl w:val="0"/>
                <w:numId w:val="1"/>
              </w:numPr>
              <w:spacing w:before="40"/>
              <w:ind w:left="170" w:right="0"/>
              <w:jc w:val="left"/>
            </w:pPr>
            <w:r w:rsidRPr="003B5EA4">
              <w:rPr>
                <w:bCs/>
              </w:rPr>
              <w:t>L</w:t>
            </w:r>
            <w:r w:rsidR="00762E0A">
              <w:rPr>
                <w:bCs/>
              </w:rPr>
              <w:t>’</w:t>
            </w:r>
            <w:r w:rsidRPr="003B5EA4">
              <w:rPr>
                <w:bCs/>
              </w:rPr>
              <w:t>article VII (frais de voyage et frais de déménagement) de la circulaire du Secrétaire général ST/SGB/2016/1 a remplacé les dispositions concernant les excédents de bagages et envois non accompagnés incluses dans l</w:t>
            </w:r>
            <w:r w:rsidR="00762E0A">
              <w:rPr>
                <w:bCs/>
              </w:rPr>
              <w:t>’</w:t>
            </w:r>
            <w:r w:rsidRPr="003B5EA4">
              <w:rPr>
                <w:bCs/>
              </w:rPr>
              <w:t>instruction administrative ST/AI/2006/5.</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CNUCED</w:t>
            </w:r>
          </w:p>
        </w:tc>
        <w:tc>
          <w:tcPr>
            <w:tcW w:w="1262" w:type="dxa"/>
            <w:vMerge/>
            <w:shd w:val="clear" w:color="auto" w:fill="auto"/>
          </w:tcPr>
          <w:p w:rsidR="00C23171" w:rsidRPr="003B5EA4" w:rsidRDefault="00C23171" w:rsidP="002A5753">
            <w:pPr>
              <w:suppressAutoHyphens w:val="0"/>
              <w:spacing w:before="40" w:after="120"/>
            </w:pPr>
          </w:p>
        </w:tc>
        <w:tc>
          <w:tcPr>
            <w:tcW w:w="10720" w:type="dxa"/>
            <w:vMerge/>
            <w:shd w:val="clear" w:color="auto" w:fill="auto"/>
          </w:tcPr>
          <w:p w:rsidR="00C23171" w:rsidRPr="003B5EA4" w:rsidRDefault="00C23171" w:rsidP="002A5753">
            <w:pPr>
              <w:suppressAutoHyphens w:val="0"/>
              <w:spacing w:before="40" w:after="120"/>
            </w:pPr>
          </w:p>
        </w:tc>
      </w:tr>
      <w:tr w:rsidR="00C23171" w:rsidRPr="003B5EA4" w:rsidTr="002A5753">
        <w:trPr>
          <w:trHeight w:val="240"/>
        </w:trPr>
        <w:tc>
          <w:tcPr>
            <w:tcW w:w="1794" w:type="dxa"/>
            <w:shd w:val="clear" w:color="auto" w:fill="auto"/>
          </w:tcPr>
          <w:p w:rsidR="00C23171" w:rsidRPr="003B5EA4" w:rsidRDefault="00C23171" w:rsidP="00C23171">
            <w:pPr>
              <w:suppressAutoHyphens w:val="0"/>
              <w:spacing w:before="40" w:after="120"/>
            </w:pPr>
            <w:r w:rsidRPr="003B5EA4">
              <w:t>PNUE</w:t>
            </w:r>
          </w:p>
        </w:tc>
        <w:tc>
          <w:tcPr>
            <w:tcW w:w="1262" w:type="dxa"/>
            <w:vMerge/>
            <w:shd w:val="clear" w:color="auto" w:fill="auto"/>
          </w:tcPr>
          <w:p w:rsidR="00C23171" w:rsidRPr="003B5EA4" w:rsidRDefault="00C23171" w:rsidP="002A5753">
            <w:pPr>
              <w:suppressAutoHyphens w:val="0"/>
              <w:spacing w:before="40" w:after="120"/>
            </w:pPr>
          </w:p>
        </w:tc>
        <w:tc>
          <w:tcPr>
            <w:tcW w:w="10720" w:type="dxa"/>
            <w:vMerge/>
            <w:shd w:val="clear" w:color="auto" w:fill="auto"/>
          </w:tcPr>
          <w:p w:rsidR="00C23171" w:rsidRPr="003B5EA4" w:rsidRDefault="00C23171" w:rsidP="002A5753">
            <w:pPr>
              <w:suppressAutoHyphens w:val="0"/>
              <w:spacing w:before="40" w:after="120"/>
            </w:pPr>
          </w:p>
        </w:tc>
      </w:tr>
      <w:tr w:rsidR="00C23171" w:rsidRPr="003B5EA4" w:rsidTr="002A5753">
        <w:trPr>
          <w:trHeight w:val="240"/>
        </w:trPr>
        <w:tc>
          <w:tcPr>
            <w:tcW w:w="1794" w:type="dxa"/>
            <w:shd w:val="clear" w:color="auto" w:fill="auto"/>
          </w:tcPr>
          <w:p w:rsidR="00C23171" w:rsidRPr="003B5EA4" w:rsidRDefault="00C23171" w:rsidP="00C23171">
            <w:pPr>
              <w:suppressAutoHyphens w:val="0"/>
              <w:spacing w:before="40" w:after="120"/>
            </w:pPr>
            <w:r w:rsidRPr="003B5EA4">
              <w:t>ONU-Habitat</w:t>
            </w:r>
          </w:p>
        </w:tc>
        <w:tc>
          <w:tcPr>
            <w:tcW w:w="1262" w:type="dxa"/>
            <w:vMerge/>
            <w:shd w:val="clear" w:color="auto" w:fill="auto"/>
          </w:tcPr>
          <w:p w:rsidR="00C23171" w:rsidRPr="003B5EA4" w:rsidRDefault="00C23171" w:rsidP="002A5753">
            <w:pPr>
              <w:suppressAutoHyphens w:val="0"/>
              <w:spacing w:before="40" w:after="120"/>
            </w:pPr>
          </w:p>
        </w:tc>
        <w:tc>
          <w:tcPr>
            <w:tcW w:w="10720" w:type="dxa"/>
            <w:vMerge/>
            <w:shd w:val="clear" w:color="auto" w:fill="auto"/>
          </w:tcPr>
          <w:p w:rsidR="00C23171" w:rsidRPr="003B5EA4" w:rsidRDefault="00C23171" w:rsidP="002A5753">
            <w:pPr>
              <w:suppressAutoHyphens w:val="0"/>
              <w:spacing w:before="40" w:after="120"/>
            </w:pPr>
          </w:p>
        </w:tc>
      </w:tr>
      <w:tr w:rsidR="00C23171" w:rsidRPr="003B5EA4" w:rsidTr="002A5753">
        <w:trPr>
          <w:trHeight w:val="240"/>
        </w:trPr>
        <w:tc>
          <w:tcPr>
            <w:tcW w:w="1794" w:type="dxa"/>
            <w:shd w:val="clear" w:color="auto" w:fill="auto"/>
          </w:tcPr>
          <w:p w:rsidR="00C23171" w:rsidRPr="003B5EA4" w:rsidRDefault="00C23171" w:rsidP="00C23171">
            <w:pPr>
              <w:suppressAutoHyphens w:val="0"/>
              <w:spacing w:before="40" w:after="120"/>
            </w:pPr>
            <w:r w:rsidRPr="003B5EA4">
              <w:t>ONUV/ONUDC</w:t>
            </w:r>
          </w:p>
        </w:tc>
        <w:tc>
          <w:tcPr>
            <w:tcW w:w="1262" w:type="dxa"/>
            <w:vMerge/>
            <w:shd w:val="clear" w:color="auto" w:fill="auto"/>
          </w:tcPr>
          <w:p w:rsidR="00C23171" w:rsidRPr="003B5EA4" w:rsidRDefault="00C23171" w:rsidP="002A5753">
            <w:pPr>
              <w:suppressAutoHyphens w:val="0"/>
              <w:spacing w:before="40" w:after="120"/>
            </w:pPr>
          </w:p>
        </w:tc>
        <w:tc>
          <w:tcPr>
            <w:tcW w:w="10720" w:type="dxa"/>
            <w:vMerge/>
            <w:shd w:val="clear" w:color="auto" w:fill="auto"/>
          </w:tcPr>
          <w:p w:rsidR="00C23171" w:rsidRPr="003B5EA4" w:rsidRDefault="00C23171" w:rsidP="002A5753">
            <w:pPr>
              <w:suppressAutoHyphens w:val="0"/>
              <w:spacing w:before="40" w:after="120"/>
            </w:pPr>
          </w:p>
        </w:tc>
      </w:tr>
      <w:tr w:rsidR="00C23171" w:rsidRPr="003B5EA4" w:rsidTr="002A5753">
        <w:trPr>
          <w:trHeight w:val="240"/>
        </w:trPr>
        <w:tc>
          <w:tcPr>
            <w:tcW w:w="1794" w:type="dxa"/>
            <w:shd w:val="clear" w:color="auto" w:fill="auto"/>
          </w:tcPr>
          <w:p w:rsidR="00C23171" w:rsidRPr="003B5EA4" w:rsidRDefault="00C23171" w:rsidP="00C23171">
            <w:pPr>
              <w:suppressAutoHyphens w:val="0"/>
              <w:spacing w:before="40" w:after="120"/>
            </w:pPr>
            <w:r w:rsidRPr="003B5EA4">
              <w:t>ONU-Femmes</w:t>
            </w:r>
          </w:p>
        </w:tc>
        <w:tc>
          <w:tcPr>
            <w:tcW w:w="1262" w:type="dxa"/>
            <w:vMerge/>
            <w:shd w:val="clear" w:color="auto" w:fill="auto"/>
          </w:tcPr>
          <w:p w:rsidR="00C23171" w:rsidRPr="003B5EA4" w:rsidRDefault="00C23171" w:rsidP="002A5753">
            <w:pPr>
              <w:suppressAutoHyphens w:val="0"/>
              <w:spacing w:before="40" w:after="120"/>
            </w:pPr>
          </w:p>
        </w:tc>
        <w:tc>
          <w:tcPr>
            <w:tcW w:w="10720" w:type="dxa"/>
            <w:vMerge/>
            <w:shd w:val="clear" w:color="auto" w:fill="auto"/>
          </w:tcPr>
          <w:p w:rsidR="00C23171" w:rsidRPr="003B5EA4" w:rsidRDefault="00C23171" w:rsidP="002A5753">
            <w:pPr>
              <w:suppressAutoHyphens w:val="0"/>
              <w:spacing w:before="40" w:after="120"/>
            </w:pP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ONUSIDA</w:t>
            </w:r>
          </w:p>
        </w:tc>
        <w:tc>
          <w:tcPr>
            <w:tcW w:w="1262" w:type="dxa"/>
            <w:shd w:val="clear" w:color="auto" w:fill="auto"/>
          </w:tcPr>
          <w:p w:rsidR="00C23171" w:rsidRPr="003B5EA4" w:rsidRDefault="00C23171" w:rsidP="002A5753">
            <w:pPr>
              <w:suppressAutoHyphens w:val="0"/>
              <w:spacing w:before="40" w:after="120"/>
            </w:pPr>
            <w:r w:rsidRPr="003B5EA4">
              <w:t>2016</w:t>
            </w:r>
          </w:p>
        </w:tc>
        <w:tc>
          <w:tcPr>
            <w:tcW w:w="10720" w:type="dxa"/>
            <w:shd w:val="clear" w:color="auto" w:fill="auto"/>
          </w:tcPr>
          <w:p w:rsidR="00C23171" w:rsidRPr="003B5EA4" w:rsidRDefault="00325ADB" w:rsidP="002A5753">
            <w:pPr>
              <w:suppressAutoHyphens w:val="0"/>
              <w:spacing w:before="40" w:after="120"/>
            </w:pPr>
            <w:r w:rsidRPr="003B5EA4">
              <w:t>Politique en matière de voyages de l</w:t>
            </w:r>
            <w:r w:rsidR="00762E0A">
              <w:t>’</w:t>
            </w:r>
            <w:r w:rsidRPr="003B5EA4">
              <w:t>ONUSIDA.</w:t>
            </w:r>
          </w:p>
        </w:tc>
      </w:tr>
      <w:tr w:rsidR="00C23171" w:rsidRPr="003B5EA4" w:rsidTr="002A5753">
        <w:trPr>
          <w:trHeight w:val="240"/>
        </w:trPr>
        <w:tc>
          <w:tcPr>
            <w:tcW w:w="1794" w:type="dxa"/>
            <w:vMerge w:val="restart"/>
            <w:shd w:val="clear" w:color="auto" w:fill="auto"/>
          </w:tcPr>
          <w:p w:rsidR="00C23171" w:rsidRPr="003B5EA4" w:rsidRDefault="00C23171" w:rsidP="002A5753">
            <w:pPr>
              <w:suppressAutoHyphens w:val="0"/>
              <w:spacing w:before="40" w:after="120"/>
            </w:pPr>
            <w:r w:rsidRPr="003B5EA4">
              <w:t>CCI</w:t>
            </w:r>
            <w:r w:rsidR="005C68DD" w:rsidRPr="005C68DD">
              <w:rPr>
                <w:sz w:val="18"/>
                <w:szCs w:val="18"/>
              </w:rPr>
              <w:t>*</w:t>
            </w:r>
          </w:p>
        </w:tc>
        <w:tc>
          <w:tcPr>
            <w:tcW w:w="1262" w:type="dxa"/>
            <w:vMerge w:val="restart"/>
            <w:shd w:val="clear" w:color="auto" w:fill="auto"/>
          </w:tcPr>
          <w:p w:rsidR="00C23171" w:rsidRPr="003B5EA4" w:rsidRDefault="00C23171" w:rsidP="002A5753">
            <w:pPr>
              <w:suppressAutoHyphens w:val="0"/>
              <w:spacing w:before="40" w:after="120"/>
            </w:pPr>
            <w:r w:rsidRPr="003B5EA4">
              <w:t>2013</w:t>
            </w:r>
          </w:p>
        </w:tc>
        <w:tc>
          <w:tcPr>
            <w:tcW w:w="10720" w:type="dxa"/>
            <w:shd w:val="clear" w:color="auto" w:fill="auto"/>
          </w:tcPr>
          <w:p w:rsidR="00C23171" w:rsidRPr="003B5EA4" w:rsidRDefault="00325ADB" w:rsidP="00F65977">
            <w:pPr>
              <w:suppressAutoHyphens w:val="0"/>
              <w:spacing w:before="40" w:after="120"/>
            </w:pPr>
            <w:r w:rsidRPr="003B5EA4">
              <w:t xml:space="preserve">Instruction administrative (CCI/AI/2013/05) </w:t>
            </w:r>
            <w:r w:rsidR="00F65977" w:rsidRPr="003B5EA4">
              <w:t>−</w:t>
            </w:r>
            <w:r w:rsidRPr="003B5EA4">
              <w:t xml:space="preserve"> dernière en date des politiques en matière de voyages.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325ADB" w:rsidP="00F65977">
            <w:pPr>
              <w:suppressAutoHyphens w:val="0"/>
              <w:spacing w:before="40" w:after="120"/>
            </w:pPr>
            <w:r w:rsidRPr="003B5EA4">
              <w:t xml:space="preserve">Circulaire </w:t>
            </w:r>
            <w:r w:rsidR="00F65977" w:rsidRPr="003B5EA4">
              <w:t>−</w:t>
            </w:r>
            <w:r w:rsidRPr="003B5EA4">
              <w:t xml:space="preserve"> méthode de calcul de la somme forfaitaire.</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PNUD</w:t>
            </w:r>
          </w:p>
        </w:tc>
        <w:tc>
          <w:tcPr>
            <w:tcW w:w="1262" w:type="dxa"/>
            <w:shd w:val="clear" w:color="auto" w:fill="auto"/>
          </w:tcPr>
          <w:p w:rsidR="00C23171" w:rsidRPr="003B5EA4" w:rsidRDefault="00C23171" w:rsidP="002A5753">
            <w:pPr>
              <w:suppressAutoHyphens w:val="0"/>
              <w:spacing w:before="40" w:after="120"/>
            </w:pPr>
            <w:r w:rsidRPr="003B5EA4">
              <w:t>2013</w:t>
            </w:r>
          </w:p>
        </w:tc>
        <w:tc>
          <w:tcPr>
            <w:tcW w:w="10720" w:type="dxa"/>
            <w:shd w:val="clear" w:color="auto" w:fill="auto"/>
          </w:tcPr>
          <w:p w:rsidR="00C23171" w:rsidRPr="003B5EA4" w:rsidRDefault="00325ADB" w:rsidP="002A5753">
            <w:pPr>
              <w:suppressAutoHyphens w:val="0"/>
              <w:spacing w:before="40" w:after="120"/>
            </w:pPr>
            <w:r w:rsidRPr="003B5EA4">
              <w:t>L</w:t>
            </w:r>
            <w:r w:rsidR="00762E0A">
              <w:t>’</w:t>
            </w:r>
            <w:r w:rsidRPr="003B5EA4">
              <w:t>examen des politiques en matière de voyages et des flux de travail connexes a conduit à trois révisions durant les cinq dernières années. Un examen complet a été réalisé en 2013 avec l</w:t>
            </w:r>
            <w:r w:rsidR="00762E0A">
              <w:t>’</w:t>
            </w:r>
            <w:r w:rsidRPr="003B5EA4">
              <w:t>aval de la haute direction.</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FNUAP</w:t>
            </w:r>
          </w:p>
        </w:tc>
        <w:tc>
          <w:tcPr>
            <w:tcW w:w="1262" w:type="dxa"/>
            <w:shd w:val="clear" w:color="auto" w:fill="auto"/>
          </w:tcPr>
          <w:p w:rsidR="00C23171" w:rsidRPr="003B5EA4" w:rsidRDefault="00C23171" w:rsidP="002A5753">
            <w:pPr>
              <w:suppressAutoHyphens w:val="0"/>
              <w:spacing w:before="40" w:after="120"/>
            </w:pPr>
            <w:r w:rsidRPr="003B5EA4">
              <w:t>2014</w:t>
            </w:r>
          </w:p>
        </w:tc>
        <w:tc>
          <w:tcPr>
            <w:tcW w:w="10720" w:type="dxa"/>
            <w:shd w:val="clear" w:color="auto" w:fill="auto"/>
          </w:tcPr>
          <w:p w:rsidR="00C23171" w:rsidRPr="003B5EA4" w:rsidRDefault="00325ADB" w:rsidP="002A5753">
            <w:pPr>
              <w:suppressAutoHyphens w:val="0"/>
              <w:spacing w:before="40" w:after="120"/>
            </w:pPr>
            <w:r w:rsidRPr="003B5EA4">
              <w:t xml:space="preserve">Adoption de la politique des voyages officiels du </w:t>
            </w:r>
            <w:r w:rsidRPr="003B5EA4">
              <w:rPr>
                <w:bCs/>
              </w:rPr>
              <w:t>PNUD. Un examen de la politique du PNUD a été entrepris en 2016</w:t>
            </w:r>
            <w:r w:rsidRPr="003B5EA4">
              <w:t xml:space="preserve"> </w:t>
            </w:r>
            <w:r w:rsidRPr="003B5EA4">
              <w:rPr>
                <w:bCs/>
              </w:rPr>
              <w:t>et les résultats sont attendus</w:t>
            </w:r>
            <w:r w:rsidR="00C23171" w:rsidRPr="003B5EA4">
              <w:t>.</w:t>
            </w:r>
          </w:p>
        </w:tc>
      </w:tr>
      <w:tr w:rsidR="00C23171" w:rsidRPr="003B5EA4" w:rsidTr="002A5753">
        <w:trPr>
          <w:trHeight w:val="240"/>
        </w:trPr>
        <w:tc>
          <w:tcPr>
            <w:tcW w:w="1794" w:type="dxa"/>
            <w:shd w:val="clear" w:color="auto" w:fill="auto"/>
          </w:tcPr>
          <w:p w:rsidR="00C23171" w:rsidRPr="003B5EA4" w:rsidRDefault="00A07C1D" w:rsidP="002A5753">
            <w:pPr>
              <w:suppressAutoHyphens w:val="0"/>
              <w:spacing w:before="40" w:after="120"/>
            </w:pPr>
            <w:r w:rsidRPr="003B5EA4">
              <w:t>HC</w:t>
            </w:r>
            <w:r w:rsidR="00C23171" w:rsidRPr="003B5EA4">
              <w:t>R</w:t>
            </w:r>
          </w:p>
        </w:tc>
        <w:tc>
          <w:tcPr>
            <w:tcW w:w="1262" w:type="dxa"/>
            <w:shd w:val="clear" w:color="auto" w:fill="auto"/>
          </w:tcPr>
          <w:p w:rsidR="00C23171" w:rsidRPr="003B5EA4" w:rsidRDefault="00C23171" w:rsidP="002A5753">
            <w:pPr>
              <w:suppressAutoHyphens w:val="0"/>
              <w:spacing w:before="40" w:after="120"/>
            </w:pPr>
            <w:r w:rsidRPr="003B5EA4">
              <w:t>2013</w:t>
            </w:r>
          </w:p>
        </w:tc>
        <w:tc>
          <w:tcPr>
            <w:tcW w:w="10720" w:type="dxa"/>
            <w:shd w:val="clear" w:color="auto" w:fill="auto"/>
          </w:tcPr>
          <w:p w:rsidR="00C23171" w:rsidRPr="003B5EA4" w:rsidRDefault="00325ADB" w:rsidP="00325ADB">
            <w:pPr>
              <w:suppressAutoHyphens w:val="0"/>
              <w:spacing w:before="40" w:after="120"/>
            </w:pPr>
            <w:r w:rsidRPr="003B5EA4">
              <w:rPr>
                <w:rFonts w:asciiTheme="majorBidi" w:hAnsiTheme="majorBidi" w:cstheme="majorBidi"/>
              </w:rPr>
              <w:t>Mémorandum intérieur − modes, dates, itinéraires et conditions de voyage ; période de repos</w:t>
            </w:r>
            <w:r w:rsidR="00F65977" w:rsidRPr="003B5EA4">
              <w:rPr>
                <w:rFonts w:asciiTheme="majorBidi" w:hAnsiTheme="majorBidi" w:cstheme="majorBidi"/>
              </w:rPr>
              <w:t> </w:t>
            </w:r>
            <w:r w:rsidRPr="003B5EA4">
              <w:rPr>
                <w:rFonts w:asciiTheme="majorBidi" w:hAnsiTheme="majorBidi" w:cstheme="majorBidi"/>
              </w:rPr>
              <w:t>; durée du voyage aux fins des congés dans les foyers et des visites familiales</w:t>
            </w:r>
            <w:r w:rsidR="00F65977" w:rsidRPr="003B5EA4">
              <w:rPr>
                <w:rFonts w:asciiTheme="majorBidi" w:hAnsiTheme="majorBidi" w:cstheme="majorBidi"/>
              </w:rPr>
              <w:t> </w:t>
            </w:r>
            <w:r w:rsidRPr="003B5EA4">
              <w:rPr>
                <w:rFonts w:asciiTheme="majorBidi" w:hAnsiTheme="majorBidi" w:cstheme="majorBidi"/>
              </w:rPr>
              <w:t>; indemnité journalière de subsistance</w:t>
            </w:r>
            <w:r w:rsidR="00F65977" w:rsidRPr="003B5EA4">
              <w:rPr>
                <w:rFonts w:asciiTheme="majorBidi" w:hAnsiTheme="majorBidi" w:cstheme="majorBidi"/>
              </w:rPr>
              <w:t> </w:t>
            </w:r>
            <w:r w:rsidRPr="003B5EA4">
              <w:rPr>
                <w:rFonts w:asciiTheme="majorBidi" w:hAnsiTheme="majorBidi" w:cstheme="majorBidi"/>
              </w:rPr>
              <w:t>; somme forfaitaire.</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UNICEF</w:t>
            </w:r>
          </w:p>
        </w:tc>
        <w:tc>
          <w:tcPr>
            <w:tcW w:w="1262" w:type="dxa"/>
            <w:shd w:val="clear" w:color="auto" w:fill="auto"/>
          </w:tcPr>
          <w:p w:rsidR="00C23171" w:rsidRPr="003B5EA4" w:rsidRDefault="00C23171" w:rsidP="002A5753">
            <w:pPr>
              <w:suppressAutoHyphens w:val="0"/>
              <w:spacing w:before="40" w:after="120"/>
            </w:pPr>
            <w:r w:rsidRPr="003B5EA4">
              <w:t>2015</w:t>
            </w:r>
          </w:p>
        </w:tc>
        <w:tc>
          <w:tcPr>
            <w:tcW w:w="10720" w:type="dxa"/>
            <w:shd w:val="clear" w:color="auto" w:fill="auto"/>
          </w:tcPr>
          <w:p w:rsidR="00C23171" w:rsidRPr="003B5EA4" w:rsidRDefault="00325ADB" w:rsidP="00325ADB">
            <w:pPr>
              <w:suppressAutoHyphens w:val="0"/>
              <w:spacing w:before="40" w:after="120"/>
            </w:pPr>
            <w:r w:rsidRPr="003B5EA4">
              <w:rPr>
                <w:rFonts w:asciiTheme="majorBidi" w:hAnsiTheme="majorBidi" w:cstheme="majorBidi"/>
              </w:rPr>
              <w:t>Instruction administrative.</w:t>
            </w:r>
          </w:p>
        </w:tc>
      </w:tr>
      <w:tr w:rsidR="00C23171" w:rsidRPr="003B5EA4" w:rsidTr="002A5753">
        <w:trPr>
          <w:trHeight w:val="240"/>
        </w:trPr>
        <w:tc>
          <w:tcPr>
            <w:tcW w:w="1794" w:type="dxa"/>
            <w:vMerge w:val="restart"/>
            <w:shd w:val="clear" w:color="auto" w:fill="auto"/>
          </w:tcPr>
          <w:p w:rsidR="00C23171" w:rsidRPr="003B5EA4" w:rsidRDefault="00C23171" w:rsidP="002A5753">
            <w:pPr>
              <w:suppressAutoHyphens w:val="0"/>
              <w:spacing w:before="40" w:after="120"/>
            </w:pPr>
            <w:r w:rsidRPr="003B5EA4">
              <w:t>UNOPS</w:t>
            </w:r>
          </w:p>
        </w:tc>
        <w:tc>
          <w:tcPr>
            <w:tcW w:w="1262" w:type="dxa"/>
            <w:vMerge w:val="restart"/>
            <w:shd w:val="clear" w:color="auto" w:fill="auto"/>
          </w:tcPr>
          <w:p w:rsidR="00C23171" w:rsidRPr="003B5EA4" w:rsidRDefault="00C23171" w:rsidP="002A5753">
            <w:pPr>
              <w:suppressAutoHyphens w:val="0"/>
              <w:spacing w:before="40" w:after="120"/>
            </w:pPr>
            <w:r w:rsidRPr="003B5EA4">
              <w:t>2015</w:t>
            </w:r>
          </w:p>
        </w:tc>
        <w:tc>
          <w:tcPr>
            <w:tcW w:w="10720" w:type="dxa"/>
            <w:shd w:val="clear" w:color="auto" w:fill="auto"/>
          </w:tcPr>
          <w:p w:rsidR="00C23171" w:rsidRPr="003B5EA4" w:rsidRDefault="003B0672" w:rsidP="003B0672">
            <w:pPr>
              <w:suppressAutoHyphens w:val="0"/>
              <w:spacing w:before="40" w:after="120"/>
            </w:pPr>
            <w:r w:rsidRPr="003B5EA4">
              <w:rPr>
                <w:rFonts w:asciiTheme="majorBidi" w:hAnsiTheme="majorBidi" w:cstheme="majorBidi"/>
              </w:rPr>
              <w:t>Instruction administrative − voyages officiels des vacataires</w:t>
            </w:r>
            <w:r w:rsidR="00C23171" w:rsidRPr="003B5EA4">
              <w:t>.</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3B0672" w:rsidP="003B0672">
            <w:pPr>
              <w:suppressAutoHyphens w:val="0"/>
              <w:spacing w:before="40" w:after="120"/>
            </w:pPr>
            <w:r w:rsidRPr="003B5EA4">
              <w:t>Instruction administrative − voyages officiels des fonctionnaires et non-fonctionnaires</w:t>
            </w:r>
            <w:r w:rsidR="00325ADB" w:rsidRPr="003B5EA4">
              <w:t>.</w:t>
            </w:r>
          </w:p>
        </w:tc>
      </w:tr>
      <w:tr w:rsidR="00C23171" w:rsidRPr="003B5EA4" w:rsidTr="002A5753">
        <w:trPr>
          <w:cantSplit/>
          <w:trHeight w:val="240"/>
        </w:trPr>
        <w:tc>
          <w:tcPr>
            <w:tcW w:w="1794" w:type="dxa"/>
            <w:shd w:val="clear" w:color="auto" w:fill="auto"/>
          </w:tcPr>
          <w:p w:rsidR="00C23171" w:rsidRPr="003B5EA4" w:rsidRDefault="00A07C1D" w:rsidP="002A5753">
            <w:pPr>
              <w:suppressAutoHyphens w:val="0"/>
              <w:spacing w:before="40" w:after="120"/>
            </w:pPr>
            <w:r w:rsidRPr="003B5EA4">
              <w:lastRenderedPageBreak/>
              <w:t>UNRWA</w:t>
            </w:r>
          </w:p>
        </w:tc>
        <w:tc>
          <w:tcPr>
            <w:tcW w:w="1262" w:type="dxa"/>
            <w:shd w:val="clear" w:color="auto" w:fill="auto"/>
          </w:tcPr>
          <w:p w:rsidR="00C23171" w:rsidRPr="003B5EA4" w:rsidRDefault="00C23171" w:rsidP="002A5753">
            <w:pPr>
              <w:suppressAutoHyphens w:val="0"/>
              <w:spacing w:before="40" w:after="120"/>
            </w:pPr>
            <w:r w:rsidRPr="003B5EA4">
              <w:t>2015</w:t>
            </w:r>
          </w:p>
        </w:tc>
        <w:tc>
          <w:tcPr>
            <w:tcW w:w="10720" w:type="dxa"/>
            <w:shd w:val="clear" w:color="auto" w:fill="auto"/>
          </w:tcPr>
          <w:p w:rsidR="00C23171" w:rsidRPr="003B5EA4" w:rsidRDefault="00A6168E" w:rsidP="009637F5">
            <w:pPr>
              <w:suppressAutoHyphens w:val="0"/>
              <w:spacing w:before="40" w:after="120"/>
            </w:pPr>
            <w:r w:rsidRPr="003B5EA4">
              <w:t>Mesures d</w:t>
            </w:r>
            <w:r w:rsidR="00762E0A">
              <w:t>’</w:t>
            </w:r>
            <w:r w:rsidRPr="003B5EA4">
              <w:t>austérité − voyages internationaux ; voyages d</w:t>
            </w:r>
            <w:r w:rsidR="00762E0A">
              <w:t>’</w:t>
            </w:r>
            <w:r w:rsidRPr="003B5EA4">
              <w:t>affaires</w:t>
            </w:r>
            <w:r w:rsidR="003B0672" w:rsidRPr="003B5EA4">
              <w:t> </w:t>
            </w:r>
            <w:r w:rsidRPr="003B5EA4">
              <w:t>; entrevues en personne</w:t>
            </w:r>
            <w:r w:rsidR="003B0672" w:rsidRPr="003B5EA4">
              <w:t> </w:t>
            </w:r>
            <w:r w:rsidRPr="003B5EA4">
              <w:t>; lieux de formation, d</w:t>
            </w:r>
            <w:r w:rsidR="00762E0A">
              <w:t>’</w:t>
            </w:r>
            <w:r w:rsidRPr="003B5EA4">
              <w:t>ateliers et de retraites</w:t>
            </w:r>
            <w:r w:rsidR="00BF0B8F">
              <w:t> ;</w:t>
            </w:r>
            <w:r w:rsidRPr="003B5EA4">
              <w:t xml:space="preserve"> participation à des réunions de comités consultatifs</w:t>
            </w:r>
            <w:r w:rsidR="00BF0B8F">
              <w:t> ;</w:t>
            </w:r>
            <w:r w:rsidRPr="003B5EA4">
              <w:t xml:space="preserve"> contrats de consultance internationaux.</w:t>
            </w:r>
          </w:p>
        </w:tc>
      </w:tr>
      <w:tr w:rsidR="00C23171" w:rsidRPr="003B5EA4" w:rsidTr="002A5753">
        <w:trPr>
          <w:trHeight w:val="240"/>
        </w:trPr>
        <w:tc>
          <w:tcPr>
            <w:tcW w:w="1794" w:type="dxa"/>
            <w:shd w:val="clear" w:color="auto" w:fill="auto"/>
          </w:tcPr>
          <w:p w:rsidR="00C23171" w:rsidRPr="003B5EA4" w:rsidRDefault="00C23171" w:rsidP="00A07C1D">
            <w:pPr>
              <w:suppressAutoHyphens w:val="0"/>
              <w:spacing w:before="40" w:after="120"/>
            </w:pPr>
            <w:r w:rsidRPr="003B5EA4">
              <w:t>P</w:t>
            </w:r>
            <w:r w:rsidR="00A07C1D" w:rsidRPr="003B5EA4">
              <w:t>AM</w:t>
            </w:r>
          </w:p>
        </w:tc>
        <w:tc>
          <w:tcPr>
            <w:tcW w:w="1262" w:type="dxa"/>
            <w:shd w:val="clear" w:color="auto" w:fill="auto"/>
          </w:tcPr>
          <w:p w:rsidR="00C23171" w:rsidRPr="003B5EA4" w:rsidRDefault="00C23171" w:rsidP="002A5753">
            <w:pPr>
              <w:suppressAutoHyphens w:val="0"/>
              <w:spacing w:before="40" w:after="120"/>
            </w:pPr>
            <w:r w:rsidRPr="003B5EA4">
              <w:t>2012</w:t>
            </w:r>
          </w:p>
        </w:tc>
        <w:tc>
          <w:tcPr>
            <w:tcW w:w="10720" w:type="dxa"/>
            <w:shd w:val="clear" w:color="auto" w:fill="auto"/>
          </w:tcPr>
          <w:p w:rsidR="00C23171" w:rsidRPr="003B5EA4" w:rsidRDefault="003B0672" w:rsidP="003B0672">
            <w:pPr>
              <w:suppressAutoHyphens w:val="0"/>
              <w:spacing w:before="40" w:after="120"/>
            </w:pPr>
            <w:r w:rsidRPr="003B5EA4">
              <w:t>Circulaire du Directeur exécutif − nouvelles règles pour les voyages officiels</w:t>
            </w:r>
            <w:r w:rsidR="00BF0B8F">
              <w:t> ;</w:t>
            </w:r>
            <w:r w:rsidRPr="003B5EA4">
              <w:t xml:space="preserve"> somme forfaitaire pour les voyages statutaires</w:t>
            </w:r>
            <w:r w:rsidR="00BF0B8F">
              <w:t> ;</w:t>
            </w:r>
            <w:r w:rsidRPr="003B5EA4">
              <w:t xml:space="preserve"> indemnité mensuelle de subsistance pour la consultance auprès des bureaux sur le terrain</w:t>
            </w:r>
            <w:r w:rsidR="00BF0B8F">
              <w:t> ;</w:t>
            </w:r>
            <w:r w:rsidRPr="003B5EA4">
              <w:t xml:space="preserve"> conditions de voyage en avion.</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FAO</w:t>
            </w:r>
          </w:p>
        </w:tc>
        <w:tc>
          <w:tcPr>
            <w:tcW w:w="1262" w:type="dxa"/>
            <w:shd w:val="clear" w:color="auto" w:fill="auto"/>
          </w:tcPr>
          <w:p w:rsidR="00C23171" w:rsidRPr="003B5EA4" w:rsidRDefault="00C23171" w:rsidP="002A5753">
            <w:pPr>
              <w:suppressAutoHyphens w:val="0"/>
              <w:spacing w:before="40" w:after="120"/>
            </w:pPr>
            <w:r w:rsidRPr="003B5EA4">
              <w:t>2015</w:t>
            </w:r>
          </w:p>
        </w:tc>
        <w:tc>
          <w:tcPr>
            <w:tcW w:w="10720" w:type="dxa"/>
            <w:shd w:val="clear" w:color="auto" w:fill="auto"/>
          </w:tcPr>
          <w:p w:rsidR="00C23171" w:rsidRPr="003B5EA4" w:rsidRDefault="003B0672" w:rsidP="002A2BDF">
            <w:pPr>
              <w:suppressAutoHyphens w:val="0"/>
              <w:spacing w:before="40" w:after="120"/>
            </w:pPr>
            <w:r w:rsidRPr="003B5EA4">
              <w:rPr>
                <w:rFonts w:asciiTheme="majorBidi" w:hAnsiTheme="majorBidi" w:cstheme="majorBidi"/>
              </w:rPr>
              <w:t>Manuel de la FAO, chap</w:t>
            </w:r>
            <w:r w:rsidR="002A2BDF" w:rsidRPr="003B5EA4">
              <w:rPr>
                <w:rFonts w:asciiTheme="majorBidi" w:hAnsiTheme="majorBidi" w:cstheme="majorBidi"/>
              </w:rPr>
              <w:t>. </w:t>
            </w:r>
            <w:r w:rsidRPr="003B5EA4">
              <w:rPr>
                <w:rFonts w:asciiTheme="majorBidi" w:hAnsiTheme="majorBidi" w:cstheme="majorBidi"/>
              </w:rPr>
              <w:t xml:space="preserve">IV (voyages) </w:t>
            </w:r>
            <w:r w:rsidR="002A2BDF" w:rsidRPr="003B5EA4">
              <w:rPr>
                <w:rFonts w:asciiTheme="majorBidi" w:hAnsiTheme="majorBidi" w:cstheme="majorBidi"/>
              </w:rPr>
              <w:t>−</w:t>
            </w:r>
            <w:r w:rsidRPr="003B5EA4">
              <w:rPr>
                <w:rFonts w:asciiTheme="majorBidi" w:hAnsiTheme="majorBidi" w:cstheme="majorBidi"/>
              </w:rPr>
              <w:t xml:space="preserve"> responsabilités</w:t>
            </w:r>
            <w:r w:rsidR="002A2BDF" w:rsidRPr="003B5EA4">
              <w:rPr>
                <w:rFonts w:asciiTheme="majorBidi" w:hAnsiTheme="majorBidi" w:cstheme="majorBidi"/>
              </w:rPr>
              <w:t> </w:t>
            </w:r>
            <w:r w:rsidRPr="003B5EA4">
              <w:rPr>
                <w:rFonts w:asciiTheme="majorBidi" w:hAnsiTheme="majorBidi" w:cstheme="majorBidi"/>
              </w:rPr>
              <w:t>; planification des déplacements au siège et dans les bureaux hors siège</w:t>
            </w:r>
            <w:r w:rsidR="002A2BDF" w:rsidRPr="003B5EA4">
              <w:rPr>
                <w:rFonts w:asciiTheme="majorBidi" w:hAnsiTheme="majorBidi" w:cstheme="majorBidi"/>
              </w:rPr>
              <w:t> </w:t>
            </w:r>
            <w:r w:rsidRPr="003B5EA4">
              <w:rPr>
                <w:rFonts w:asciiTheme="majorBidi" w:hAnsiTheme="majorBidi" w:cstheme="majorBidi"/>
              </w:rPr>
              <w:t>; transport</w:t>
            </w:r>
            <w:r w:rsidR="002A2BDF" w:rsidRPr="003B5EA4">
              <w:rPr>
                <w:rFonts w:asciiTheme="majorBidi" w:hAnsiTheme="majorBidi" w:cstheme="majorBidi"/>
              </w:rPr>
              <w:t> </w:t>
            </w:r>
            <w:r w:rsidRPr="003B5EA4">
              <w:rPr>
                <w:rFonts w:asciiTheme="majorBidi" w:hAnsiTheme="majorBidi" w:cstheme="majorBidi"/>
              </w:rPr>
              <w:t>; indemnité journalière de subsistance</w:t>
            </w:r>
            <w:r w:rsidR="002A2BDF" w:rsidRPr="003B5EA4">
              <w:rPr>
                <w:rFonts w:asciiTheme="majorBidi" w:hAnsiTheme="majorBidi" w:cstheme="majorBidi"/>
              </w:rPr>
              <w:t> </w:t>
            </w:r>
            <w:r w:rsidRPr="003B5EA4">
              <w:rPr>
                <w:rFonts w:asciiTheme="majorBidi" w:hAnsiTheme="majorBidi" w:cstheme="majorBidi"/>
              </w:rPr>
              <w:t>; procédures</w:t>
            </w:r>
            <w:r w:rsidR="002A2BDF" w:rsidRPr="003B5EA4">
              <w:rPr>
                <w:rFonts w:asciiTheme="majorBidi" w:hAnsiTheme="majorBidi" w:cstheme="majorBidi"/>
              </w:rPr>
              <w:t> </w:t>
            </w:r>
            <w:r w:rsidRPr="003B5EA4">
              <w:rPr>
                <w:rFonts w:asciiTheme="majorBidi" w:hAnsiTheme="majorBidi" w:cstheme="majorBidi"/>
              </w:rPr>
              <w:t>; somme forfaitaire</w:t>
            </w:r>
            <w:r w:rsidR="002A2BDF" w:rsidRPr="003B5EA4">
              <w:rPr>
                <w:rFonts w:asciiTheme="majorBidi" w:hAnsiTheme="majorBidi" w:cstheme="majorBidi"/>
              </w:rPr>
              <w:t> </w:t>
            </w:r>
            <w:r w:rsidRPr="003B5EA4">
              <w:rPr>
                <w:rFonts w:asciiTheme="majorBidi" w:hAnsiTheme="majorBidi" w:cstheme="majorBidi"/>
              </w:rPr>
              <w:t>; voyages statutaires</w:t>
            </w:r>
            <w:r w:rsidR="002A2BDF" w:rsidRPr="003B5EA4">
              <w:rPr>
                <w:rFonts w:asciiTheme="majorBidi" w:hAnsiTheme="majorBidi" w:cstheme="majorBidi"/>
              </w:rPr>
              <w:t> </w:t>
            </w:r>
            <w:r w:rsidRPr="003B5EA4">
              <w:rPr>
                <w:rFonts w:asciiTheme="majorBidi" w:hAnsiTheme="majorBidi" w:cstheme="majorBidi"/>
              </w:rPr>
              <w:t>; voyages des non</w:t>
            </w:r>
            <w:r w:rsidR="002A2BDF" w:rsidRPr="003B5EA4">
              <w:rPr>
                <w:rFonts w:asciiTheme="majorBidi" w:hAnsiTheme="majorBidi" w:cstheme="majorBidi"/>
              </w:rPr>
              <w:noBreakHyphen/>
            </w:r>
            <w:r w:rsidRPr="003B5EA4">
              <w:rPr>
                <w:rFonts w:asciiTheme="majorBidi" w:hAnsiTheme="majorBidi" w:cstheme="majorBidi"/>
              </w:rPr>
              <w:t>fonctionnaires</w:t>
            </w:r>
            <w:r w:rsidR="00C23171" w:rsidRPr="003B5EA4">
              <w:t>.</w:t>
            </w:r>
          </w:p>
        </w:tc>
      </w:tr>
      <w:tr w:rsidR="00C23171" w:rsidRPr="003B5EA4" w:rsidTr="002A5753">
        <w:trPr>
          <w:trHeight w:val="240"/>
        </w:trPr>
        <w:tc>
          <w:tcPr>
            <w:tcW w:w="1794" w:type="dxa"/>
            <w:vMerge w:val="restart"/>
            <w:shd w:val="clear" w:color="auto" w:fill="auto"/>
          </w:tcPr>
          <w:p w:rsidR="00C23171" w:rsidRPr="003B5EA4" w:rsidRDefault="00A07C1D" w:rsidP="002A5753">
            <w:pPr>
              <w:suppressAutoHyphens w:val="0"/>
              <w:spacing w:before="40" w:after="120"/>
            </w:pPr>
            <w:r w:rsidRPr="003B5EA4">
              <w:t>AIEA</w:t>
            </w:r>
          </w:p>
        </w:tc>
        <w:tc>
          <w:tcPr>
            <w:tcW w:w="1262" w:type="dxa"/>
            <w:vMerge w:val="restart"/>
            <w:shd w:val="clear" w:color="auto" w:fill="auto"/>
          </w:tcPr>
          <w:p w:rsidR="00C23171" w:rsidRPr="003B5EA4" w:rsidRDefault="00C23171" w:rsidP="002A5753">
            <w:pPr>
              <w:suppressAutoHyphens w:val="0"/>
              <w:spacing w:before="40" w:after="120"/>
            </w:pPr>
            <w:r w:rsidRPr="003B5EA4">
              <w:t>2014</w:t>
            </w:r>
          </w:p>
        </w:tc>
        <w:tc>
          <w:tcPr>
            <w:tcW w:w="10720" w:type="dxa"/>
            <w:shd w:val="clear" w:color="auto" w:fill="auto"/>
          </w:tcPr>
          <w:p w:rsidR="00C23171" w:rsidRPr="003B5EA4" w:rsidRDefault="002A2BDF" w:rsidP="002A2BDF">
            <w:pPr>
              <w:suppressAutoHyphens w:val="0"/>
              <w:spacing w:before="40" w:after="120"/>
            </w:pPr>
            <w:r w:rsidRPr="003B5EA4">
              <w:t>SEC/DIR/218 −</w:t>
            </w:r>
            <w:r w:rsidRPr="003B5EA4" w:rsidDel="004E4FF4">
              <w:t xml:space="preserve"> </w:t>
            </w:r>
            <w:r w:rsidRPr="003B5EA4">
              <w:t>révision du règlement du personnel (voyages).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2A2BDF" w:rsidP="00A436CE">
            <w:pPr>
              <w:suppressAutoHyphens w:val="0"/>
              <w:spacing w:before="40" w:after="120"/>
            </w:pPr>
            <w:r w:rsidRPr="003B5EA4">
              <w:rPr>
                <w:rFonts w:asciiTheme="majorBidi" w:hAnsiTheme="majorBidi" w:cstheme="majorBidi"/>
              </w:rPr>
              <w:t xml:space="preserve">SEC/DIR/220 </w:t>
            </w:r>
            <w:r w:rsidR="00A436CE" w:rsidRPr="003B5EA4">
              <w:rPr>
                <w:rFonts w:asciiTheme="majorBidi" w:hAnsiTheme="majorBidi" w:cstheme="majorBidi"/>
              </w:rPr>
              <w:t xml:space="preserve">− </w:t>
            </w:r>
            <w:r w:rsidRPr="003B5EA4">
              <w:rPr>
                <w:rFonts w:asciiTheme="majorBidi" w:hAnsiTheme="majorBidi" w:cstheme="majorBidi"/>
              </w:rPr>
              <w:t>révision du règlement du personnel (voyages).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2A2BDF" w:rsidP="00A436CE">
            <w:pPr>
              <w:suppressAutoHyphens w:val="0"/>
              <w:spacing w:before="40" w:after="120"/>
            </w:pPr>
            <w:r w:rsidRPr="003B5EA4">
              <w:rPr>
                <w:rFonts w:asciiTheme="majorBidi" w:hAnsiTheme="majorBidi" w:cstheme="majorBidi"/>
              </w:rPr>
              <w:t xml:space="preserve">AM.II/9 </w:t>
            </w:r>
            <w:r w:rsidR="00A436CE" w:rsidRPr="003B5EA4">
              <w:rPr>
                <w:rFonts w:asciiTheme="majorBidi" w:hAnsiTheme="majorBidi" w:cstheme="majorBidi"/>
              </w:rPr>
              <w:t>−</w:t>
            </w:r>
            <w:r w:rsidRPr="003B5EA4" w:rsidDel="004E4FF4">
              <w:rPr>
                <w:rFonts w:asciiTheme="majorBidi" w:hAnsiTheme="majorBidi" w:cstheme="majorBidi"/>
              </w:rPr>
              <w:t xml:space="preserve"> </w:t>
            </w:r>
            <w:r w:rsidRPr="003B5EA4">
              <w:rPr>
                <w:rFonts w:asciiTheme="majorBidi" w:hAnsiTheme="majorBidi" w:cstheme="majorBidi"/>
              </w:rPr>
              <w:t>administration et bien-être du personnel (procédures de voyage).</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OACI</w:t>
            </w:r>
          </w:p>
        </w:tc>
        <w:tc>
          <w:tcPr>
            <w:tcW w:w="1262" w:type="dxa"/>
            <w:shd w:val="clear" w:color="auto" w:fill="auto"/>
          </w:tcPr>
          <w:p w:rsidR="00C23171" w:rsidRPr="003B5EA4" w:rsidRDefault="00C23171" w:rsidP="002A5753">
            <w:pPr>
              <w:suppressAutoHyphens w:val="0"/>
              <w:spacing w:before="40" w:after="120"/>
            </w:pPr>
            <w:r w:rsidRPr="003B5EA4">
              <w:t>2016</w:t>
            </w:r>
          </w:p>
        </w:tc>
        <w:tc>
          <w:tcPr>
            <w:tcW w:w="10720" w:type="dxa"/>
            <w:shd w:val="clear" w:color="auto" w:fill="auto"/>
          </w:tcPr>
          <w:p w:rsidR="00C23171" w:rsidRPr="003B5EA4" w:rsidRDefault="00A436CE" w:rsidP="00A436CE">
            <w:pPr>
              <w:suppressAutoHyphens w:val="0"/>
              <w:spacing w:before="40" w:after="120"/>
            </w:pPr>
            <w:r w:rsidRPr="003B5EA4">
              <w:t>Instruction administratives concernant les voyages officiels −</w:t>
            </w:r>
            <w:r w:rsidRPr="003B5EA4" w:rsidDel="008413CD">
              <w:t xml:space="preserve"> </w:t>
            </w:r>
            <w:r w:rsidRPr="003B5EA4">
              <w:t>autorisation de voyage ; voyages durables (réduction des retombées écologiques, sociales et économiques) ; acceptation de voyages et prestations de représentations sans frais ; somme forfaitaire pour les voyages statutaires.</w:t>
            </w:r>
          </w:p>
        </w:tc>
      </w:tr>
      <w:tr w:rsidR="00C23171" w:rsidRPr="003B5EA4" w:rsidTr="002A5753">
        <w:trPr>
          <w:trHeight w:val="240"/>
        </w:trPr>
        <w:tc>
          <w:tcPr>
            <w:tcW w:w="1794" w:type="dxa"/>
            <w:vMerge w:val="restart"/>
            <w:shd w:val="clear" w:color="auto" w:fill="auto"/>
          </w:tcPr>
          <w:p w:rsidR="00C23171" w:rsidRPr="003B5EA4" w:rsidRDefault="00C23171" w:rsidP="002A5753">
            <w:pPr>
              <w:suppressAutoHyphens w:val="0"/>
              <w:spacing w:before="40" w:after="120"/>
            </w:pPr>
            <w:r w:rsidRPr="003B5EA4">
              <w:t>OIT</w:t>
            </w:r>
          </w:p>
        </w:tc>
        <w:tc>
          <w:tcPr>
            <w:tcW w:w="1262" w:type="dxa"/>
            <w:vMerge w:val="restart"/>
            <w:shd w:val="clear" w:color="auto" w:fill="auto"/>
          </w:tcPr>
          <w:p w:rsidR="00C23171" w:rsidRPr="003B5EA4" w:rsidRDefault="00C23171" w:rsidP="002A5753">
            <w:pPr>
              <w:suppressAutoHyphens w:val="0"/>
              <w:spacing w:before="40" w:after="120"/>
            </w:pPr>
            <w:r w:rsidRPr="003B5EA4">
              <w:t>2015</w:t>
            </w:r>
          </w:p>
        </w:tc>
        <w:tc>
          <w:tcPr>
            <w:tcW w:w="10720" w:type="dxa"/>
            <w:shd w:val="clear" w:color="auto" w:fill="auto"/>
          </w:tcPr>
          <w:p w:rsidR="00C23171" w:rsidRPr="003B5EA4" w:rsidRDefault="00A436CE" w:rsidP="00A436CE">
            <w:pPr>
              <w:suppressAutoHyphens w:val="0"/>
              <w:spacing w:before="40" w:after="120"/>
            </w:pPr>
            <w:r w:rsidRPr="003B5EA4">
              <w:t>Accord collectif sur les conditions de voyage entre l</w:t>
            </w:r>
            <w:r w:rsidR="00762E0A">
              <w:t>’</w:t>
            </w:r>
            <w:r w:rsidRPr="003B5EA4">
              <w:t>OIT et le Syndicat du personnel − classe de voyage ; dérogations ; congé de compensation ; période de repos ; limitation des voyages officiels ; suivi des effets sur la santé.</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A436CE" w:rsidP="002A5753">
            <w:pPr>
              <w:suppressAutoHyphens w:val="0"/>
              <w:spacing w:before="40" w:after="120"/>
            </w:pPr>
            <w:r w:rsidRPr="003B5EA4">
              <w:rPr>
                <w:rFonts w:asciiTheme="majorBidi" w:hAnsiTheme="majorBidi" w:cstheme="majorBidi"/>
              </w:rPr>
              <w:t>Politiques et procédures les plus récentes.</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OMI</w:t>
            </w:r>
          </w:p>
        </w:tc>
        <w:tc>
          <w:tcPr>
            <w:tcW w:w="1262" w:type="dxa"/>
            <w:shd w:val="clear" w:color="auto" w:fill="auto"/>
          </w:tcPr>
          <w:p w:rsidR="00C23171" w:rsidRPr="003B5EA4" w:rsidRDefault="00C23171" w:rsidP="002A5753">
            <w:pPr>
              <w:suppressAutoHyphens w:val="0"/>
              <w:spacing w:before="40" w:after="120"/>
            </w:pPr>
            <w:r w:rsidRPr="003B5EA4">
              <w:t>2014</w:t>
            </w:r>
          </w:p>
        </w:tc>
        <w:tc>
          <w:tcPr>
            <w:tcW w:w="10720" w:type="dxa"/>
            <w:shd w:val="clear" w:color="auto" w:fill="auto"/>
          </w:tcPr>
          <w:p w:rsidR="00C23171" w:rsidRPr="003B5EA4" w:rsidRDefault="00A436CE" w:rsidP="00A436CE">
            <w:pPr>
              <w:suppressAutoHyphens w:val="0"/>
              <w:spacing w:before="40" w:after="120"/>
            </w:pPr>
            <w:r w:rsidRPr="003B5EA4">
              <w:rPr>
                <w:rFonts w:asciiTheme="majorBidi" w:hAnsiTheme="majorBidi" w:cstheme="majorBidi"/>
              </w:rPr>
              <w:t>Manuel des voyages −</w:t>
            </w:r>
            <w:r w:rsidRPr="003B5EA4" w:rsidDel="008413CD">
              <w:rPr>
                <w:rFonts w:asciiTheme="majorBidi" w:hAnsiTheme="majorBidi" w:cstheme="majorBidi"/>
              </w:rPr>
              <w:t xml:space="preserve"> </w:t>
            </w:r>
            <w:r w:rsidRPr="003B5EA4">
              <w:rPr>
                <w:rFonts w:asciiTheme="majorBidi" w:hAnsiTheme="majorBidi" w:cstheme="majorBidi"/>
              </w:rPr>
              <w:t>voyages en mission</w:t>
            </w:r>
            <w:r w:rsidR="00D61F4C" w:rsidRPr="003B5EA4">
              <w:rPr>
                <w:rFonts w:asciiTheme="majorBidi" w:hAnsiTheme="majorBidi" w:cstheme="majorBidi"/>
              </w:rPr>
              <w:t> </w:t>
            </w:r>
            <w:r w:rsidRPr="003B5EA4">
              <w:rPr>
                <w:rFonts w:asciiTheme="majorBidi" w:hAnsiTheme="majorBidi" w:cstheme="majorBidi"/>
              </w:rPr>
              <w:t>; voyages statutaires</w:t>
            </w:r>
            <w:r w:rsidR="00D61F4C" w:rsidRPr="003B5EA4">
              <w:rPr>
                <w:rFonts w:asciiTheme="majorBidi" w:hAnsiTheme="majorBidi" w:cstheme="majorBidi"/>
              </w:rPr>
              <w:t> </w:t>
            </w:r>
            <w:r w:rsidRPr="003B5EA4">
              <w:rPr>
                <w:rFonts w:asciiTheme="majorBidi" w:hAnsiTheme="majorBidi" w:cstheme="majorBidi"/>
              </w:rPr>
              <w:t>; indemnité journalière de subsistance</w:t>
            </w:r>
            <w:r w:rsidR="00D61F4C" w:rsidRPr="003B5EA4">
              <w:rPr>
                <w:rFonts w:asciiTheme="majorBidi" w:hAnsiTheme="majorBidi" w:cstheme="majorBidi"/>
              </w:rPr>
              <w:t> </w:t>
            </w:r>
            <w:r w:rsidRPr="003B5EA4">
              <w:rPr>
                <w:rFonts w:asciiTheme="majorBidi" w:hAnsiTheme="majorBidi" w:cstheme="majorBidi"/>
              </w:rPr>
              <w:t>; faux frais au départ et à l</w:t>
            </w:r>
            <w:r w:rsidR="00762E0A">
              <w:rPr>
                <w:rFonts w:asciiTheme="majorBidi" w:hAnsiTheme="majorBidi" w:cstheme="majorBidi"/>
              </w:rPr>
              <w:t>’</w:t>
            </w:r>
            <w:r w:rsidRPr="003B5EA4">
              <w:rPr>
                <w:rFonts w:asciiTheme="majorBidi" w:hAnsiTheme="majorBidi" w:cstheme="majorBidi"/>
              </w:rPr>
              <w:t>arrivée</w:t>
            </w:r>
            <w:r w:rsidR="00D61F4C" w:rsidRPr="003B5EA4">
              <w:rPr>
                <w:rFonts w:asciiTheme="majorBidi" w:hAnsiTheme="majorBidi" w:cstheme="majorBidi"/>
              </w:rPr>
              <w:t> </w:t>
            </w:r>
            <w:r w:rsidRPr="003B5EA4">
              <w:rPr>
                <w:rFonts w:asciiTheme="majorBidi" w:hAnsiTheme="majorBidi" w:cstheme="majorBidi"/>
              </w:rPr>
              <w:t>; durée du voyage ; escales de repos.</w:t>
            </w:r>
          </w:p>
        </w:tc>
      </w:tr>
      <w:tr w:rsidR="00C23171" w:rsidRPr="003B5EA4" w:rsidTr="002A5753">
        <w:trPr>
          <w:trHeight w:val="240"/>
        </w:trPr>
        <w:tc>
          <w:tcPr>
            <w:tcW w:w="1794" w:type="dxa"/>
            <w:vMerge w:val="restart"/>
            <w:shd w:val="clear" w:color="auto" w:fill="auto"/>
          </w:tcPr>
          <w:p w:rsidR="00C23171" w:rsidRPr="003B5EA4" w:rsidRDefault="00C23171" w:rsidP="002A5753">
            <w:pPr>
              <w:suppressAutoHyphens w:val="0"/>
              <w:spacing w:before="40" w:after="120"/>
            </w:pPr>
            <w:r w:rsidRPr="003B5EA4">
              <w:t>UIT</w:t>
            </w:r>
          </w:p>
        </w:tc>
        <w:tc>
          <w:tcPr>
            <w:tcW w:w="1262" w:type="dxa"/>
            <w:vMerge w:val="restart"/>
            <w:shd w:val="clear" w:color="auto" w:fill="auto"/>
          </w:tcPr>
          <w:p w:rsidR="00C23171" w:rsidRPr="003B5EA4" w:rsidRDefault="00C23171" w:rsidP="002A5753">
            <w:pPr>
              <w:suppressAutoHyphens w:val="0"/>
              <w:spacing w:before="40" w:after="120"/>
            </w:pPr>
            <w:r w:rsidRPr="003B5EA4">
              <w:t>2013</w:t>
            </w:r>
          </w:p>
        </w:tc>
        <w:tc>
          <w:tcPr>
            <w:tcW w:w="10720" w:type="dxa"/>
            <w:shd w:val="clear" w:color="auto" w:fill="auto"/>
          </w:tcPr>
          <w:p w:rsidR="00C23171" w:rsidRPr="003B5EA4" w:rsidRDefault="00D61F4C" w:rsidP="00D61F4C">
            <w:pPr>
              <w:suppressAutoHyphens w:val="0"/>
              <w:spacing w:before="40" w:after="120"/>
            </w:pPr>
            <w:r w:rsidRPr="003B5EA4">
              <w:rPr>
                <w:rFonts w:asciiTheme="majorBidi" w:hAnsiTheme="majorBidi" w:cstheme="majorBidi"/>
              </w:rPr>
              <w:t>Ordre de service 13/11 −</w:t>
            </w:r>
            <w:r w:rsidRPr="003B5EA4" w:rsidDel="008413CD">
              <w:rPr>
                <w:rFonts w:asciiTheme="majorBidi" w:hAnsiTheme="majorBidi" w:cstheme="majorBidi"/>
              </w:rPr>
              <w:t xml:space="preserve"> </w:t>
            </w:r>
            <w:r w:rsidRPr="003B5EA4">
              <w:rPr>
                <w:rStyle w:val="preferred"/>
              </w:rPr>
              <w:t>système de traitement des demandes d</w:t>
            </w:r>
            <w:r w:rsidR="00762E0A">
              <w:rPr>
                <w:rStyle w:val="preferred"/>
              </w:rPr>
              <w:t>’</w:t>
            </w:r>
            <w:r w:rsidRPr="003B5EA4">
              <w:rPr>
                <w:rStyle w:val="preferred"/>
              </w:rPr>
              <w:t xml:space="preserve">autorisation de voyage </w:t>
            </w:r>
            <w:r w:rsidRPr="003B5EA4">
              <w:rPr>
                <w:rFonts w:asciiTheme="majorBidi" w:hAnsiTheme="majorBidi" w:cstheme="majorBidi"/>
              </w:rPr>
              <w:t>pour les voyages officiels.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D61F4C" w:rsidP="00D61F4C">
            <w:pPr>
              <w:suppressAutoHyphens w:val="0"/>
              <w:spacing w:before="40" w:after="120"/>
            </w:pPr>
            <w:r w:rsidRPr="003B5EA4">
              <w:rPr>
                <w:rFonts w:asciiTheme="majorBidi" w:hAnsiTheme="majorBidi" w:cstheme="majorBidi"/>
              </w:rPr>
              <w:t>Ordre de service 13/12 −</w:t>
            </w:r>
            <w:r w:rsidRPr="003B5EA4" w:rsidDel="008413CD">
              <w:rPr>
                <w:rFonts w:asciiTheme="majorBidi" w:hAnsiTheme="majorBidi" w:cstheme="majorBidi"/>
              </w:rPr>
              <w:t xml:space="preserve"> </w:t>
            </w:r>
            <w:r w:rsidRPr="003B5EA4">
              <w:rPr>
                <w:rFonts w:asciiTheme="majorBidi" w:hAnsiTheme="majorBidi" w:cstheme="majorBidi"/>
              </w:rPr>
              <w:t>formation obligatoire sur la sécurité et la sûreté pour les voyages officiels.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D61F4C" w:rsidP="00D61F4C">
            <w:pPr>
              <w:suppressAutoHyphens w:val="0"/>
              <w:spacing w:before="40" w:after="120"/>
            </w:pPr>
            <w:r w:rsidRPr="003B5EA4">
              <w:rPr>
                <w:rFonts w:asciiTheme="majorBidi" w:hAnsiTheme="majorBidi" w:cstheme="majorBidi"/>
              </w:rPr>
              <w:t>Ordre de service 13/14 −</w:t>
            </w:r>
            <w:r w:rsidRPr="003B5EA4" w:rsidDel="008413CD">
              <w:rPr>
                <w:rFonts w:asciiTheme="majorBidi" w:hAnsiTheme="majorBidi" w:cstheme="majorBidi"/>
              </w:rPr>
              <w:t xml:space="preserve"> </w:t>
            </w:r>
            <w:r w:rsidRPr="003B5EA4">
              <w:rPr>
                <w:rFonts w:asciiTheme="majorBidi" w:hAnsiTheme="majorBidi" w:cstheme="majorBidi"/>
              </w:rPr>
              <w:t>dispositions régissant les voyages officiels.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shd w:val="clear" w:color="auto" w:fill="auto"/>
          </w:tcPr>
          <w:p w:rsidR="00C23171" w:rsidRPr="003B5EA4" w:rsidRDefault="00C23171" w:rsidP="002A5753">
            <w:pPr>
              <w:suppressAutoHyphens w:val="0"/>
              <w:spacing w:before="40" w:after="120"/>
            </w:pPr>
            <w:r w:rsidRPr="003B5EA4">
              <w:t>2014</w:t>
            </w:r>
          </w:p>
        </w:tc>
        <w:tc>
          <w:tcPr>
            <w:tcW w:w="10720" w:type="dxa"/>
            <w:shd w:val="clear" w:color="auto" w:fill="auto"/>
          </w:tcPr>
          <w:p w:rsidR="00C23171" w:rsidRPr="003B5EA4" w:rsidRDefault="00D61F4C" w:rsidP="00D61F4C">
            <w:pPr>
              <w:suppressAutoHyphens w:val="0"/>
              <w:spacing w:before="40" w:after="120"/>
            </w:pPr>
            <w:r w:rsidRPr="003B5EA4">
              <w:rPr>
                <w:rFonts w:asciiTheme="majorBidi" w:hAnsiTheme="majorBidi" w:cstheme="majorBidi"/>
              </w:rPr>
              <w:t>Ordre de service 14/03 −</w:t>
            </w:r>
            <w:r w:rsidRPr="003B5EA4" w:rsidDel="008413CD">
              <w:rPr>
                <w:rFonts w:asciiTheme="majorBidi" w:hAnsiTheme="majorBidi" w:cstheme="majorBidi"/>
              </w:rPr>
              <w:t xml:space="preserve"> </w:t>
            </w:r>
            <w:r w:rsidRPr="003B5EA4">
              <w:rPr>
                <w:rFonts w:asciiTheme="majorBidi" w:hAnsiTheme="majorBidi" w:cstheme="majorBidi"/>
              </w:rPr>
              <w:t>délégation de pouvoir pour l</w:t>
            </w:r>
            <w:r w:rsidR="00762E0A">
              <w:rPr>
                <w:rFonts w:asciiTheme="majorBidi" w:hAnsiTheme="majorBidi" w:cstheme="majorBidi"/>
              </w:rPr>
              <w:t>’</w:t>
            </w:r>
            <w:r w:rsidRPr="003B5EA4">
              <w:rPr>
                <w:rFonts w:asciiTheme="majorBidi" w:hAnsiTheme="majorBidi" w:cstheme="majorBidi"/>
              </w:rPr>
              <w:t>approbation des autorisations de voyage.</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shd w:val="clear" w:color="auto" w:fill="auto"/>
          </w:tcPr>
          <w:p w:rsidR="00C23171" w:rsidRPr="003B5EA4" w:rsidRDefault="00C23171" w:rsidP="002A5753">
            <w:pPr>
              <w:suppressAutoHyphens w:val="0"/>
              <w:spacing w:before="40" w:after="120"/>
            </w:pPr>
            <w:r w:rsidRPr="003B5EA4">
              <w:t>2015</w:t>
            </w:r>
          </w:p>
        </w:tc>
        <w:tc>
          <w:tcPr>
            <w:tcW w:w="10720" w:type="dxa"/>
            <w:shd w:val="clear" w:color="auto" w:fill="auto"/>
          </w:tcPr>
          <w:p w:rsidR="00C23171" w:rsidRPr="003B5EA4" w:rsidRDefault="00D61F4C" w:rsidP="00D61F4C">
            <w:pPr>
              <w:suppressAutoHyphens w:val="0"/>
              <w:spacing w:before="40" w:after="120"/>
            </w:pPr>
            <w:r w:rsidRPr="003B5EA4">
              <w:rPr>
                <w:rFonts w:asciiTheme="majorBidi" w:hAnsiTheme="majorBidi" w:cstheme="majorBidi"/>
              </w:rPr>
              <w:t>Ordre de service 15/09 −</w:t>
            </w:r>
            <w:r w:rsidRPr="003B5EA4" w:rsidDel="008413CD">
              <w:rPr>
                <w:rFonts w:asciiTheme="majorBidi" w:hAnsiTheme="majorBidi" w:cstheme="majorBidi"/>
              </w:rPr>
              <w:t xml:space="preserve"> </w:t>
            </w:r>
            <w:r w:rsidRPr="003B5EA4">
              <w:rPr>
                <w:rFonts w:asciiTheme="majorBidi" w:hAnsiTheme="majorBidi" w:cstheme="majorBidi"/>
              </w:rPr>
              <w:t>traitement des formulaires d</w:t>
            </w:r>
            <w:r w:rsidR="00762E0A">
              <w:rPr>
                <w:rFonts w:asciiTheme="majorBidi" w:hAnsiTheme="majorBidi" w:cstheme="majorBidi"/>
              </w:rPr>
              <w:t>’</w:t>
            </w:r>
            <w:r w:rsidRPr="003B5EA4">
              <w:rPr>
                <w:rFonts w:asciiTheme="majorBidi" w:hAnsiTheme="majorBidi" w:cstheme="majorBidi"/>
              </w:rPr>
              <w:t>autorisation de voyage, laissez-passer et visas, et dispositions régissant les paiements relatifs aux voyages.</w:t>
            </w:r>
          </w:p>
        </w:tc>
      </w:tr>
      <w:tr w:rsidR="00C23171" w:rsidRPr="003B5EA4" w:rsidTr="002A5753">
        <w:trPr>
          <w:trHeight w:val="240"/>
        </w:trPr>
        <w:tc>
          <w:tcPr>
            <w:tcW w:w="1794" w:type="dxa"/>
            <w:vMerge w:val="restart"/>
            <w:shd w:val="clear" w:color="auto" w:fill="auto"/>
          </w:tcPr>
          <w:p w:rsidR="00C23171" w:rsidRPr="003B5EA4" w:rsidRDefault="00C23171" w:rsidP="002A5753">
            <w:pPr>
              <w:suppressAutoHyphens w:val="0"/>
              <w:spacing w:before="40" w:after="120"/>
            </w:pPr>
            <w:r w:rsidRPr="003B5EA4">
              <w:t>UNESCO</w:t>
            </w:r>
          </w:p>
        </w:tc>
        <w:tc>
          <w:tcPr>
            <w:tcW w:w="1262" w:type="dxa"/>
            <w:vMerge w:val="restart"/>
            <w:shd w:val="clear" w:color="auto" w:fill="auto"/>
          </w:tcPr>
          <w:p w:rsidR="00C23171" w:rsidRPr="003B5EA4" w:rsidRDefault="00C23171" w:rsidP="002A5753">
            <w:pPr>
              <w:suppressAutoHyphens w:val="0"/>
              <w:spacing w:before="40" w:after="120"/>
            </w:pPr>
            <w:r w:rsidRPr="003B5EA4">
              <w:t>2012</w:t>
            </w:r>
          </w:p>
        </w:tc>
        <w:tc>
          <w:tcPr>
            <w:tcW w:w="10720" w:type="dxa"/>
            <w:shd w:val="clear" w:color="auto" w:fill="auto"/>
          </w:tcPr>
          <w:p w:rsidR="00C23171" w:rsidRPr="003B5EA4" w:rsidRDefault="00D61F4C" w:rsidP="00D61F4C">
            <w:pPr>
              <w:suppressAutoHyphens w:val="0"/>
              <w:spacing w:before="40" w:after="120"/>
            </w:pPr>
            <w:r w:rsidRPr="003B5EA4">
              <w:rPr>
                <w:rFonts w:asciiTheme="majorBidi" w:hAnsiTheme="majorBidi" w:cstheme="majorBidi"/>
              </w:rPr>
              <w:t>BFM/FPC/2012/04 −</w:t>
            </w:r>
            <w:r w:rsidRPr="003B5EA4" w:rsidDel="008413CD">
              <w:rPr>
                <w:rFonts w:asciiTheme="majorBidi" w:hAnsiTheme="majorBidi" w:cstheme="majorBidi"/>
              </w:rPr>
              <w:t xml:space="preserve"> </w:t>
            </w:r>
            <w:r w:rsidRPr="003B5EA4">
              <w:rPr>
                <w:rFonts w:asciiTheme="majorBidi" w:hAnsiTheme="majorBidi" w:cstheme="majorBidi"/>
              </w:rPr>
              <w:t>politiques et procédures régissant les voyages des participants aux réunions et conférences.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D61F4C" w:rsidP="00D61F4C">
            <w:pPr>
              <w:suppressAutoHyphens w:val="0"/>
              <w:spacing w:before="40" w:after="120"/>
            </w:pPr>
            <w:r w:rsidRPr="003B5EA4">
              <w:rPr>
                <w:rFonts w:asciiTheme="majorBidi" w:hAnsiTheme="majorBidi" w:cstheme="majorBidi"/>
              </w:rPr>
              <w:t>DG/Note/12/11REV − efficience des voyages officiels et statutaires.</w:t>
            </w:r>
          </w:p>
        </w:tc>
      </w:tr>
      <w:tr w:rsidR="00C23171" w:rsidRPr="003B5EA4" w:rsidTr="002A5753">
        <w:trPr>
          <w:trHeight w:val="240"/>
        </w:trPr>
        <w:tc>
          <w:tcPr>
            <w:tcW w:w="1794" w:type="dxa"/>
            <w:shd w:val="clear" w:color="auto" w:fill="auto"/>
          </w:tcPr>
          <w:p w:rsidR="00C23171" w:rsidRPr="003B5EA4" w:rsidRDefault="00C23171" w:rsidP="002A5753">
            <w:pPr>
              <w:keepNext/>
              <w:keepLines/>
              <w:suppressAutoHyphens w:val="0"/>
              <w:spacing w:before="40" w:after="120"/>
            </w:pPr>
            <w:r w:rsidRPr="003B5EA4">
              <w:lastRenderedPageBreak/>
              <w:t>ONUDI</w:t>
            </w:r>
          </w:p>
        </w:tc>
        <w:tc>
          <w:tcPr>
            <w:tcW w:w="1262" w:type="dxa"/>
            <w:shd w:val="clear" w:color="auto" w:fill="auto"/>
          </w:tcPr>
          <w:p w:rsidR="00C23171" w:rsidRPr="003B5EA4" w:rsidRDefault="00C23171" w:rsidP="002A5753">
            <w:pPr>
              <w:keepNext/>
              <w:keepLines/>
              <w:suppressAutoHyphens w:val="0"/>
              <w:spacing w:before="40" w:after="120"/>
            </w:pPr>
            <w:r w:rsidRPr="003B5EA4">
              <w:t>2015</w:t>
            </w:r>
          </w:p>
        </w:tc>
        <w:tc>
          <w:tcPr>
            <w:tcW w:w="10720" w:type="dxa"/>
            <w:shd w:val="clear" w:color="auto" w:fill="auto"/>
          </w:tcPr>
          <w:p w:rsidR="00C23171" w:rsidRPr="003B5EA4" w:rsidRDefault="00D61F4C" w:rsidP="00122484">
            <w:pPr>
              <w:keepNext/>
              <w:keepLines/>
              <w:suppressAutoHyphens w:val="0"/>
              <w:spacing w:before="40" w:after="120"/>
            </w:pPr>
            <w:r w:rsidRPr="003B5EA4">
              <w:rPr>
                <w:rFonts w:asciiTheme="majorBidi" w:hAnsiTheme="majorBidi" w:cstheme="majorBidi"/>
              </w:rPr>
              <w:t xml:space="preserve">Bulletin du Directeur général </w:t>
            </w:r>
            <w:r w:rsidR="00122484" w:rsidRPr="003B5EA4">
              <w:rPr>
                <w:rFonts w:asciiTheme="majorBidi" w:hAnsiTheme="majorBidi" w:cstheme="majorBidi"/>
              </w:rPr>
              <w:t>−</w:t>
            </w:r>
            <w:r w:rsidRPr="003B5EA4" w:rsidDel="008413CD">
              <w:rPr>
                <w:rFonts w:asciiTheme="majorBidi" w:hAnsiTheme="majorBidi" w:cstheme="majorBidi"/>
              </w:rPr>
              <w:t xml:space="preserve"> </w:t>
            </w:r>
            <w:r w:rsidRPr="003B5EA4">
              <w:rPr>
                <w:rFonts w:asciiTheme="majorBidi" w:hAnsiTheme="majorBidi" w:cstheme="majorBidi"/>
              </w:rPr>
              <w:t>conditions de voyage</w:t>
            </w:r>
            <w:r w:rsidR="00122484" w:rsidRPr="003B5EA4">
              <w:rPr>
                <w:rFonts w:asciiTheme="majorBidi" w:hAnsiTheme="majorBidi" w:cstheme="majorBidi"/>
              </w:rPr>
              <w:t> </w:t>
            </w:r>
            <w:r w:rsidRPr="003B5EA4">
              <w:rPr>
                <w:rFonts w:asciiTheme="majorBidi" w:hAnsiTheme="majorBidi" w:cstheme="majorBidi"/>
              </w:rPr>
              <w:t>; durée de voyage</w:t>
            </w:r>
            <w:r w:rsidR="00122484" w:rsidRPr="003B5EA4">
              <w:rPr>
                <w:rFonts w:asciiTheme="majorBidi" w:hAnsiTheme="majorBidi" w:cstheme="majorBidi"/>
              </w:rPr>
              <w:t> </w:t>
            </w:r>
            <w:r w:rsidRPr="003B5EA4">
              <w:rPr>
                <w:rFonts w:asciiTheme="majorBidi" w:hAnsiTheme="majorBidi" w:cstheme="majorBidi"/>
              </w:rPr>
              <w:t>; modifications de l</w:t>
            </w:r>
            <w:r w:rsidR="00762E0A">
              <w:rPr>
                <w:rFonts w:asciiTheme="majorBidi" w:hAnsiTheme="majorBidi" w:cstheme="majorBidi"/>
              </w:rPr>
              <w:t>’</w:t>
            </w:r>
            <w:r w:rsidRPr="003B5EA4">
              <w:rPr>
                <w:rFonts w:asciiTheme="majorBidi" w:hAnsiTheme="majorBidi" w:cstheme="majorBidi"/>
              </w:rPr>
              <w:t>itinéraire, du mode de transport ou des conditions de voyage autorisés</w:t>
            </w:r>
            <w:r w:rsidR="00122484" w:rsidRPr="003B5EA4">
              <w:rPr>
                <w:rFonts w:asciiTheme="majorBidi" w:hAnsiTheme="majorBidi" w:cstheme="majorBidi"/>
              </w:rPr>
              <w:t> </w:t>
            </w:r>
            <w:r w:rsidRPr="003B5EA4">
              <w:rPr>
                <w:rFonts w:asciiTheme="majorBidi" w:hAnsiTheme="majorBidi" w:cstheme="majorBidi"/>
              </w:rPr>
              <w:t>; procédures et dispositions des voyages</w:t>
            </w:r>
            <w:r w:rsidR="00122484" w:rsidRPr="003B5EA4">
              <w:rPr>
                <w:rFonts w:asciiTheme="majorBidi" w:hAnsiTheme="majorBidi" w:cstheme="majorBidi"/>
              </w:rPr>
              <w:t> </w:t>
            </w:r>
            <w:r w:rsidRPr="003B5EA4">
              <w:rPr>
                <w:rFonts w:asciiTheme="majorBidi" w:hAnsiTheme="majorBidi" w:cstheme="majorBidi"/>
              </w:rPr>
              <w:t>; visa de sécurité et formation</w:t>
            </w:r>
            <w:r w:rsidR="00122484" w:rsidRPr="003B5EA4">
              <w:rPr>
                <w:rFonts w:asciiTheme="majorBidi" w:hAnsiTheme="majorBidi" w:cstheme="majorBidi"/>
              </w:rPr>
              <w:t> </w:t>
            </w:r>
            <w:r w:rsidRPr="003B5EA4">
              <w:rPr>
                <w:rFonts w:asciiTheme="majorBidi" w:hAnsiTheme="majorBidi" w:cstheme="majorBidi"/>
              </w:rPr>
              <w:t>; responsabilité.</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OMT</w:t>
            </w:r>
          </w:p>
        </w:tc>
        <w:tc>
          <w:tcPr>
            <w:tcW w:w="1262" w:type="dxa"/>
            <w:shd w:val="clear" w:color="auto" w:fill="auto"/>
          </w:tcPr>
          <w:p w:rsidR="00C23171" w:rsidRPr="003B5EA4" w:rsidRDefault="00C23171" w:rsidP="002A5753">
            <w:pPr>
              <w:suppressAutoHyphens w:val="0"/>
              <w:spacing w:before="40" w:after="120"/>
            </w:pPr>
            <w:r w:rsidRPr="003B5EA4">
              <w:t>-</w:t>
            </w:r>
          </w:p>
        </w:tc>
        <w:tc>
          <w:tcPr>
            <w:tcW w:w="10720" w:type="dxa"/>
            <w:shd w:val="clear" w:color="auto" w:fill="auto"/>
          </w:tcPr>
          <w:p w:rsidR="00C23171" w:rsidRPr="003B5EA4" w:rsidRDefault="00122484" w:rsidP="002A5753">
            <w:pPr>
              <w:suppressAutoHyphens w:val="0"/>
              <w:spacing w:before="40" w:after="120"/>
            </w:pPr>
            <w:r w:rsidRPr="003B5EA4">
              <w:rPr>
                <w:rFonts w:asciiTheme="majorBidi" w:hAnsiTheme="majorBidi" w:cstheme="majorBidi"/>
              </w:rPr>
              <w:t>Pas d</w:t>
            </w:r>
            <w:r w:rsidR="00762E0A">
              <w:rPr>
                <w:rFonts w:asciiTheme="majorBidi" w:hAnsiTheme="majorBidi" w:cstheme="majorBidi"/>
              </w:rPr>
              <w:t>’</w:t>
            </w:r>
            <w:r w:rsidRPr="003B5EA4">
              <w:rPr>
                <w:rFonts w:asciiTheme="majorBidi" w:hAnsiTheme="majorBidi" w:cstheme="majorBidi"/>
              </w:rPr>
              <w:t>examen récent entrepris.</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UPU</w:t>
            </w:r>
          </w:p>
        </w:tc>
        <w:tc>
          <w:tcPr>
            <w:tcW w:w="1262" w:type="dxa"/>
            <w:shd w:val="clear" w:color="auto" w:fill="auto"/>
          </w:tcPr>
          <w:p w:rsidR="00C23171" w:rsidRPr="003B5EA4" w:rsidRDefault="00C23171" w:rsidP="002A5753">
            <w:pPr>
              <w:suppressAutoHyphens w:val="0"/>
              <w:spacing w:before="40" w:after="120"/>
            </w:pPr>
            <w:r w:rsidRPr="003B5EA4">
              <w:t>-</w:t>
            </w:r>
          </w:p>
        </w:tc>
        <w:tc>
          <w:tcPr>
            <w:tcW w:w="10720" w:type="dxa"/>
            <w:shd w:val="clear" w:color="auto" w:fill="auto"/>
          </w:tcPr>
          <w:p w:rsidR="00C23171" w:rsidRPr="003B5EA4" w:rsidRDefault="00122484" w:rsidP="002A5753">
            <w:pPr>
              <w:suppressAutoHyphens w:val="0"/>
              <w:spacing w:before="40" w:after="120"/>
            </w:pPr>
            <w:r w:rsidRPr="003B5EA4">
              <w:rPr>
                <w:rFonts w:asciiTheme="majorBidi" w:hAnsiTheme="majorBidi" w:cstheme="majorBidi"/>
              </w:rPr>
              <w:t>Pas d</w:t>
            </w:r>
            <w:r w:rsidR="00762E0A">
              <w:rPr>
                <w:rFonts w:asciiTheme="majorBidi" w:hAnsiTheme="majorBidi" w:cstheme="majorBidi"/>
              </w:rPr>
              <w:t>’</w:t>
            </w:r>
            <w:r w:rsidRPr="003B5EA4">
              <w:rPr>
                <w:rFonts w:asciiTheme="majorBidi" w:hAnsiTheme="majorBidi" w:cstheme="majorBidi"/>
              </w:rPr>
              <w:t>examen récent entrepris.</w:t>
            </w:r>
          </w:p>
        </w:tc>
      </w:tr>
      <w:tr w:rsidR="00C23171" w:rsidRPr="003B5EA4" w:rsidTr="002A5753">
        <w:trPr>
          <w:trHeight w:val="240"/>
        </w:trPr>
        <w:tc>
          <w:tcPr>
            <w:tcW w:w="1794" w:type="dxa"/>
            <w:shd w:val="clear" w:color="auto" w:fill="auto"/>
          </w:tcPr>
          <w:p w:rsidR="00C23171" w:rsidRPr="003B5EA4" w:rsidRDefault="00C23171" w:rsidP="002A5753">
            <w:pPr>
              <w:suppressAutoHyphens w:val="0"/>
              <w:spacing w:before="40" w:after="120"/>
            </w:pPr>
            <w:r w:rsidRPr="003B5EA4">
              <w:t>PMA</w:t>
            </w:r>
          </w:p>
        </w:tc>
        <w:tc>
          <w:tcPr>
            <w:tcW w:w="1262" w:type="dxa"/>
            <w:shd w:val="clear" w:color="auto" w:fill="auto"/>
          </w:tcPr>
          <w:p w:rsidR="00C23171" w:rsidRPr="003B5EA4" w:rsidRDefault="00C23171" w:rsidP="002A5753">
            <w:pPr>
              <w:suppressAutoHyphens w:val="0"/>
              <w:spacing w:before="40" w:after="120"/>
            </w:pPr>
            <w:r w:rsidRPr="003B5EA4">
              <w:t>2017</w:t>
            </w:r>
          </w:p>
        </w:tc>
        <w:tc>
          <w:tcPr>
            <w:tcW w:w="10720" w:type="dxa"/>
            <w:shd w:val="clear" w:color="auto" w:fill="auto"/>
          </w:tcPr>
          <w:p w:rsidR="00C23171" w:rsidRPr="003B5EA4" w:rsidRDefault="00122484" w:rsidP="00BF0B8F">
            <w:pPr>
              <w:suppressAutoHyphens w:val="0"/>
              <w:spacing w:before="40" w:after="120"/>
            </w:pPr>
            <w:r w:rsidRPr="003B5EA4">
              <w:rPr>
                <w:rFonts w:asciiTheme="majorBidi" w:hAnsiTheme="majorBidi" w:cstheme="majorBidi"/>
              </w:rPr>
              <w:t xml:space="preserve">Normes internes relatives aux voyages − 2017 (RMM/2017/001) ; </w:t>
            </w:r>
            <w:r w:rsidR="00BF0B8F">
              <w:rPr>
                <w:rFonts w:asciiTheme="majorBidi" w:hAnsiTheme="majorBidi" w:cstheme="majorBidi"/>
              </w:rPr>
              <w:t>r</w:t>
            </w:r>
            <w:r w:rsidRPr="003B5EA4">
              <w:rPr>
                <w:rFonts w:asciiTheme="majorBidi" w:hAnsiTheme="majorBidi" w:cstheme="majorBidi"/>
              </w:rPr>
              <w:t>évision des dispositions concernant la formule du remboursement forfaitaire applicable aux voyages autorisés (RMM/2017/002).</w:t>
            </w:r>
          </w:p>
        </w:tc>
      </w:tr>
      <w:tr w:rsidR="00C23171" w:rsidRPr="003B5EA4" w:rsidTr="002A5753">
        <w:trPr>
          <w:trHeight w:val="240"/>
        </w:trPr>
        <w:tc>
          <w:tcPr>
            <w:tcW w:w="1794" w:type="dxa"/>
            <w:vMerge w:val="restart"/>
            <w:shd w:val="clear" w:color="auto" w:fill="auto"/>
          </w:tcPr>
          <w:p w:rsidR="00C23171" w:rsidRPr="003B5EA4" w:rsidRDefault="00C23171" w:rsidP="002A5753">
            <w:pPr>
              <w:suppressAutoHyphens w:val="0"/>
              <w:spacing w:before="40" w:after="120"/>
            </w:pPr>
            <w:r w:rsidRPr="003B5EA4">
              <w:t>OMS</w:t>
            </w:r>
          </w:p>
        </w:tc>
        <w:tc>
          <w:tcPr>
            <w:tcW w:w="1262" w:type="dxa"/>
            <w:shd w:val="clear" w:color="auto" w:fill="auto"/>
          </w:tcPr>
          <w:p w:rsidR="00C23171" w:rsidRPr="003B5EA4" w:rsidRDefault="00C23171" w:rsidP="002A5753">
            <w:pPr>
              <w:suppressAutoHyphens w:val="0"/>
              <w:spacing w:before="40" w:after="120"/>
            </w:pPr>
            <w:r w:rsidRPr="003B5EA4">
              <w:t>2011</w:t>
            </w:r>
          </w:p>
        </w:tc>
        <w:tc>
          <w:tcPr>
            <w:tcW w:w="10720" w:type="dxa"/>
            <w:shd w:val="clear" w:color="auto" w:fill="auto"/>
          </w:tcPr>
          <w:p w:rsidR="00C23171" w:rsidRPr="003B5EA4" w:rsidRDefault="00122484" w:rsidP="00122484">
            <w:pPr>
              <w:suppressAutoHyphens w:val="0"/>
              <w:spacing w:before="40" w:after="120"/>
            </w:pPr>
            <w:r w:rsidRPr="003B5EA4">
              <w:rPr>
                <w:rFonts w:asciiTheme="majorBidi" w:hAnsiTheme="majorBidi" w:cstheme="majorBidi"/>
              </w:rPr>
              <w:t>Manuel électronique de l</w:t>
            </w:r>
            <w:r w:rsidR="00762E0A">
              <w:rPr>
                <w:rFonts w:asciiTheme="majorBidi" w:hAnsiTheme="majorBidi" w:cstheme="majorBidi"/>
              </w:rPr>
              <w:t>’</w:t>
            </w:r>
            <w:r w:rsidRPr="003B5EA4">
              <w:rPr>
                <w:rFonts w:asciiTheme="majorBidi" w:hAnsiTheme="majorBidi" w:cstheme="majorBidi"/>
              </w:rPr>
              <w:t>OMS − modification de la politique en matière de voyages.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val="restart"/>
            <w:shd w:val="clear" w:color="auto" w:fill="auto"/>
          </w:tcPr>
          <w:p w:rsidR="00C23171" w:rsidRPr="003B5EA4" w:rsidRDefault="00C23171" w:rsidP="002A5753">
            <w:pPr>
              <w:suppressAutoHyphens w:val="0"/>
              <w:spacing w:before="40" w:after="120"/>
            </w:pPr>
            <w:r w:rsidRPr="003B5EA4">
              <w:t>2014</w:t>
            </w:r>
          </w:p>
        </w:tc>
        <w:tc>
          <w:tcPr>
            <w:tcW w:w="10720" w:type="dxa"/>
            <w:shd w:val="clear" w:color="auto" w:fill="auto"/>
          </w:tcPr>
          <w:p w:rsidR="00C23171" w:rsidRPr="003B5EA4" w:rsidRDefault="00122484" w:rsidP="00122484">
            <w:pPr>
              <w:suppressAutoHyphens w:val="0"/>
              <w:spacing w:before="40" w:after="120"/>
            </w:pPr>
            <w:r w:rsidRPr="003B5EA4">
              <w:rPr>
                <w:rFonts w:asciiTheme="majorBidi" w:hAnsiTheme="majorBidi" w:cstheme="majorBidi"/>
              </w:rPr>
              <w:t>Voyages officiel de l</w:t>
            </w:r>
            <w:r w:rsidR="00762E0A">
              <w:rPr>
                <w:rFonts w:asciiTheme="majorBidi" w:hAnsiTheme="majorBidi" w:cstheme="majorBidi"/>
              </w:rPr>
              <w:t>’</w:t>
            </w:r>
            <w:r w:rsidRPr="003B5EA4">
              <w:rPr>
                <w:rFonts w:asciiTheme="majorBidi" w:hAnsiTheme="majorBidi" w:cstheme="majorBidi"/>
              </w:rPr>
              <w:t>OMS − approbation des demandes de voyage et vérification des demandes de remboursements des frais de voyage.</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122484" w:rsidP="00122484">
            <w:pPr>
              <w:suppressAutoHyphens w:val="0"/>
              <w:spacing w:before="40" w:after="120"/>
            </w:pPr>
            <w:r w:rsidRPr="003B5EA4">
              <w:rPr>
                <w:rFonts w:asciiTheme="majorBidi" w:hAnsiTheme="majorBidi" w:cstheme="majorBidi"/>
              </w:rPr>
              <w:t>Modifications concernant les voyages et prestations connexes pour le personnel temporaire − prime d</w:t>
            </w:r>
            <w:r w:rsidR="00762E0A">
              <w:rPr>
                <w:rFonts w:asciiTheme="majorBidi" w:hAnsiTheme="majorBidi" w:cstheme="majorBidi"/>
              </w:rPr>
              <w:t>’</w:t>
            </w:r>
            <w:r w:rsidRPr="003B5EA4">
              <w:rPr>
                <w:rFonts w:asciiTheme="majorBidi" w:hAnsiTheme="majorBidi" w:cstheme="majorBidi"/>
              </w:rPr>
              <w:t>affectation, droit à envoi d</w:t>
            </w:r>
            <w:r w:rsidR="00762E0A">
              <w:rPr>
                <w:rFonts w:asciiTheme="majorBidi" w:hAnsiTheme="majorBidi" w:cstheme="majorBidi"/>
              </w:rPr>
              <w:t>’</w:t>
            </w:r>
            <w:r w:rsidRPr="003B5EA4">
              <w:rPr>
                <w:rFonts w:asciiTheme="majorBidi" w:hAnsiTheme="majorBidi" w:cstheme="majorBidi"/>
              </w:rPr>
              <w:t xml:space="preserve">effets personnels et </w:t>
            </w:r>
            <w:r w:rsidRPr="003B5EA4">
              <w:rPr>
                <w:rStyle w:val="preferred"/>
              </w:rPr>
              <w:t>indemnité tenant lieu de remboursement des frais de déménagement.</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val="restart"/>
            <w:shd w:val="clear" w:color="auto" w:fill="auto"/>
          </w:tcPr>
          <w:p w:rsidR="00C23171" w:rsidRPr="003B5EA4" w:rsidRDefault="00C23171" w:rsidP="002A5753">
            <w:pPr>
              <w:suppressAutoHyphens w:val="0"/>
              <w:spacing w:before="40" w:after="120"/>
            </w:pPr>
            <w:r w:rsidRPr="003B5EA4">
              <w:t>2015</w:t>
            </w:r>
          </w:p>
        </w:tc>
        <w:tc>
          <w:tcPr>
            <w:tcW w:w="10720" w:type="dxa"/>
            <w:shd w:val="clear" w:color="auto" w:fill="auto"/>
          </w:tcPr>
          <w:p w:rsidR="00C23171" w:rsidRPr="003B5EA4" w:rsidRDefault="00122484" w:rsidP="002A5753">
            <w:pPr>
              <w:suppressAutoHyphens w:val="0"/>
              <w:spacing w:before="40" w:after="120"/>
            </w:pPr>
            <w:r w:rsidRPr="003B5EA4">
              <w:rPr>
                <w:rFonts w:asciiTheme="majorBidi" w:hAnsiTheme="majorBidi" w:cstheme="majorBidi"/>
              </w:rPr>
              <w:t>Modifications de la politique en matière de voyages statutaires.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122484" w:rsidP="002A5753">
            <w:pPr>
              <w:suppressAutoHyphens w:val="0"/>
              <w:spacing w:before="40" w:after="120"/>
            </w:pPr>
            <w:r w:rsidRPr="003B5EA4">
              <w:rPr>
                <w:rFonts w:asciiTheme="majorBidi" w:hAnsiTheme="majorBidi" w:cstheme="majorBidi"/>
              </w:rPr>
              <w:t>Indemnité journalière pour les consultants.</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vMerge/>
            <w:shd w:val="clear" w:color="auto" w:fill="auto"/>
          </w:tcPr>
          <w:p w:rsidR="00C23171" w:rsidRPr="003B5EA4" w:rsidRDefault="00C23171" w:rsidP="002A5753">
            <w:pPr>
              <w:suppressAutoHyphens w:val="0"/>
              <w:spacing w:before="40" w:after="120"/>
            </w:pPr>
          </w:p>
        </w:tc>
        <w:tc>
          <w:tcPr>
            <w:tcW w:w="10720" w:type="dxa"/>
            <w:shd w:val="clear" w:color="auto" w:fill="auto"/>
          </w:tcPr>
          <w:p w:rsidR="00C23171" w:rsidRPr="003B5EA4" w:rsidRDefault="00D6638C" w:rsidP="00D6638C">
            <w:pPr>
              <w:suppressAutoHyphens w:val="0"/>
              <w:spacing w:before="40" w:after="120"/>
            </w:pPr>
            <w:r w:rsidRPr="003B5EA4">
              <w:rPr>
                <w:rFonts w:asciiTheme="majorBidi" w:hAnsiTheme="majorBidi" w:cstheme="majorBidi"/>
              </w:rPr>
              <w:t>Voyages officiels − habilitation de sécurité</w:t>
            </w:r>
            <w:r w:rsidR="00D05F4A">
              <w:rPr>
                <w:rFonts w:asciiTheme="majorBidi" w:hAnsiTheme="majorBidi" w:cstheme="majorBidi"/>
              </w:rPr>
              <w:t>.</w:t>
            </w:r>
          </w:p>
        </w:tc>
      </w:tr>
      <w:tr w:rsidR="00C23171" w:rsidRPr="003B5EA4" w:rsidTr="002A5753">
        <w:trPr>
          <w:trHeight w:val="240"/>
        </w:trPr>
        <w:tc>
          <w:tcPr>
            <w:tcW w:w="1794" w:type="dxa"/>
            <w:vMerge/>
            <w:shd w:val="clear" w:color="auto" w:fill="auto"/>
          </w:tcPr>
          <w:p w:rsidR="00C23171" w:rsidRPr="003B5EA4" w:rsidRDefault="00C23171" w:rsidP="002A5753">
            <w:pPr>
              <w:suppressAutoHyphens w:val="0"/>
              <w:spacing w:before="40" w:after="120"/>
            </w:pPr>
          </w:p>
        </w:tc>
        <w:tc>
          <w:tcPr>
            <w:tcW w:w="1262" w:type="dxa"/>
            <w:shd w:val="clear" w:color="auto" w:fill="auto"/>
          </w:tcPr>
          <w:p w:rsidR="00C23171" w:rsidRPr="003B5EA4" w:rsidRDefault="00C23171" w:rsidP="002A5753">
            <w:pPr>
              <w:suppressAutoHyphens w:val="0"/>
              <w:spacing w:before="40" w:after="120"/>
            </w:pPr>
            <w:r w:rsidRPr="003B5EA4">
              <w:t>2017</w:t>
            </w:r>
          </w:p>
        </w:tc>
        <w:tc>
          <w:tcPr>
            <w:tcW w:w="10720" w:type="dxa"/>
            <w:shd w:val="clear" w:color="auto" w:fill="auto"/>
          </w:tcPr>
          <w:p w:rsidR="00C23171" w:rsidRPr="003B5EA4" w:rsidRDefault="00D6638C" w:rsidP="002A5753">
            <w:pPr>
              <w:suppressAutoHyphens w:val="0"/>
              <w:spacing w:before="40" w:after="120"/>
            </w:pPr>
            <w:r w:rsidRPr="003B5EA4">
              <w:rPr>
                <w:rFonts w:asciiTheme="majorBidi" w:hAnsiTheme="majorBidi" w:cstheme="majorBidi"/>
              </w:rPr>
              <w:t>Mise à jour de la politique des voyages.</w:t>
            </w:r>
          </w:p>
        </w:tc>
      </w:tr>
      <w:tr w:rsidR="00D6638C" w:rsidRPr="003B5EA4" w:rsidTr="002A5753">
        <w:trPr>
          <w:trHeight w:val="240"/>
        </w:trPr>
        <w:tc>
          <w:tcPr>
            <w:tcW w:w="1794" w:type="dxa"/>
            <w:shd w:val="clear" w:color="auto" w:fill="auto"/>
          </w:tcPr>
          <w:p w:rsidR="00D6638C" w:rsidRPr="003B5EA4" w:rsidRDefault="00D6638C" w:rsidP="00D6638C">
            <w:pPr>
              <w:suppressAutoHyphens w:val="0"/>
              <w:spacing w:before="40" w:after="120"/>
            </w:pPr>
            <w:r w:rsidRPr="003B5EA4">
              <w:t>OMPI</w:t>
            </w:r>
          </w:p>
        </w:tc>
        <w:tc>
          <w:tcPr>
            <w:tcW w:w="1262" w:type="dxa"/>
            <w:shd w:val="clear" w:color="auto" w:fill="auto"/>
          </w:tcPr>
          <w:p w:rsidR="00D6638C" w:rsidRPr="003B5EA4" w:rsidRDefault="00D6638C" w:rsidP="00D6638C">
            <w:pPr>
              <w:suppressAutoHyphens w:val="0"/>
              <w:spacing w:before="40" w:after="120"/>
            </w:pPr>
            <w:r w:rsidRPr="003B5EA4">
              <w:t>2013</w:t>
            </w:r>
          </w:p>
        </w:tc>
        <w:tc>
          <w:tcPr>
            <w:tcW w:w="10720" w:type="dxa"/>
            <w:shd w:val="clear" w:color="auto" w:fill="auto"/>
          </w:tcPr>
          <w:p w:rsidR="00D6638C" w:rsidRPr="003B5EA4" w:rsidRDefault="00D6638C" w:rsidP="00D6638C">
            <w:pPr>
              <w:rPr>
                <w:rFonts w:asciiTheme="majorBidi" w:hAnsiTheme="majorBidi" w:cstheme="majorBidi"/>
              </w:rPr>
            </w:pPr>
            <w:r w:rsidRPr="003B5EA4">
              <w:rPr>
                <w:rFonts w:asciiTheme="majorBidi" w:hAnsiTheme="majorBidi" w:cstheme="majorBidi"/>
              </w:rPr>
              <w:t>Règlement du personnel − politique des voyages la plus récente.</w:t>
            </w:r>
          </w:p>
        </w:tc>
      </w:tr>
      <w:tr w:rsidR="00D6638C" w:rsidRPr="003B5EA4" w:rsidTr="002A5753">
        <w:trPr>
          <w:trHeight w:val="240"/>
        </w:trPr>
        <w:tc>
          <w:tcPr>
            <w:tcW w:w="1794" w:type="dxa"/>
            <w:tcBorders>
              <w:bottom w:val="single" w:sz="12" w:space="0" w:color="auto"/>
            </w:tcBorders>
            <w:shd w:val="clear" w:color="auto" w:fill="auto"/>
          </w:tcPr>
          <w:p w:rsidR="00D6638C" w:rsidRPr="003B5EA4" w:rsidRDefault="00D6638C" w:rsidP="00D6638C">
            <w:pPr>
              <w:suppressAutoHyphens w:val="0"/>
              <w:spacing w:before="40" w:after="120"/>
            </w:pPr>
            <w:r w:rsidRPr="003B5EA4">
              <w:t>OMM</w:t>
            </w:r>
          </w:p>
        </w:tc>
        <w:tc>
          <w:tcPr>
            <w:tcW w:w="1262" w:type="dxa"/>
            <w:tcBorders>
              <w:bottom w:val="single" w:sz="12" w:space="0" w:color="auto"/>
            </w:tcBorders>
            <w:shd w:val="clear" w:color="auto" w:fill="auto"/>
          </w:tcPr>
          <w:p w:rsidR="00D6638C" w:rsidRPr="003B5EA4" w:rsidRDefault="00D6638C" w:rsidP="00D6638C">
            <w:pPr>
              <w:suppressAutoHyphens w:val="0"/>
              <w:spacing w:before="40" w:after="120"/>
            </w:pPr>
            <w:r w:rsidRPr="003B5EA4">
              <w:t>2015</w:t>
            </w:r>
          </w:p>
        </w:tc>
        <w:tc>
          <w:tcPr>
            <w:tcW w:w="10720" w:type="dxa"/>
            <w:tcBorders>
              <w:bottom w:val="single" w:sz="12" w:space="0" w:color="auto"/>
            </w:tcBorders>
            <w:shd w:val="clear" w:color="auto" w:fill="auto"/>
          </w:tcPr>
          <w:p w:rsidR="00D6638C" w:rsidRPr="003B5EA4" w:rsidRDefault="00D6638C" w:rsidP="00D6638C">
            <w:pPr>
              <w:suppressAutoHyphens w:val="0"/>
              <w:spacing w:before="40" w:after="120"/>
            </w:pPr>
            <w:r w:rsidRPr="003B5EA4">
              <w:rPr>
                <w:rFonts w:asciiTheme="majorBidi" w:hAnsiTheme="majorBidi" w:cstheme="majorBidi"/>
              </w:rPr>
              <w:t>Instructions permanentes de l</w:t>
            </w:r>
            <w:r w:rsidR="00762E0A">
              <w:rPr>
                <w:rFonts w:asciiTheme="majorBidi" w:hAnsiTheme="majorBidi" w:cstheme="majorBidi"/>
              </w:rPr>
              <w:t>’</w:t>
            </w:r>
            <w:r w:rsidRPr="003B5EA4">
              <w:rPr>
                <w:rFonts w:asciiTheme="majorBidi" w:hAnsiTheme="majorBidi" w:cstheme="majorBidi"/>
              </w:rPr>
              <w:t>OMM − politique des voyages la plus récente.</w:t>
            </w:r>
          </w:p>
        </w:tc>
      </w:tr>
    </w:tbl>
    <w:p w:rsidR="000B57A1" w:rsidRPr="003B5EA4" w:rsidRDefault="004E348E" w:rsidP="00582647">
      <w:pPr>
        <w:pStyle w:val="SingleTxtG"/>
        <w:spacing w:before="120" w:after="0"/>
        <w:ind w:left="284" w:right="284" w:firstLine="170"/>
        <w:jc w:val="left"/>
        <w:rPr>
          <w:sz w:val="18"/>
          <w:szCs w:val="18"/>
        </w:rPr>
        <w:sectPr w:rsidR="000B57A1" w:rsidRPr="003B5EA4" w:rsidSect="00A71526">
          <w:headerReference w:type="even" r:id="rId40"/>
          <w:headerReference w:type="default" r:id="rId41"/>
          <w:footerReference w:type="even" r:id="rId42"/>
          <w:footerReference w:type="default" r:id="rId43"/>
          <w:endnotePr>
            <w:numFmt w:val="decimal"/>
          </w:endnotePr>
          <w:pgSz w:w="16838" w:h="11906" w:orient="landscape" w:code="9"/>
          <w:pgMar w:top="1134" w:right="1417" w:bottom="1134" w:left="1134" w:header="567" w:footer="567" w:gutter="0"/>
          <w:cols w:space="708"/>
          <w:docGrid w:linePitch="360"/>
        </w:sectPr>
      </w:pPr>
      <w:r w:rsidRPr="003B5EA4">
        <w:rPr>
          <w:i/>
          <w:sz w:val="18"/>
          <w:szCs w:val="18"/>
        </w:rPr>
        <w:t>Source</w:t>
      </w:r>
      <w:r w:rsidR="001B0592">
        <w:rPr>
          <w:i/>
          <w:sz w:val="18"/>
          <w:szCs w:val="18"/>
        </w:rPr>
        <w:t>s</w:t>
      </w:r>
      <w:r w:rsidRPr="003B5EA4">
        <w:rPr>
          <w:i/>
          <w:sz w:val="18"/>
          <w:szCs w:val="18"/>
        </w:rPr>
        <w:t xml:space="preserve"> : </w:t>
      </w:r>
      <w:r w:rsidRPr="003B5EA4">
        <w:rPr>
          <w:sz w:val="18"/>
          <w:szCs w:val="18"/>
        </w:rPr>
        <w:t>Politiques des organismes et réponses des organismes au questionnaire</w:t>
      </w:r>
      <w:r w:rsidR="00582647" w:rsidRPr="003B5EA4">
        <w:rPr>
          <w:sz w:val="18"/>
          <w:szCs w:val="18"/>
        </w:rPr>
        <w:t>.</w:t>
      </w:r>
    </w:p>
    <w:p w:rsidR="000B57A1" w:rsidRPr="003B5EA4" w:rsidRDefault="00B1449A" w:rsidP="00876975">
      <w:pPr>
        <w:pStyle w:val="HChG"/>
        <w:spacing w:before="320" w:after="200"/>
      </w:pPr>
      <w:r w:rsidRPr="003B5EA4">
        <w:lastRenderedPageBreak/>
        <w:t>Annexe VII</w:t>
      </w:r>
    </w:p>
    <w:p w:rsidR="00B1449A" w:rsidRPr="003B5EA4" w:rsidRDefault="00B1449A" w:rsidP="00876975">
      <w:pPr>
        <w:pStyle w:val="HChG"/>
        <w:spacing w:before="320" w:after="200"/>
      </w:pPr>
      <w:r w:rsidRPr="003B5EA4">
        <w:tab/>
      </w:r>
      <w:r w:rsidRPr="003B5EA4">
        <w:tab/>
        <w:t>Indicateurs clefs de performance</w:t>
      </w:r>
    </w:p>
    <w:tbl>
      <w:tblPr>
        <w:tblW w:w="8504" w:type="dxa"/>
        <w:tblInd w:w="1134" w:type="dxa"/>
        <w:tblBorders>
          <w:top w:val="single" w:sz="4" w:space="0" w:color="auto"/>
        </w:tblBorders>
        <w:tblCellMar>
          <w:left w:w="0" w:type="dxa"/>
          <w:right w:w="0" w:type="dxa"/>
        </w:tblCellMar>
        <w:tblLook w:val="04A0" w:firstRow="1" w:lastRow="0" w:firstColumn="1" w:lastColumn="0" w:noHBand="0" w:noVBand="1"/>
      </w:tblPr>
      <w:tblGrid>
        <w:gridCol w:w="8504"/>
      </w:tblGrid>
      <w:tr w:rsidR="00B1449A" w:rsidRPr="003B5EA4" w:rsidTr="003E6B7A">
        <w:trPr>
          <w:trHeight w:val="240"/>
          <w:tblHeader/>
        </w:trPr>
        <w:tc>
          <w:tcPr>
            <w:tcW w:w="8504" w:type="dxa"/>
            <w:tcBorders>
              <w:top w:val="single" w:sz="4" w:space="0" w:color="auto"/>
              <w:bottom w:val="single" w:sz="12" w:space="0" w:color="auto"/>
            </w:tcBorders>
            <w:shd w:val="clear" w:color="auto" w:fill="auto"/>
            <w:tcMar>
              <w:right w:w="28" w:type="dxa"/>
            </w:tcMar>
            <w:vAlign w:val="bottom"/>
          </w:tcPr>
          <w:p w:rsidR="00B1449A" w:rsidRPr="003B5EA4" w:rsidRDefault="00400DCC" w:rsidP="00400DCC">
            <w:pPr>
              <w:suppressAutoHyphens w:val="0"/>
              <w:spacing w:before="80" w:after="80" w:line="200" w:lineRule="exact"/>
              <w:rPr>
                <w:i/>
                <w:sz w:val="16"/>
              </w:rPr>
            </w:pPr>
            <w:r w:rsidRPr="003B5EA4">
              <w:rPr>
                <w:bCs/>
                <w:i/>
                <w:sz w:val="16"/>
              </w:rPr>
              <w:t>Indicateurs clef</w:t>
            </w:r>
            <w:r w:rsidR="004255EC">
              <w:rPr>
                <w:bCs/>
                <w:i/>
                <w:sz w:val="16"/>
              </w:rPr>
              <w:t>s</w:t>
            </w:r>
            <w:r w:rsidRPr="003B5EA4">
              <w:rPr>
                <w:bCs/>
                <w:i/>
                <w:sz w:val="16"/>
              </w:rPr>
              <w:t xml:space="preserve"> de performance − Dépenses afférentes aux voyages en avion</w:t>
            </w:r>
          </w:p>
        </w:tc>
      </w:tr>
      <w:tr w:rsidR="00B1449A" w:rsidRPr="003B5EA4" w:rsidTr="003E6B7A">
        <w:trPr>
          <w:trHeight w:hRule="exact" w:val="113"/>
        </w:trPr>
        <w:tc>
          <w:tcPr>
            <w:tcW w:w="8504" w:type="dxa"/>
            <w:tcBorders>
              <w:top w:val="single" w:sz="12" w:space="0" w:color="auto"/>
              <w:bottom w:val="nil"/>
            </w:tcBorders>
            <w:shd w:val="clear" w:color="auto" w:fill="auto"/>
            <w:tcMar>
              <w:right w:w="28" w:type="dxa"/>
            </w:tcMar>
          </w:tcPr>
          <w:p w:rsidR="00B1449A" w:rsidRPr="003B5EA4" w:rsidRDefault="00B1449A" w:rsidP="002A5753">
            <w:pPr>
              <w:suppressAutoHyphens w:val="0"/>
              <w:spacing w:before="40" w:after="120"/>
            </w:pPr>
          </w:p>
        </w:tc>
      </w:tr>
      <w:tr w:rsidR="00B1449A" w:rsidRPr="003B5EA4" w:rsidTr="003E6B7A">
        <w:trPr>
          <w:trHeight w:val="240"/>
        </w:trPr>
        <w:tc>
          <w:tcPr>
            <w:tcW w:w="8504" w:type="dxa"/>
            <w:tcBorders>
              <w:top w:val="nil"/>
            </w:tcBorders>
            <w:shd w:val="clear" w:color="auto" w:fill="auto"/>
            <w:tcMar>
              <w:right w:w="28" w:type="dxa"/>
            </w:tcMar>
          </w:tcPr>
          <w:p w:rsidR="00B1449A" w:rsidRPr="003B5EA4" w:rsidRDefault="004926C8" w:rsidP="002A5753">
            <w:pPr>
              <w:suppressAutoHyphens w:val="0"/>
              <w:spacing w:before="40" w:after="120"/>
            </w:pPr>
            <w:r w:rsidRPr="003B5EA4">
              <w:rPr>
                <w:bCs/>
              </w:rPr>
              <w:t>Conformité avec la procédure d</w:t>
            </w:r>
            <w:r w:rsidR="00762E0A">
              <w:rPr>
                <w:bCs/>
              </w:rPr>
              <w:t>’</w:t>
            </w:r>
            <w:r w:rsidRPr="003B5EA4">
              <w:rPr>
                <w:bCs/>
              </w:rPr>
              <w:t>autorisation des demandes de voyage anticipées</w:t>
            </w:r>
          </w:p>
        </w:tc>
      </w:tr>
      <w:tr w:rsidR="00B1449A" w:rsidRPr="003B5EA4" w:rsidTr="003E6B7A">
        <w:trPr>
          <w:trHeight w:val="240"/>
        </w:trPr>
        <w:tc>
          <w:tcPr>
            <w:tcW w:w="8504" w:type="dxa"/>
            <w:shd w:val="clear" w:color="auto" w:fill="auto"/>
            <w:tcMar>
              <w:right w:w="28" w:type="dxa"/>
            </w:tcMar>
          </w:tcPr>
          <w:p w:rsidR="00B1449A" w:rsidRPr="003B5EA4" w:rsidRDefault="004A2920" w:rsidP="002A5753">
            <w:pPr>
              <w:suppressAutoHyphens w:val="0"/>
              <w:spacing w:before="40" w:after="120"/>
            </w:pPr>
            <w:r w:rsidRPr="003B5EA4">
              <w:rPr>
                <w:bCs/>
                <w:color w:val="000000" w:themeColor="text1"/>
              </w:rPr>
              <w:t>Conformité avec les plafonds de dépenses</w:t>
            </w:r>
          </w:p>
        </w:tc>
      </w:tr>
      <w:tr w:rsidR="00B1449A" w:rsidRPr="003B5EA4" w:rsidTr="003E6B7A">
        <w:trPr>
          <w:trHeight w:val="240"/>
        </w:trPr>
        <w:tc>
          <w:tcPr>
            <w:tcW w:w="8504" w:type="dxa"/>
            <w:shd w:val="clear" w:color="auto" w:fill="auto"/>
            <w:tcMar>
              <w:right w:w="28" w:type="dxa"/>
            </w:tcMar>
          </w:tcPr>
          <w:p w:rsidR="00B1449A" w:rsidRPr="003B5EA4" w:rsidRDefault="004A2920" w:rsidP="002A5753">
            <w:pPr>
              <w:suppressAutoHyphens w:val="0"/>
              <w:spacing w:before="40" w:after="120"/>
            </w:pPr>
            <w:r w:rsidRPr="003B5EA4">
              <w:t>Pourcentage de billets achetés conformément à la politique d</w:t>
            </w:r>
            <w:r w:rsidR="00762E0A">
              <w:t>’</w:t>
            </w:r>
            <w:r w:rsidRPr="003B5EA4">
              <w:t>achat anticipé</w:t>
            </w:r>
          </w:p>
        </w:tc>
      </w:tr>
      <w:tr w:rsidR="00B1449A" w:rsidRPr="003B5EA4" w:rsidTr="003E6B7A">
        <w:trPr>
          <w:trHeight w:val="240"/>
        </w:trPr>
        <w:tc>
          <w:tcPr>
            <w:tcW w:w="8504" w:type="dxa"/>
            <w:shd w:val="clear" w:color="auto" w:fill="auto"/>
            <w:tcMar>
              <w:right w:w="28" w:type="dxa"/>
            </w:tcMar>
          </w:tcPr>
          <w:p w:rsidR="00B1449A" w:rsidRPr="003B5EA4" w:rsidRDefault="004A2920" w:rsidP="002A5753">
            <w:pPr>
              <w:suppressAutoHyphens w:val="0"/>
              <w:spacing w:before="40" w:after="120"/>
            </w:pPr>
            <w:r w:rsidRPr="003B5EA4">
              <w:rPr>
                <w:bCs/>
                <w:color w:val="000000" w:themeColor="text1"/>
              </w:rPr>
              <w:t>Prix moyen du billet d</w:t>
            </w:r>
            <w:r w:rsidR="00762E0A">
              <w:rPr>
                <w:bCs/>
                <w:color w:val="000000" w:themeColor="text1"/>
              </w:rPr>
              <w:t>’</w:t>
            </w:r>
            <w:r w:rsidRPr="003B5EA4">
              <w:rPr>
                <w:bCs/>
                <w:color w:val="000000" w:themeColor="text1"/>
              </w:rPr>
              <w:t>avion en comparaison avec l</w:t>
            </w:r>
            <w:r w:rsidR="00762E0A">
              <w:rPr>
                <w:bCs/>
                <w:color w:val="000000" w:themeColor="text1"/>
              </w:rPr>
              <w:t>’</w:t>
            </w:r>
            <w:r w:rsidRPr="003B5EA4">
              <w:rPr>
                <w:bCs/>
                <w:color w:val="000000" w:themeColor="text1"/>
              </w:rPr>
              <w:t>année précédente et le tarif de l</w:t>
            </w:r>
            <w:r w:rsidR="00762E0A">
              <w:rPr>
                <w:bCs/>
                <w:color w:val="000000" w:themeColor="text1"/>
              </w:rPr>
              <w:t>’</w:t>
            </w:r>
            <w:r w:rsidRPr="003B5EA4">
              <w:rPr>
                <w:bCs/>
                <w:color w:val="000000" w:themeColor="text1"/>
              </w:rPr>
              <w:t>IATA</w:t>
            </w:r>
          </w:p>
        </w:tc>
      </w:tr>
      <w:tr w:rsidR="00B1449A" w:rsidRPr="003B5EA4" w:rsidTr="003E6B7A">
        <w:trPr>
          <w:trHeight w:val="240"/>
        </w:trPr>
        <w:tc>
          <w:tcPr>
            <w:tcW w:w="8504" w:type="dxa"/>
            <w:shd w:val="clear" w:color="auto" w:fill="auto"/>
            <w:tcMar>
              <w:right w:w="28" w:type="dxa"/>
            </w:tcMar>
          </w:tcPr>
          <w:p w:rsidR="00B1449A" w:rsidRPr="003B5EA4" w:rsidRDefault="004A2920" w:rsidP="002A5753">
            <w:pPr>
              <w:suppressAutoHyphens w:val="0"/>
              <w:spacing w:before="40" w:after="120"/>
            </w:pPr>
            <w:r w:rsidRPr="003B5EA4">
              <w:t>Évitement total de coûts par rapport aux tarifs publics en faisant appel aux tarifs préférentiels négociés (montant et pourcentage)</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rPr>
                <w:spacing w:val="-2"/>
              </w:rPr>
            </w:pPr>
            <w:r w:rsidRPr="003B5EA4">
              <w:t>Évitement de coûts par rapport aux tarifs publics, ventilé</w:t>
            </w:r>
            <w:r w:rsidR="00E32E90">
              <w:t>s</w:t>
            </w:r>
            <w:r w:rsidRPr="003B5EA4">
              <w:t xml:space="preserve"> par classe de voyage, compagnie aérienne et itinéraire (vol départ, vol arrivée, vol réseau)</w:t>
            </w:r>
          </w:p>
        </w:tc>
      </w:tr>
      <w:tr w:rsidR="00B1449A" w:rsidRPr="003B5EA4" w:rsidTr="003E6B7A">
        <w:trPr>
          <w:trHeight w:val="240"/>
        </w:trPr>
        <w:tc>
          <w:tcPr>
            <w:tcW w:w="8504" w:type="dxa"/>
            <w:shd w:val="clear" w:color="auto" w:fill="auto"/>
            <w:tcMar>
              <w:right w:w="28" w:type="dxa"/>
            </w:tcMar>
          </w:tcPr>
          <w:p w:rsidR="00B1449A" w:rsidRPr="003B5EA4" w:rsidRDefault="004A2920" w:rsidP="002A5753">
            <w:pPr>
              <w:suppressAutoHyphens w:val="0"/>
              <w:spacing w:before="40" w:after="120"/>
            </w:pPr>
            <w:r w:rsidRPr="003B5EA4">
              <w:rPr>
                <w:bCs/>
                <w:color w:val="000000" w:themeColor="text1"/>
              </w:rPr>
              <w:t>Utilisation des compagnies aériennes avec lesquelles des accords ont été conclus</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rPr>
                <w:bCs/>
                <w:color w:val="000000" w:themeColor="text1"/>
              </w:rPr>
              <w:t>Échanges de billets et suivi des remboursements</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rPr>
                <w:bCs/>
                <w:color w:val="000000" w:themeColor="text1"/>
              </w:rPr>
              <w:t>Conformité avec la règle des tarifs les plus bas</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rPr>
                <w:bCs/>
                <w:color w:val="000000" w:themeColor="text1"/>
              </w:rPr>
              <w:t>Conformité avec les dispositions régissant la classe de voyage</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rPr>
                <w:bCs/>
                <w:color w:val="000000" w:themeColor="text1"/>
              </w:rPr>
              <w:t>Prix moyen du billet d</w:t>
            </w:r>
            <w:r w:rsidR="00762E0A">
              <w:rPr>
                <w:bCs/>
                <w:color w:val="000000" w:themeColor="text1"/>
              </w:rPr>
              <w:t>’</w:t>
            </w:r>
            <w:r w:rsidRPr="003B5EA4">
              <w:rPr>
                <w:bCs/>
                <w:color w:val="000000" w:themeColor="text1"/>
              </w:rPr>
              <w:t>avion en fonction de l</w:t>
            </w:r>
            <w:r w:rsidR="00762E0A">
              <w:rPr>
                <w:bCs/>
                <w:color w:val="000000" w:themeColor="text1"/>
              </w:rPr>
              <w:t>’</w:t>
            </w:r>
            <w:r w:rsidRPr="003B5EA4">
              <w:rPr>
                <w:bCs/>
                <w:color w:val="000000" w:themeColor="text1"/>
              </w:rPr>
              <w:t>itinéraire et de la compagnie aérienne</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t>Dépense</w:t>
            </w:r>
            <w:r w:rsidR="00E32E90">
              <w:t>s</w:t>
            </w:r>
            <w:r w:rsidRPr="003B5EA4">
              <w:t xml:space="preserve"> totale</w:t>
            </w:r>
            <w:r w:rsidR="00E32E90">
              <w:t>s</w:t>
            </w:r>
            <w:r w:rsidRPr="003B5EA4">
              <w:t xml:space="preserve"> nettes consacrées aux itinéraires les plus utilisés</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rPr>
                <w:spacing w:val="-4"/>
              </w:rPr>
            </w:pPr>
            <w:r w:rsidRPr="003B5EA4">
              <w:rPr>
                <w:spacing w:val="-4"/>
              </w:rPr>
              <w:t>Prix moyen d</w:t>
            </w:r>
            <w:r w:rsidR="00762E0A">
              <w:rPr>
                <w:spacing w:val="-4"/>
              </w:rPr>
              <w:t>’</w:t>
            </w:r>
            <w:r w:rsidRPr="003B5EA4">
              <w:rPr>
                <w:spacing w:val="-4"/>
              </w:rPr>
              <w:t>un billet d</w:t>
            </w:r>
            <w:r w:rsidR="00762E0A">
              <w:rPr>
                <w:spacing w:val="-4"/>
              </w:rPr>
              <w:t>’</w:t>
            </w:r>
            <w:r w:rsidRPr="003B5EA4">
              <w:rPr>
                <w:spacing w:val="-4"/>
              </w:rPr>
              <w:t>avion en classe économique et en classe affaires pour les itinéraires les plus utilisés</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t>Dépenses totales en billets d</w:t>
            </w:r>
            <w:r w:rsidR="00762E0A">
              <w:t>’</w:t>
            </w:r>
            <w:r w:rsidRPr="003B5EA4">
              <w:t>avion, brutes et nettes, ventilées par classe de voyage, catégorie de voyage (intercontinental) et compagnie aérienne</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rPr>
                <w:bCs/>
                <w:color w:val="000000" w:themeColor="text1"/>
              </w:rPr>
              <w:t>Dépenses engagées au titre des billets d</w:t>
            </w:r>
            <w:r w:rsidR="00762E0A">
              <w:rPr>
                <w:bCs/>
                <w:color w:val="000000" w:themeColor="text1"/>
              </w:rPr>
              <w:t>’</w:t>
            </w:r>
            <w:r w:rsidRPr="003B5EA4">
              <w:rPr>
                <w:bCs/>
                <w:color w:val="000000" w:themeColor="text1"/>
              </w:rPr>
              <w:t>avion hors politique des voyages</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t>Pourcentage des frais de voyage et des frais d</w:t>
            </w:r>
            <w:r w:rsidR="00762E0A">
              <w:t>’</w:t>
            </w:r>
            <w:r w:rsidRPr="003B5EA4">
              <w:t>agence de voyage</w:t>
            </w:r>
            <w:r w:rsidR="00E32E90">
              <w:t>s</w:t>
            </w:r>
            <w:r w:rsidRPr="003B5EA4">
              <w:t xml:space="preserve"> par rapport aux dépenses totales engagées au titre des voyages en avion</w:t>
            </w:r>
          </w:p>
        </w:tc>
      </w:tr>
      <w:tr w:rsidR="00B1449A" w:rsidRPr="003B5EA4" w:rsidTr="003E6B7A">
        <w:trPr>
          <w:trHeight w:val="240"/>
        </w:trPr>
        <w:tc>
          <w:tcPr>
            <w:tcW w:w="8504" w:type="dxa"/>
            <w:shd w:val="clear" w:color="auto" w:fill="auto"/>
            <w:tcMar>
              <w:right w:w="28" w:type="dxa"/>
            </w:tcMar>
          </w:tcPr>
          <w:p w:rsidR="00B1449A" w:rsidRPr="003B5EA4" w:rsidRDefault="003E6B7A" w:rsidP="002A5753">
            <w:pPr>
              <w:suppressAutoHyphens w:val="0"/>
              <w:spacing w:before="40" w:after="120"/>
            </w:pPr>
            <w:r w:rsidRPr="003B5EA4">
              <w:rPr>
                <w:bCs/>
                <w:color w:val="000000" w:themeColor="text1"/>
              </w:rPr>
              <w:t>Utilisation des compagnies à bas prix</w:t>
            </w:r>
          </w:p>
        </w:tc>
      </w:tr>
      <w:tr w:rsidR="00B1449A" w:rsidRPr="003B5EA4" w:rsidTr="003E6B7A">
        <w:trPr>
          <w:trHeight w:val="240"/>
        </w:trPr>
        <w:tc>
          <w:tcPr>
            <w:tcW w:w="8504" w:type="dxa"/>
            <w:tcBorders>
              <w:bottom w:val="single" w:sz="4" w:space="0" w:color="auto"/>
            </w:tcBorders>
            <w:shd w:val="clear" w:color="auto" w:fill="auto"/>
            <w:tcMar>
              <w:right w:w="28" w:type="dxa"/>
            </w:tcMar>
          </w:tcPr>
          <w:p w:rsidR="00B1449A" w:rsidRPr="003B5EA4" w:rsidRDefault="003E6B7A" w:rsidP="002A5753">
            <w:pPr>
              <w:suppressAutoHyphens w:val="0"/>
              <w:spacing w:before="40" w:after="120"/>
            </w:pPr>
            <w:r w:rsidRPr="003B5EA4">
              <w:rPr>
                <w:bCs/>
              </w:rPr>
              <w:t>Taux d</w:t>
            </w:r>
            <w:r w:rsidR="00762E0A">
              <w:rPr>
                <w:bCs/>
              </w:rPr>
              <w:t>’</w:t>
            </w:r>
            <w:r w:rsidRPr="003B5EA4">
              <w:rPr>
                <w:bCs/>
              </w:rPr>
              <w:t>adoption des outils de réservation en ligne</w:t>
            </w:r>
          </w:p>
        </w:tc>
      </w:tr>
    </w:tbl>
    <w:p w:rsidR="004926C8" w:rsidRPr="003B5EA4" w:rsidRDefault="004926C8" w:rsidP="004926C8"/>
    <w:tbl>
      <w:tblPr>
        <w:tblW w:w="8504" w:type="dxa"/>
        <w:tblInd w:w="1134" w:type="dxa"/>
        <w:tblBorders>
          <w:top w:val="single" w:sz="4" w:space="0" w:color="auto"/>
        </w:tblBorders>
        <w:tblCellMar>
          <w:left w:w="0" w:type="dxa"/>
        </w:tblCellMar>
        <w:tblLook w:val="04A0" w:firstRow="1" w:lastRow="0" w:firstColumn="1" w:lastColumn="0" w:noHBand="0" w:noVBand="1"/>
      </w:tblPr>
      <w:tblGrid>
        <w:gridCol w:w="8504"/>
      </w:tblGrid>
      <w:tr w:rsidR="004926C8" w:rsidRPr="003B5EA4" w:rsidTr="002A5753">
        <w:trPr>
          <w:trHeight w:val="240"/>
        </w:trPr>
        <w:tc>
          <w:tcPr>
            <w:tcW w:w="8504" w:type="dxa"/>
            <w:tcBorders>
              <w:top w:val="single" w:sz="4" w:space="0" w:color="auto"/>
              <w:bottom w:val="single" w:sz="12" w:space="0" w:color="auto"/>
            </w:tcBorders>
            <w:shd w:val="clear" w:color="auto" w:fill="auto"/>
            <w:tcMar>
              <w:right w:w="28" w:type="dxa"/>
            </w:tcMar>
          </w:tcPr>
          <w:p w:rsidR="004926C8" w:rsidRPr="003B5EA4" w:rsidRDefault="003E6B7A" w:rsidP="003E6B7A">
            <w:pPr>
              <w:suppressAutoHyphens w:val="0"/>
              <w:spacing w:before="80" w:after="80" w:line="200" w:lineRule="exact"/>
            </w:pPr>
            <w:r w:rsidRPr="003B5EA4">
              <w:rPr>
                <w:bCs/>
                <w:i/>
                <w:sz w:val="16"/>
              </w:rPr>
              <w:t>Indicateurs clef</w:t>
            </w:r>
            <w:r w:rsidR="00E32E90">
              <w:rPr>
                <w:bCs/>
                <w:i/>
                <w:sz w:val="16"/>
              </w:rPr>
              <w:t>s</w:t>
            </w:r>
            <w:r w:rsidRPr="003B5EA4">
              <w:rPr>
                <w:bCs/>
                <w:i/>
                <w:sz w:val="16"/>
              </w:rPr>
              <w:t xml:space="preserve"> de performance − Performance des sociétés de gestion de voyages</w:t>
            </w:r>
          </w:p>
        </w:tc>
      </w:tr>
      <w:tr w:rsidR="004926C8" w:rsidRPr="003B5EA4" w:rsidTr="002A5753">
        <w:trPr>
          <w:trHeight w:hRule="exact" w:val="113"/>
        </w:trPr>
        <w:tc>
          <w:tcPr>
            <w:tcW w:w="8504" w:type="dxa"/>
            <w:tcBorders>
              <w:top w:val="single" w:sz="12" w:space="0" w:color="auto"/>
              <w:bottom w:val="nil"/>
            </w:tcBorders>
            <w:shd w:val="clear" w:color="auto" w:fill="auto"/>
            <w:tcMar>
              <w:right w:w="28" w:type="dxa"/>
            </w:tcMar>
          </w:tcPr>
          <w:p w:rsidR="004926C8" w:rsidRPr="003B5EA4" w:rsidRDefault="004926C8" w:rsidP="002A5753">
            <w:pPr>
              <w:suppressAutoHyphens w:val="0"/>
              <w:spacing w:before="40" w:after="120"/>
            </w:pPr>
          </w:p>
        </w:tc>
      </w:tr>
      <w:tr w:rsidR="004926C8" w:rsidRPr="003B5EA4" w:rsidTr="002A5753">
        <w:trPr>
          <w:trHeight w:val="240"/>
        </w:trPr>
        <w:tc>
          <w:tcPr>
            <w:tcW w:w="8504" w:type="dxa"/>
            <w:tcBorders>
              <w:top w:val="nil"/>
            </w:tcBorders>
            <w:shd w:val="clear" w:color="auto" w:fill="auto"/>
            <w:tcMar>
              <w:right w:w="28" w:type="dxa"/>
            </w:tcMar>
          </w:tcPr>
          <w:p w:rsidR="004926C8" w:rsidRPr="003B5EA4" w:rsidRDefault="003E6B7A" w:rsidP="002A5753">
            <w:pPr>
              <w:suppressAutoHyphens w:val="0"/>
              <w:spacing w:before="40" w:after="120"/>
            </w:pPr>
            <w:r w:rsidRPr="003B5EA4">
              <w:t>Délai moyen de traitement des voyages officiels et statutaires</w:t>
            </w:r>
          </w:p>
        </w:tc>
      </w:tr>
      <w:tr w:rsidR="004926C8" w:rsidRPr="003B5EA4" w:rsidTr="002A5753">
        <w:trPr>
          <w:trHeight w:val="240"/>
        </w:trPr>
        <w:tc>
          <w:tcPr>
            <w:tcW w:w="8504" w:type="dxa"/>
            <w:shd w:val="clear" w:color="auto" w:fill="auto"/>
            <w:tcMar>
              <w:right w:w="28" w:type="dxa"/>
            </w:tcMar>
          </w:tcPr>
          <w:p w:rsidR="004926C8" w:rsidRPr="003B5EA4" w:rsidRDefault="003E6B7A" w:rsidP="002A5753">
            <w:pPr>
              <w:suppressAutoHyphens w:val="0"/>
              <w:spacing w:before="40" w:after="120"/>
            </w:pPr>
            <w:r w:rsidRPr="003B5EA4">
              <w:t>Pourcentage de voyages statutaires traités en moins de 48 heures</w:t>
            </w:r>
          </w:p>
        </w:tc>
      </w:tr>
      <w:tr w:rsidR="004926C8" w:rsidRPr="003B5EA4" w:rsidTr="002A5753">
        <w:trPr>
          <w:trHeight w:val="240"/>
        </w:trPr>
        <w:tc>
          <w:tcPr>
            <w:tcW w:w="8504" w:type="dxa"/>
            <w:shd w:val="clear" w:color="auto" w:fill="auto"/>
            <w:tcMar>
              <w:right w:w="28" w:type="dxa"/>
            </w:tcMar>
          </w:tcPr>
          <w:p w:rsidR="004926C8" w:rsidRPr="003B5EA4" w:rsidRDefault="003E6B7A" w:rsidP="002A5753">
            <w:pPr>
              <w:suppressAutoHyphens w:val="0"/>
              <w:spacing w:before="40" w:after="120"/>
            </w:pPr>
            <w:r w:rsidRPr="003B5EA4">
              <w:t>Réactivité des sociétés de gestion de voyages : pourcentage de courriels ayant reçu une réponse dans un délai de 6 heures ouvrables</w:t>
            </w:r>
          </w:p>
        </w:tc>
      </w:tr>
      <w:tr w:rsidR="004926C8" w:rsidRPr="003B5EA4" w:rsidTr="002A5753">
        <w:trPr>
          <w:trHeight w:val="240"/>
        </w:trPr>
        <w:tc>
          <w:tcPr>
            <w:tcW w:w="8504" w:type="dxa"/>
            <w:shd w:val="clear" w:color="auto" w:fill="auto"/>
            <w:tcMar>
              <w:right w:w="28" w:type="dxa"/>
            </w:tcMar>
          </w:tcPr>
          <w:p w:rsidR="004926C8" w:rsidRPr="003B5EA4" w:rsidRDefault="003E6B7A" w:rsidP="002A5753">
            <w:pPr>
              <w:suppressAutoHyphens w:val="0"/>
              <w:spacing w:before="40" w:after="120"/>
            </w:pPr>
            <w:r w:rsidRPr="003B5EA4">
              <w:t>Pourcentage de voyages officiels et statutaires traités en moins de 24 heures</w:t>
            </w:r>
          </w:p>
        </w:tc>
      </w:tr>
      <w:tr w:rsidR="004926C8" w:rsidRPr="003B5EA4" w:rsidTr="002A5753">
        <w:trPr>
          <w:trHeight w:val="240"/>
        </w:trPr>
        <w:tc>
          <w:tcPr>
            <w:tcW w:w="8504" w:type="dxa"/>
            <w:shd w:val="clear" w:color="auto" w:fill="auto"/>
            <w:tcMar>
              <w:right w:w="28" w:type="dxa"/>
            </w:tcMar>
          </w:tcPr>
          <w:p w:rsidR="004926C8" w:rsidRPr="003B5EA4" w:rsidRDefault="003E6B7A" w:rsidP="002A5753">
            <w:pPr>
              <w:suppressAutoHyphens w:val="0"/>
              <w:spacing w:before="40" w:after="120"/>
            </w:pPr>
            <w:r w:rsidRPr="003B5EA4">
              <w:t>Réactivité des sociétés de gestion de voyages : pourcentage de réponses aux appels téléphoniques dans un délai de cinq sonneries ou 20 secondes</w:t>
            </w:r>
          </w:p>
        </w:tc>
      </w:tr>
      <w:tr w:rsidR="004926C8" w:rsidRPr="003B5EA4" w:rsidTr="002A5753">
        <w:trPr>
          <w:trHeight w:val="240"/>
        </w:trPr>
        <w:tc>
          <w:tcPr>
            <w:tcW w:w="8504" w:type="dxa"/>
            <w:tcBorders>
              <w:bottom w:val="single" w:sz="12" w:space="0" w:color="auto"/>
            </w:tcBorders>
            <w:shd w:val="clear" w:color="auto" w:fill="auto"/>
            <w:tcMar>
              <w:right w:w="28" w:type="dxa"/>
            </w:tcMar>
          </w:tcPr>
          <w:p w:rsidR="004926C8" w:rsidRPr="003B5EA4" w:rsidRDefault="003E6B7A" w:rsidP="003E6B7A">
            <w:pPr>
              <w:suppressAutoHyphens w:val="0"/>
              <w:spacing w:before="40" w:after="120"/>
              <w:rPr>
                <w:spacing w:val="-3"/>
              </w:rPr>
            </w:pPr>
            <w:r w:rsidRPr="003B5EA4">
              <w:rPr>
                <w:spacing w:val="-3"/>
              </w:rPr>
              <w:t>Qualité du service des sociétés de gestion de voyages : satisfaction globale moyenne sur une échelle de 0 à 10</w:t>
            </w:r>
          </w:p>
        </w:tc>
      </w:tr>
    </w:tbl>
    <w:p w:rsidR="002A5753" w:rsidRPr="003B5EA4" w:rsidRDefault="009841DE" w:rsidP="009841DE">
      <w:pPr>
        <w:pStyle w:val="SingleTxtG"/>
        <w:spacing w:before="120"/>
        <w:ind w:firstLine="170"/>
        <w:jc w:val="left"/>
        <w:rPr>
          <w:sz w:val="18"/>
        </w:rPr>
        <w:sectPr w:rsidR="002A5753" w:rsidRPr="003B5EA4" w:rsidSect="000B57A1">
          <w:headerReference w:type="even" r:id="rId44"/>
          <w:headerReference w:type="default" r:id="rId45"/>
          <w:footerReference w:type="even" r:id="rId46"/>
          <w:footerReference w:type="default" r:id="rId47"/>
          <w:endnotePr>
            <w:numFmt w:val="decimal"/>
          </w:endnotePr>
          <w:pgSz w:w="11906" w:h="16838" w:code="9"/>
          <w:pgMar w:top="1417" w:right="1134" w:bottom="1134" w:left="1134" w:header="850" w:footer="567" w:gutter="0"/>
          <w:cols w:space="708"/>
          <w:docGrid w:linePitch="360"/>
        </w:sectPr>
      </w:pPr>
      <w:r w:rsidRPr="003B5EA4">
        <w:rPr>
          <w:i/>
          <w:sz w:val="18"/>
        </w:rPr>
        <w:t>Source </w:t>
      </w:r>
      <w:r w:rsidR="004926C8" w:rsidRPr="003B5EA4">
        <w:rPr>
          <w:sz w:val="18"/>
        </w:rPr>
        <w:t xml:space="preserve">: </w:t>
      </w:r>
      <w:r w:rsidRPr="003B5EA4">
        <w:rPr>
          <w:sz w:val="18"/>
        </w:rPr>
        <w:t>Réponses des organismes au questionnaire.</w:t>
      </w:r>
    </w:p>
    <w:p w:rsidR="00B1449A" w:rsidRPr="003B5EA4" w:rsidRDefault="002A5753" w:rsidP="002A5753">
      <w:pPr>
        <w:pStyle w:val="HChG"/>
      </w:pPr>
      <w:r w:rsidRPr="003B5EA4">
        <w:lastRenderedPageBreak/>
        <w:t>Annexe VIII</w:t>
      </w:r>
    </w:p>
    <w:p w:rsidR="002A5753" w:rsidRPr="003B5EA4" w:rsidRDefault="002A5753" w:rsidP="002A5753">
      <w:pPr>
        <w:pStyle w:val="HChG"/>
      </w:pPr>
      <w:r w:rsidRPr="003B5EA4">
        <w:tab/>
      </w:r>
      <w:r w:rsidRPr="003B5EA4">
        <w:tab/>
        <w:t>Politiques relatives à la réservation et à l</w:t>
      </w:r>
      <w:r w:rsidR="00762E0A">
        <w:t>’</w:t>
      </w:r>
      <w:r w:rsidRPr="003B5EA4">
        <w:t>achat anticipés des billets d</w:t>
      </w:r>
      <w:r w:rsidR="00762E0A">
        <w:t>’</w:t>
      </w:r>
      <w:r w:rsidRPr="003B5EA4">
        <w:t>avion</w:t>
      </w:r>
    </w:p>
    <w:tbl>
      <w:tblPr>
        <w:tblW w:w="13776" w:type="dxa"/>
        <w:tblInd w:w="284" w:type="dxa"/>
        <w:tblBorders>
          <w:top w:val="single" w:sz="4" w:space="0" w:color="auto"/>
        </w:tblBorders>
        <w:tblCellMar>
          <w:left w:w="0" w:type="dxa"/>
          <w:right w:w="0" w:type="dxa"/>
        </w:tblCellMar>
        <w:tblLook w:val="04A0" w:firstRow="1" w:lastRow="0" w:firstColumn="1" w:lastColumn="0" w:noHBand="0" w:noVBand="1"/>
      </w:tblPr>
      <w:tblGrid>
        <w:gridCol w:w="1714"/>
        <w:gridCol w:w="12062"/>
      </w:tblGrid>
      <w:tr w:rsidR="0060457F" w:rsidRPr="003B5EA4" w:rsidTr="002A5753">
        <w:trPr>
          <w:trHeight w:val="240"/>
        </w:trPr>
        <w:tc>
          <w:tcPr>
            <w:tcW w:w="1714" w:type="dxa"/>
            <w:tcBorders>
              <w:bottom w:val="nil"/>
            </w:tcBorders>
            <w:shd w:val="clear" w:color="auto" w:fill="auto"/>
          </w:tcPr>
          <w:p w:rsidR="0060457F" w:rsidRPr="003B5EA4" w:rsidRDefault="0060457F" w:rsidP="0060457F">
            <w:pPr>
              <w:suppressAutoHyphens w:val="0"/>
              <w:spacing w:before="40" w:after="120"/>
            </w:pPr>
            <w:r w:rsidRPr="003B5EA4">
              <w:t>AIEA</w:t>
            </w:r>
          </w:p>
        </w:tc>
        <w:tc>
          <w:tcPr>
            <w:tcW w:w="12062" w:type="dxa"/>
            <w:tcBorders>
              <w:bottom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Les réservations et émissions des billets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 xml:space="preserve">avion doivent être faites au moins 14 jours avant le départ, faute de quoi une justification appropriée doit être saisie dans le </w:t>
            </w:r>
            <w:r w:rsidRPr="003B5EA4">
              <w:rPr>
                <w:bCs/>
              </w:rPr>
              <w:t>module voyage du progic</w:t>
            </w:r>
            <w:r w:rsidRPr="003B5EA4">
              <w:t>iel</w:t>
            </w:r>
            <w:r w:rsidRPr="003B5EA4">
              <w:rPr>
                <w:bCs/>
              </w:rPr>
              <w:t xml:space="preserve"> de gestion intégré</w:t>
            </w:r>
            <w:r w:rsidRPr="003B5EA4">
              <w:rPr>
                <w:color w:val="000000"/>
                <w:lang w:eastAsia="zh-CN"/>
              </w:rPr>
              <w:t xml:space="preserve"> </w:t>
            </w:r>
            <w:r w:rsidRPr="003B5EA4">
              <w:rPr>
                <w:rFonts w:asciiTheme="majorBidi" w:hAnsiTheme="majorBidi" w:cstheme="majorBidi"/>
                <w:color w:val="000000"/>
                <w:lang w:eastAsia="zh-CN"/>
              </w:rPr>
              <w:t>par le directeur de programme</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Manuel administratif (</w:t>
            </w:r>
            <w:r w:rsidRPr="003B5EA4">
              <w:rPr>
                <w:rFonts w:asciiTheme="majorBidi" w:hAnsiTheme="majorBidi" w:cstheme="majorBidi"/>
              </w:rPr>
              <w:t>AM.II/9), part. II, sect. 9, par. 9 (administration et bien-être du personnel − procédures de voyage).</w:t>
            </w:r>
          </w:p>
        </w:tc>
      </w:tr>
      <w:tr w:rsidR="002A5753" w:rsidRPr="003B5EA4" w:rsidTr="002A5753">
        <w:trPr>
          <w:trHeight w:val="240"/>
        </w:trPr>
        <w:tc>
          <w:tcPr>
            <w:tcW w:w="1714" w:type="dxa"/>
            <w:tcBorders>
              <w:top w:val="nil"/>
            </w:tcBorders>
            <w:shd w:val="clear" w:color="auto" w:fill="auto"/>
          </w:tcPr>
          <w:p w:rsidR="002A5753" w:rsidRPr="003B5EA4" w:rsidRDefault="002A5753" w:rsidP="002A5753">
            <w:pPr>
              <w:suppressAutoHyphens w:val="0"/>
              <w:spacing w:before="40" w:after="120"/>
            </w:pPr>
            <w:r w:rsidRPr="003B5EA4">
              <w:t>CCI</w:t>
            </w:r>
            <w:r w:rsidR="001D3A58" w:rsidRPr="003B5EA4">
              <w:rPr>
                <w:sz w:val="18"/>
                <w:szCs w:val="18"/>
              </w:rPr>
              <w:t>*</w:t>
            </w:r>
          </w:p>
        </w:tc>
        <w:tc>
          <w:tcPr>
            <w:tcW w:w="12062" w:type="dxa"/>
            <w:tcBorders>
              <w:top w:val="nil"/>
            </w:tcBorders>
            <w:shd w:val="clear" w:color="auto" w:fill="auto"/>
          </w:tcPr>
          <w:p w:rsidR="002A5753" w:rsidRPr="003B5EA4" w:rsidRDefault="009F06A3" w:rsidP="002A5753">
            <w:pPr>
              <w:suppressAutoHyphens w:val="0"/>
              <w:spacing w:before="40" w:after="120"/>
            </w:pPr>
            <w:r w:rsidRPr="003B5EA4">
              <w:t xml:space="preserve">Tous les préparatifs de voyage pour les personnes voyageant au nom de la CCI*, </w:t>
            </w:r>
            <w:r w:rsidR="0055478D">
              <w:t>y compris</w:t>
            </w:r>
            <w:r w:rsidRPr="003B5EA4">
              <w:t xml:space="preserve"> les réservations et achats de billets à l</w:t>
            </w:r>
            <w:r w:rsidR="00762E0A">
              <w:t>’</w:t>
            </w:r>
            <w:r w:rsidRPr="003B5EA4">
              <w:t>avance, doivent être finalisés 16 jours civils avant le début du voyage officiel</w:t>
            </w:r>
            <w:r w:rsidR="002A5753" w:rsidRPr="003B5EA4">
              <w:t>.</w:t>
            </w:r>
          </w:p>
          <w:p w:rsidR="002A5753" w:rsidRPr="003B5EA4" w:rsidRDefault="009F06A3" w:rsidP="002A5753">
            <w:pPr>
              <w:suppressAutoHyphens w:val="0"/>
              <w:spacing w:before="40" w:after="120"/>
            </w:pPr>
            <w:r w:rsidRPr="003B5EA4">
              <w:rPr>
                <w:i/>
              </w:rPr>
              <w:t>Source </w:t>
            </w:r>
            <w:r w:rsidRPr="003B5EA4">
              <w:t>:</w:t>
            </w:r>
            <w:r w:rsidR="002A5753" w:rsidRPr="003B5EA4">
              <w:t xml:space="preserve"> </w:t>
            </w:r>
            <w:r w:rsidRPr="003B5EA4">
              <w:rPr>
                <w:rFonts w:asciiTheme="majorBidi" w:hAnsiTheme="majorBidi" w:cstheme="majorBidi"/>
                <w:color w:val="000000"/>
                <w:lang w:eastAsia="zh-CN"/>
              </w:rPr>
              <w:t>CCI/AI/2013/05, par. 3.3.</w:t>
            </w:r>
          </w:p>
        </w:tc>
      </w:tr>
      <w:tr w:rsidR="00B10A7E" w:rsidRPr="003B5EA4" w:rsidTr="002A5753">
        <w:trPr>
          <w:trHeight w:val="240"/>
        </w:trPr>
        <w:tc>
          <w:tcPr>
            <w:tcW w:w="1714" w:type="dxa"/>
            <w:tcBorders>
              <w:top w:val="nil"/>
            </w:tcBorders>
            <w:shd w:val="clear" w:color="auto" w:fill="auto"/>
          </w:tcPr>
          <w:p w:rsidR="00B10A7E" w:rsidRPr="003B5EA4" w:rsidRDefault="00B10A7E" w:rsidP="00B10A7E">
            <w:pPr>
              <w:suppressAutoHyphens w:val="0"/>
              <w:spacing w:before="40" w:after="120"/>
            </w:pPr>
            <w:r w:rsidRPr="003B5EA4">
              <w:rPr>
                <w:rFonts w:asciiTheme="majorBidi" w:hAnsiTheme="majorBidi" w:cstheme="majorBidi"/>
              </w:rPr>
              <w:t>CNUCED, ONU, ONUDC et PNUE</w:t>
            </w:r>
          </w:p>
        </w:tc>
        <w:tc>
          <w:tcPr>
            <w:tcW w:w="12062" w:type="dxa"/>
            <w:tcBorders>
              <w:top w:val="nil"/>
            </w:tcBorders>
            <w:shd w:val="clear" w:color="auto" w:fill="auto"/>
          </w:tcPr>
          <w:p w:rsidR="00B10A7E" w:rsidRPr="003B5EA4" w:rsidRDefault="00B10A7E" w:rsidP="00B10A7E">
            <w:pPr>
              <w:suppressAutoHyphens w:val="0"/>
              <w:spacing w:before="40" w:after="120"/>
            </w:pPr>
            <w:r w:rsidRPr="003B5EA4">
              <w:t xml:space="preserve">Toutes les dispositions relatives au voyage, </w:t>
            </w:r>
            <w:r>
              <w:t>y compris</w:t>
            </w:r>
            <w:r w:rsidRPr="003B5EA4">
              <w:t xml:space="preserve"> la réservation et l</w:t>
            </w:r>
            <w:r w:rsidR="00762E0A">
              <w:t>’</w:t>
            </w:r>
            <w:r w:rsidRPr="003B5EA4">
              <w:t>achat des billets à l</w:t>
            </w:r>
            <w:r w:rsidR="00762E0A">
              <w:t>’</w:t>
            </w:r>
            <w:r w:rsidRPr="003B5EA4">
              <w:t>avance, de toute personne voyageant au nom de l</w:t>
            </w:r>
            <w:r w:rsidR="00762E0A">
              <w:t>’</w:t>
            </w:r>
            <w:r w:rsidRPr="003B5EA4">
              <w:t>Organisation, doivent être prises 16 jours avant le début du voyage.</w:t>
            </w:r>
          </w:p>
          <w:p w:rsidR="00B10A7E" w:rsidRPr="003B5EA4" w:rsidRDefault="00B10A7E" w:rsidP="00B10A7E">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Instruction administrative ST/AI/2013/3, par 3.3.</w:t>
            </w:r>
          </w:p>
        </w:tc>
      </w:tr>
      <w:tr w:rsidR="002A5753" w:rsidRPr="003B5EA4" w:rsidTr="002A5753">
        <w:trPr>
          <w:trHeight w:val="240"/>
        </w:trPr>
        <w:tc>
          <w:tcPr>
            <w:tcW w:w="1714" w:type="dxa"/>
            <w:tcBorders>
              <w:top w:val="nil"/>
            </w:tcBorders>
            <w:shd w:val="clear" w:color="auto" w:fill="auto"/>
          </w:tcPr>
          <w:p w:rsidR="002A5753" w:rsidRPr="003B5EA4" w:rsidRDefault="002A5753" w:rsidP="002A5753">
            <w:pPr>
              <w:suppressAutoHyphens w:val="0"/>
              <w:spacing w:before="40" w:after="120"/>
            </w:pPr>
            <w:r w:rsidRPr="003B5EA4">
              <w:t>FAO</w:t>
            </w:r>
          </w:p>
        </w:tc>
        <w:tc>
          <w:tcPr>
            <w:tcW w:w="12062" w:type="dxa"/>
            <w:tcBorders>
              <w:top w:val="nil"/>
            </w:tcBorders>
            <w:shd w:val="clear" w:color="auto" w:fill="auto"/>
          </w:tcPr>
          <w:p w:rsidR="002A5753" w:rsidRPr="003B5EA4" w:rsidRDefault="009F06A3" w:rsidP="002A5753">
            <w:pPr>
              <w:suppressAutoHyphens w:val="0"/>
              <w:spacing w:before="40" w:after="120"/>
            </w:pPr>
            <w:r w:rsidRPr="003B5EA4">
              <w:rPr>
                <w:rFonts w:asciiTheme="majorBidi" w:hAnsiTheme="majorBidi" w:cstheme="majorBidi"/>
                <w:color w:val="000000"/>
                <w:lang w:eastAsia="zh-CN"/>
              </w:rPr>
              <w:t>Un calendrier trimestriel des voyages proposés pour chaque membre du personnel de la division est à soumettre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avance au chef de département, indiquant : a) les lieux de destination ; b) les dates ; c) la raison du voyage ; d) le financement ; e) le coût</w:t>
            </w:r>
            <w:r w:rsidR="002A5753" w:rsidRPr="003B5EA4">
              <w:t>.</w:t>
            </w:r>
          </w:p>
          <w:p w:rsidR="002A5753" w:rsidRPr="003B5EA4" w:rsidRDefault="00183452" w:rsidP="005804F0">
            <w:pPr>
              <w:suppressAutoHyphens w:val="0"/>
              <w:spacing w:before="40" w:after="120"/>
            </w:pPr>
            <w:r w:rsidRPr="003B5EA4">
              <w:rPr>
                <w:i/>
              </w:rPr>
              <w:t>Source </w:t>
            </w:r>
            <w:r w:rsidRPr="003B5EA4">
              <w:t>:</w:t>
            </w:r>
            <w:r w:rsidR="002A5753" w:rsidRPr="003B5EA4">
              <w:t xml:space="preserve"> </w:t>
            </w:r>
            <w:r w:rsidRPr="003B5EA4">
              <w:rPr>
                <w:rFonts w:asciiTheme="majorBidi" w:hAnsiTheme="majorBidi" w:cstheme="majorBidi"/>
                <w:color w:val="000000"/>
                <w:lang w:eastAsia="zh-CN"/>
              </w:rPr>
              <w:t>Manuel de la</w:t>
            </w:r>
            <w:r w:rsidRPr="003B5EA4">
              <w:rPr>
                <w:rFonts w:asciiTheme="majorBidi" w:hAnsiTheme="majorBidi" w:cstheme="majorBidi"/>
                <w:i/>
                <w:color w:val="000000"/>
                <w:lang w:eastAsia="zh-CN"/>
              </w:rPr>
              <w:t xml:space="preserve"> </w:t>
            </w:r>
            <w:r w:rsidRPr="003B5EA4">
              <w:rPr>
                <w:rFonts w:asciiTheme="majorBidi" w:hAnsiTheme="majorBidi" w:cstheme="majorBidi"/>
                <w:color w:val="000000"/>
                <w:lang w:eastAsia="zh-CN"/>
              </w:rPr>
              <w:t>FAO, chap</w:t>
            </w:r>
            <w:r w:rsidR="005804F0">
              <w:rPr>
                <w:rFonts w:asciiTheme="majorBidi" w:hAnsiTheme="majorBidi" w:cstheme="majorBidi"/>
                <w:color w:val="000000"/>
                <w:lang w:eastAsia="zh-CN"/>
              </w:rPr>
              <w:t>. </w:t>
            </w:r>
            <w:r w:rsidRPr="003B5EA4">
              <w:rPr>
                <w:rFonts w:asciiTheme="majorBidi" w:hAnsiTheme="majorBidi" w:cstheme="majorBidi"/>
                <w:color w:val="000000"/>
                <w:lang w:eastAsia="zh-CN"/>
              </w:rPr>
              <w:t>IV (voyages) (1</w:t>
            </w:r>
            <w:r w:rsidRPr="003B5EA4">
              <w:rPr>
                <w:rFonts w:asciiTheme="majorBidi" w:hAnsiTheme="majorBidi" w:cstheme="majorBidi"/>
                <w:color w:val="000000"/>
                <w:vertAlign w:val="superscript"/>
                <w:lang w:eastAsia="zh-CN"/>
              </w:rPr>
              <w:t>er</w:t>
            </w:r>
            <w:r w:rsidRPr="003B5EA4">
              <w:rPr>
                <w:rFonts w:asciiTheme="majorBidi" w:hAnsiTheme="majorBidi" w:cstheme="majorBidi"/>
                <w:color w:val="000000"/>
                <w:lang w:eastAsia="zh-CN"/>
              </w:rPr>
              <w:t> janvier 2015), sect. 401</w:t>
            </w:r>
            <w:r w:rsidR="004B650B">
              <w:rPr>
                <w:rFonts w:asciiTheme="majorBidi" w:hAnsiTheme="majorBidi" w:cstheme="majorBidi"/>
                <w:color w:val="000000"/>
                <w:lang w:eastAsia="zh-CN"/>
              </w:rPr>
              <w:t xml:space="preserve"> </w:t>
            </w:r>
            <w:r w:rsidRPr="003B5EA4">
              <w:rPr>
                <w:rFonts w:asciiTheme="majorBidi" w:hAnsiTheme="majorBidi" w:cstheme="majorBidi"/>
                <w:color w:val="000000"/>
                <w:lang w:eastAsia="zh-CN"/>
              </w:rPr>
              <w:t>(voyages officiels), par. 401.2.2.</w:t>
            </w:r>
          </w:p>
        </w:tc>
      </w:tr>
      <w:tr w:rsidR="0060457F" w:rsidRPr="003B5EA4" w:rsidTr="002A5753">
        <w:trPr>
          <w:trHeight w:val="240"/>
        </w:trPr>
        <w:tc>
          <w:tcPr>
            <w:tcW w:w="1714" w:type="dxa"/>
            <w:tcBorders>
              <w:top w:val="nil"/>
            </w:tcBorders>
            <w:shd w:val="clear" w:color="auto" w:fill="auto"/>
          </w:tcPr>
          <w:p w:rsidR="0060457F" w:rsidRPr="003B5EA4" w:rsidRDefault="0060457F" w:rsidP="0060457F">
            <w:pPr>
              <w:suppressAutoHyphens w:val="0"/>
              <w:spacing w:before="40" w:after="120"/>
            </w:pPr>
            <w:r w:rsidRPr="003B5EA4">
              <w:t>HCR</w:t>
            </w:r>
          </w:p>
        </w:tc>
        <w:tc>
          <w:tcPr>
            <w:tcW w:w="12062" w:type="dxa"/>
            <w:tcBorders>
              <w:top w:val="nil"/>
            </w:tcBorders>
            <w:shd w:val="clear" w:color="auto" w:fill="auto"/>
          </w:tcPr>
          <w:p w:rsidR="0060457F" w:rsidRPr="003B5EA4" w:rsidRDefault="0060457F" w:rsidP="0060457F">
            <w:pPr>
              <w:suppressAutoHyphens w:val="0"/>
              <w:spacing w:before="40" w:after="120"/>
            </w:pPr>
            <w:r w:rsidRPr="003B5EA4">
              <w:t>Les autorisations de voyage et les réservations doivent être finalisées 16 jours avant la date prévue du voyage.</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lang w:eastAsia="en-GB"/>
              </w:rPr>
              <w:t>Réponse du HCR au questionnaire</w:t>
            </w:r>
            <w:r w:rsidR="00BF0B8F">
              <w:rPr>
                <w:rFonts w:asciiTheme="majorBidi" w:hAnsiTheme="majorBidi" w:cstheme="majorBidi"/>
                <w:lang w:eastAsia="en-GB"/>
              </w:rPr>
              <w:t> ;</w:t>
            </w:r>
            <w:r w:rsidRPr="003B5EA4">
              <w:rPr>
                <w:rFonts w:asciiTheme="majorBidi" w:hAnsiTheme="majorBidi" w:cstheme="majorBidi"/>
                <w:lang w:eastAsia="en-GB"/>
              </w:rPr>
              <w:t xml:space="preserve"> </w:t>
            </w:r>
            <w:r w:rsidRPr="003B5EA4">
              <w:rPr>
                <w:rFonts w:asciiTheme="majorBidi" w:hAnsiTheme="majorBidi" w:cstheme="majorBidi"/>
                <w:color w:val="000000"/>
                <w:lang w:eastAsia="zh-CN"/>
              </w:rPr>
              <w:t>IOM/072-FOM/073/2013</w:t>
            </w:r>
            <w:r w:rsidRPr="003B5EA4">
              <w:t>.</w:t>
            </w:r>
          </w:p>
        </w:tc>
      </w:tr>
      <w:tr w:rsidR="0060457F" w:rsidRPr="003B5EA4" w:rsidTr="002A5753">
        <w:trPr>
          <w:trHeight w:val="240"/>
        </w:trPr>
        <w:tc>
          <w:tcPr>
            <w:tcW w:w="1714" w:type="dxa"/>
            <w:shd w:val="clear" w:color="auto" w:fill="auto"/>
          </w:tcPr>
          <w:p w:rsidR="0060457F" w:rsidRPr="003B5EA4" w:rsidRDefault="0060457F" w:rsidP="0060457F">
            <w:pPr>
              <w:suppressAutoHyphens w:val="0"/>
              <w:spacing w:before="40" w:after="120"/>
            </w:pPr>
            <w:r w:rsidRPr="003B5EA4">
              <w:t>OACI</w:t>
            </w:r>
          </w:p>
        </w:tc>
        <w:tc>
          <w:tcPr>
            <w:tcW w:w="12062" w:type="dxa"/>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Les fonctionnaires doivent commencer leurs préparatifs de voyage le plus tôt possible et, sauf indications contraires spécifiées ailleurs, de préférence au moins 21 jours civils avant la date du voyage. Il est toutefois entendu que certains voyages doivent être entrepris à bref délai. Il est rappelé aux fonctionnaires que les procédures administratives concernant les voyages officiels demandent qu</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un minimum de normes et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exigences de base soient respectées malgré le caractère urgent du voyage</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Instructions administratives relatives aux voyages officiels (1.1).</w:t>
            </w:r>
          </w:p>
        </w:tc>
      </w:tr>
      <w:tr w:rsidR="0060457F" w:rsidRPr="003B5EA4" w:rsidTr="002A5753">
        <w:trPr>
          <w:trHeight w:val="240"/>
        </w:trPr>
        <w:tc>
          <w:tcPr>
            <w:tcW w:w="1714" w:type="dxa"/>
            <w:tcBorders>
              <w:bottom w:val="nil"/>
            </w:tcBorders>
            <w:shd w:val="clear" w:color="auto" w:fill="auto"/>
          </w:tcPr>
          <w:p w:rsidR="0060457F" w:rsidRPr="003B5EA4" w:rsidRDefault="0060457F" w:rsidP="0060457F">
            <w:pPr>
              <w:suppressAutoHyphens w:val="0"/>
              <w:spacing w:before="40" w:after="120"/>
            </w:pPr>
            <w:r w:rsidRPr="003B5EA4">
              <w:t>OIT</w:t>
            </w:r>
          </w:p>
        </w:tc>
        <w:tc>
          <w:tcPr>
            <w:tcW w:w="12062" w:type="dxa"/>
            <w:tcBorders>
              <w:bottom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Tous les billets doivent être réservés le plus tôt possible et normalement au plus tard deux semaines (14 jours) avant la date du départ</w:t>
            </w:r>
            <w:r w:rsidRPr="003B5EA4">
              <w:t>.</w:t>
            </w:r>
          </w:p>
          <w:p w:rsidR="0060457F" w:rsidRPr="003B5EA4" w:rsidRDefault="0060457F" w:rsidP="005804F0">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 xml:space="preserve">Procédures administratives, IGDS </w:t>
            </w:r>
            <w:r w:rsidR="005804F0">
              <w:rPr>
                <w:rFonts w:asciiTheme="majorBidi" w:hAnsiTheme="majorBidi" w:cstheme="majorBidi"/>
                <w:color w:val="000000"/>
                <w:lang w:eastAsia="zh-CN"/>
              </w:rPr>
              <w:t>−</w:t>
            </w:r>
            <w:r w:rsidRPr="003B5EA4">
              <w:rPr>
                <w:rFonts w:asciiTheme="majorBidi" w:hAnsiTheme="majorBidi" w:cstheme="majorBidi"/>
                <w:color w:val="000000"/>
                <w:lang w:eastAsia="zh-CN"/>
              </w:rPr>
              <w:t xml:space="preserve"> Système de gestion des documents de gouvernance interne, n</w:t>
            </w:r>
            <w:r w:rsidRPr="003B5EA4">
              <w:rPr>
                <w:rFonts w:asciiTheme="majorBidi" w:hAnsiTheme="majorBidi" w:cstheme="majorBidi"/>
                <w:color w:val="000000"/>
                <w:vertAlign w:val="superscript"/>
                <w:lang w:eastAsia="zh-CN"/>
              </w:rPr>
              <w:t>o</w:t>
            </w:r>
            <w:r w:rsidRPr="003B5EA4">
              <w:rPr>
                <w:rFonts w:asciiTheme="majorBidi" w:hAnsiTheme="majorBidi" w:cstheme="majorBidi"/>
                <w:color w:val="000000"/>
                <w:lang w:eastAsia="zh-CN"/>
              </w:rPr>
              <w:t> 437, version du 1</w:t>
            </w:r>
            <w:r w:rsidRPr="003B5EA4">
              <w:rPr>
                <w:rFonts w:asciiTheme="majorBidi" w:hAnsiTheme="majorBidi" w:cstheme="majorBidi"/>
                <w:color w:val="000000"/>
                <w:vertAlign w:val="superscript"/>
                <w:lang w:eastAsia="zh-CN"/>
              </w:rPr>
              <w:t>er</w:t>
            </w:r>
            <w:r w:rsidRPr="003B5EA4">
              <w:rPr>
                <w:rFonts w:asciiTheme="majorBidi" w:hAnsiTheme="majorBidi" w:cstheme="majorBidi"/>
                <w:color w:val="000000"/>
                <w:lang w:eastAsia="zh-CN"/>
              </w:rPr>
              <w:t> septembre 2015, par. 11.6.</w:t>
            </w:r>
          </w:p>
        </w:tc>
      </w:tr>
      <w:tr w:rsidR="0060457F" w:rsidRPr="003B5EA4" w:rsidTr="002A5753">
        <w:trPr>
          <w:trHeight w:val="240"/>
        </w:trPr>
        <w:tc>
          <w:tcPr>
            <w:tcW w:w="1714" w:type="dxa"/>
            <w:tcBorders>
              <w:top w:val="nil"/>
            </w:tcBorders>
            <w:shd w:val="clear" w:color="auto" w:fill="auto"/>
          </w:tcPr>
          <w:p w:rsidR="0060457F" w:rsidRPr="003B5EA4" w:rsidRDefault="0060457F" w:rsidP="0060457F">
            <w:pPr>
              <w:suppressAutoHyphens w:val="0"/>
              <w:spacing w:before="40" w:after="120"/>
            </w:pPr>
            <w:r w:rsidRPr="003B5EA4">
              <w:t>OMI</w:t>
            </w:r>
          </w:p>
        </w:tc>
        <w:tc>
          <w:tcPr>
            <w:tcW w:w="12062" w:type="dxa"/>
            <w:tcBorders>
              <w:top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Recommandation : achat des billets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avion deux semaines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avance</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lang w:eastAsia="en-GB"/>
              </w:rPr>
              <w:t>Réponses de l</w:t>
            </w:r>
            <w:r w:rsidR="00762E0A">
              <w:rPr>
                <w:rFonts w:asciiTheme="majorBidi" w:hAnsiTheme="majorBidi" w:cstheme="majorBidi"/>
                <w:lang w:eastAsia="en-GB"/>
              </w:rPr>
              <w:t>’</w:t>
            </w:r>
            <w:r w:rsidRPr="003B5EA4">
              <w:rPr>
                <w:rFonts w:asciiTheme="majorBidi" w:hAnsiTheme="majorBidi" w:cstheme="majorBidi"/>
                <w:lang w:eastAsia="en-GB"/>
              </w:rPr>
              <w:t>OMI au questionnaire</w:t>
            </w:r>
            <w:r w:rsidRPr="003B5EA4">
              <w:t>.</w:t>
            </w:r>
          </w:p>
        </w:tc>
      </w:tr>
      <w:tr w:rsidR="0060457F" w:rsidRPr="003B5EA4" w:rsidTr="002A5753">
        <w:trPr>
          <w:trHeight w:val="240"/>
        </w:trPr>
        <w:tc>
          <w:tcPr>
            <w:tcW w:w="1714" w:type="dxa"/>
            <w:tcBorders>
              <w:top w:val="nil"/>
              <w:bottom w:val="nil"/>
            </w:tcBorders>
            <w:shd w:val="clear" w:color="auto" w:fill="auto"/>
          </w:tcPr>
          <w:p w:rsidR="0060457F" w:rsidRPr="003B5EA4" w:rsidRDefault="0060457F" w:rsidP="0060457F">
            <w:pPr>
              <w:suppressAutoHyphens w:val="0"/>
              <w:spacing w:before="40" w:after="120"/>
            </w:pPr>
            <w:r w:rsidRPr="003B5EA4">
              <w:lastRenderedPageBreak/>
              <w:t>OMM</w:t>
            </w:r>
          </w:p>
        </w:tc>
        <w:tc>
          <w:tcPr>
            <w:tcW w:w="12062" w:type="dxa"/>
            <w:tcBorders>
              <w:top w:val="nil"/>
              <w:bottom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Tous les préparatifs de voyage pour les personnes voyageant de la part de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 xml:space="preserve">OMM, </w:t>
            </w:r>
            <w:r>
              <w:rPr>
                <w:rFonts w:asciiTheme="majorBidi" w:hAnsiTheme="majorBidi" w:cstheme="majorBidi"/>
                <w:color w:val="000000"/>
                <w:lang w:eastAsia="zh-CN"/>
              </w:rPr>
              <w:t>y compris</w:t>
            </w:r>
            <w:r w:rsidRPr="003B5EA4">
              <w:rPr>
                <w:rFonts w:asciiTheme="majorBidi" w:hAnsiTheme="majorBidi" w:cstheme="majorBidi"/>
                <w:color w:val="000000"/>
                <w:lang w:eastAsia="zh-CN"/>
              </w:rPr>
              <w:t xml:space="preserve"> les réservations et achats de billets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avance, doivent être finalisés 16 jours civils avant le début du voyage officiel</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Instructions permanentes de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OMM, par. 6.4.5.</w:t>
            </w:r>
          </w:p>
        </w:tc>
      </w:tr>
      <w:tr w:rsidR="0060457F" w:rsidRPr="003B5EA4" w:rsidTr="002A5753">
        <w:trPr>
          <w:trHeight w:val="240"/>
        </w:trPr>
        <w:tc>
          <w:tcPr>
            <w:tcW w:w="1714" w:type="dxa"/>
            <w:tcBorders>
              <w:top w:val="nil"/>
              <w:bottom w:val="nil"/>
            </w:tcBorders>
            <w:shd w:val="clear" w:color="auto" w:fill="auto"/>
          </w:tcPr>
          <w:p w:rsidR="0060457F" w:rsidRPr="003B5EA4" w:rsidRDefault="0060457F" w:rsidP="0060457F">
            <w:pPr>
              <w:suppressAutoHyphens w:val="0"/>
              <w:spacing w:before="40" w:after="120"/>
            </w:pPr>
            <w:r w:rsidRPr="003B5EA4">
              <w:t>OMPI</w:t>
            </w:r>
          </w:p>
        </w:tc>
        <w:tc>
          <w:tcPr>
            <w:tcW w:w="12062" w:type="dxa"/>
            <w:tcBorders>
              <w:top w:val="nil"/>
              <w:bottom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rPr>
              <w:t>Avant le début de l</w:t>
            </w:r>
            <w:r w:rsidR="00762E0A">
              <w:rPr>
                <w:rFonts w:asciiTheme="majorBidi" w:hAnsiTheme="majorBidi" w:cstheme="majorBidi"/>
              </w:rPr>
              <w:t>’</w:t>
            </w:r>
            <w:r w:rsidRPr="003B5EA4">
              <w:rPr>
                <w:rFonts w:asciiTheme="majorBidi" w:hAnsiTheme="majorBidi" w:cstheme="majorBidi"/>
              </w:rPr>
              <w:t>exercice biennal et pour chaque année, chaque secteur de l</w:t>
            </w:r>
            <w:r w:rsidR="00762E0A">
              <w:rPr>
                <w:rFonts w:asciiTheme="majorBidi" w:hAnsiTheme="majorBidi" w:cstheme="majorBidi"/>
              </w:rPr>
              <w:t>’</w:t>
            </w:r>
            <w:r w:rsidRPr="003B5EA4">
              <w:rPr>
                <w:rFonts w:asciiTheme="majorBidi" w:hAnsiTheme="majorBidi" w:cstheme="majorBidi"/>
              </w:rPr>
              <w:t>OMPI doit proposer un plan de travail. Les missions sont incluses dans le plan de travail annuel. Les demandes de voyage doivent être reçues au moins 16 jours civils à l</w:t>
            </w:r>
            <w:r w:rsidR="00762E0A">
              <w:rPr>
                <w:rFonts w:asciiTheme="majorBidi" w:hAnsiTheme="majorBidi" w:cstheme="majorBidi"/>
              </w:rPr>
              <w:t>’</w:t>
            </w:r>
            <w:r w:rsidRPr="003B5EA4">
              <w:rPr>
                <w:rFonts w:asciiTheme="majorBidi" w:hAnsiTheme="majorBidi" w:cstheme="majorBidi"/>
              </w:rPr>
              <w:t>avance</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lang w:eastAsia="en-GB"/>
              </w:rPr>
              <w:t>Réponses de l</w:t>
            </w:r>
            <w:r w:rsidR="00762E0A">
              <w:rPr>
                <w:rFonts w:asciiTheme="majorBidi" w:hAnsiTheme="majorBidi" w:cstheme="majorBidi"/>
                <w:lang w:eastAsia="en-GB"/>
              </w:rPr>
              <w:t>’</w:t>
            </w:r>
            <w:r w:rsidRPr="003B5EA4">
              <w:rPr>
                <w:rFonts w:asciiTheme="majorBidi" w:hAnsiTheme="majorBidi" w:cstheme="majorBidi"/>
                <w:lang w:eastAsia="en-GB"/>
              </w:rPr>
              <w:t>OMPI au questionnaire.</w:t>
            </w:r>
          </w:p>
        </w:tc>
      </w:tr>
      <w:tr w:rsidR="0060457F" w:rsidRPr="003B5EA4" w:rsidTr="002A5753">
        <w:trPr>
          <w:trHeight w:val="240"/>
        </w:trPr>
        <w:tc>
          <w:tcPr>
            <w:tcW w:w="1714" w:type="dxa"/>
            <w:tcBorders>
              <w:top w:val="nil"/>
            </w:tcBorders>
            <w:shd w:val="clear" w:color="auto" w:fill="auto"/>
          </w:tcPr>
          <w:p w:rsidR="0060457F" w:rsidRPr="003B5EA4" w:rsidRDefault="0060457F" w:rsidP="0060457F">
            <w:pPr>
              <w:suppressAutoHyphens w:val="0"/>
              <w:spacing w:before="40" w:after="120"/>
            </w:pPr>
            <w:r w:rsidRPr="003B5EA4">
              <w:t>OMS</w:t>
            </w:r>
          </w:p>
        </w:tc>
        <w:tc>
          <w:tcPr>
            <w:tcW w:w="12062" w:type="dxa"/>
            <w:tcBorders>
              <w:top w:val="nil"/>
            </w:tcBorders>
            <w:shd w:val="clear" w:color="auto" w:fill="auto"/>
          </w:tcPr>
          <w:p w:rsidR="0060457F" w:rsidRPr="003B5EA4" w:rsidRDefault="0060457F" w:rsidP="0060457F">
            <w:pPr>
              <w:suppressAutoHyphens w:val="0"/>
              <w:spacing w:before="40" w:after="120"/>
              <w:rPr>
                <w:rFonts w:asciiTheme="majorBidi" w:hAnsiTheme="majorBidi" w:cstheme="majorBidi"/>
                <w:lang w:eastAsia="en-GB"/>
              </w:rPr>
            </w:pPr>
            <w:r w:rsidRPr="003B5EA4">
              <w:rPr>
                <w:rFonts w:asciiTheme="majorBidi" w:hAnsiTheme="majorBidi" w:cstheme="majorBidi"/>
                <w:lang w:eastAsia="en-GB"/>
              </w:rPr>
              <w:t>Les voyages officiels des fonctionnaires doivent être portés dans un plan annuel des voyages</w:t>
            </w:r>
            <w:r w:rsidR="00BF0B8F">
              <w:rPr>
                <w:rFonts w:asciiTheme="majorBidi" w:hAnsiTheme="majorBidi" w:cstheme="majorBidi"/>
                <w:lang w:eastAsia="en-GB"/>
              </w:rPr>
              <w:t> ;</w:t>
            </w:r>
            <w:r w:rsidRPr="003B5EA4">
              <w:rPr>
                <w:rFonts w:asciiTheme="majorBidi" w:hAnsiTheme="majorBidi" w:cstheme="majorBidi"/>
                <w:lang w:eastAsia="en-GB"/>
              </w:rPr>
              <w:t xml:space="preserve"> dans le cas du </w:t>
            </w:r>
            <w:r w:rsidR="00BF6FF2">
              <w:rPr>
                <w:rFonts w:asciiTheme="majorBidi" w:hAnsiTheme="majorBidi" w:cstheme="majorBidi"/>
                <w:lang w:eastAsia="en-GB"/>
              </w:rPr>
              <w:t>s</w:t>
            </w:r>
            <w:r w:rsidRPr="003B5EA4">
              <w:rPr>
                <w:rFonts w:asciiTheme="majorBidi" w:hAnsiTheme="majorBidi" w:cstheme="majorBidi"/>
                <w:lang w:eastAsia="en-GB"/>
              </w:rPr>
              <w:t>iège et des bureaux régionaux, le plan doit être établi au niveau départemental, et sur le terrain, au niveau des bureaux de pays</w:t>
            </w:r>
            <w:r w:rsidR="00BF0B8F">
              <w:rPr>
                <w:rFonts w:asciiTheme="majorBidi" w:hAnsiTheme="majorBidi" w:cstheme="majorBidi"/>
                <w:lang w:eastAsia="en-GB"/>
              </w:rPr>
              <w:t> ;</w:t>
            </w:r>
            <w:r w:rsidRPr="003B5EA4">
              <w:rPr>
                <w:rFonts w:asciiTheme="majorBidi" w:hAnsiTheme="majorBidi" w:cstheme="majorBidi"/>
                <w:lang w:eastAsia="en-GB"/>
              </w:rPr>
              <w:t xml:space="preserve"> le plan doit être mis à jour tous les trois mois, au moins deux semaines avant le début de chaque trimestre</w:t>
            </w:r>
            <w:r w:rsidR="00BF0B8F">
              <w:rPr>
                <w:rFonts w:asciiTheme="majorBidi" w:hAnsiTheme="majorBidi" w:cstheme="majorBidi"/>
                <w:lang w:eastAsia="en-GB"/>
              </w:rPr>
              <w:t> ;</w:t>
            </w:r>
            <w:r w:rsidRPr="003B5EA4">
              <w:rPr>
                <w:rFonts w:asciiTheme="majorBidi" w:hAnsiTheme="majorBidi" w:cstheme="majorBidi"/>
                <w:lang w:eastAsia="en-GB"/>
              </w:rPr>
              <w:t xml:space="preserve"> les demandes visant les voyages en avion, à caractère officiel et international, et à effectuer par des fonctionnaires, doivent être approuvées au plus tard 14 jours civils (7 jours civils pour les voyages à l</w:t>
            </w:r>
            <w:r w:rsidR="00762E0A">
              <w:rPr>
                <w:rFonts w:asciiTheme="majorBidi" w:hAnsiTheme="majorBidi" w:cstheme="majorBidi"/>
                <w:lang w:eastAsia="en-GB"/>
              </w:rPr>
              <w:t>’</w:t>
            </w:r>
            <w:r w:rsidRPr="003B5EA4">
              <w:rPr>
                <w:rFonts w:asciiTheme="majorBidi" w:hAnsiTheme="majorBidi" w:cstheme="majorBidi"/>
                <w:lang w:eastAsia="en-GB"/>
              </w:rPr>
              <w:t>intérieur du pays) avant la date de départ. Seule exception à cette règle : le voyage en réponse à une situation ou un programme d</w:t>
            </w:r>
            <w:r w:rsidR="00762E0A">
              <w:rPr>
                <w:rFonts w:asciiTheme="majorBidi" w:hAnsiTheme="majorBidi" w:cstheme="majorBidi"/>
                <w:lang w:eastAsia="en-GB"/>
              </w:rPr>
              <w:t>’</w:t>
            </w:r>
            <w:r w:rsidRPr="003B5EA4">
              <w:rPr>
                <w:rFonts w:asciiTheme="majorBidi" w:hAnsiTheme="majorBidi" w:cstheme="majorBidi"/>
                <w:lang w:eastAsia="en-GB"/>
              </w:rPr>
              <w:t>urgence dûment reconnu.</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lang w:eastAsia="en-GB"/>
              </w:rPr>
              <w:t>Manuel électronique de l</w:t>
            </w:r>
            <w:r w:rsidR="00762E0A">
              <w:rPr>
                <w:rFonts w:asciiTheme="majorBidi" w:hAnsiTheme="majorBidi" w:cstheme="majorBidi"/>
                <w:lang w:eastAsia="en-GB"/>
              </w:rPr>
              <w:t>’</w:t>
            </w:r>
            <w:r w:rsidRPr="003B5EA4">
              <w:rPr>
                <w:rFonts w:asciiTheme="majorBidi" w:hAnsiTheme="majorBidi" w:cstheme="majorBidi"/>
                <w:lang w:eastAsia="en-GB"/>
              </w:rPr>
              <w:t>OMS, VII (voyages officiels) et VII.1 (politique et principe généraux).</w:t>
            </w:r>
          </w:p>
        </w:tc>
      </w:tr>
      <w:tr w:rsidR="0060457F" w:rsidRPr="003B5EA4" w:rsidTr="002A5753">
        <w:trPr>
          <w:trHeight w:val="240"/>
        </w:trPr>
        <w:tc>
          <w:tcPr>
            <w:tcW w:w="1714" w:type="dxa"/>
            <w:tcBorders>
              <w:bottom w:val="nil"/>
            </w:tcBorders>
            <w:shd w:val="clear" w:color="auto" w:fill="auto"/>
          </w:tcPr>
          <w:p w:rsidR="0060457F" w:rsidRPr="003B5EA4" w:rsidRDefault="0060457F" w:rsidP="0060457F">
            <w:pPr>
              <w:suppressAutoHyphens w:val="0"/>
              <w:spacing w:before="40" w:after="120"/>
            </w:pPr>
            <w:r w:rsidRPr="003B5EA4">
              <w:t>ONU-</w:t>
            </w:r>
            <w:r>
              <w:t>Femmes</w:t>
            </w:r>
          </w:p>
        </w:tc>
        <w:tc>
          <w:tcPr>
            <w:tcW w:w="12062" w:type="dxa"/>
            <w:tcBorders>
              <w:bottom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Les demandes de voyage doivent être soumises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administration ou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unité sur le terrain responsable du traitement des demandes de voyage au moins 15 jours ouvrables avant la date du voyage</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Division de la gestion et de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administration − voyages officiels, par. 2.7.</w:t>
            </w:r>
          </w:p>
        </w:tc>
      </w:tr>
      <w:tr w:rsidR="0060457F" w:rsidRPr="003B5EA4" w:rsidTr="002A5753">
        <w:trPr>
          <w:trHeight w:val="240"/>
        </w:trPr>
        <w:tc>
          <w:tcPr>
            <w:tcW w:w="1714" w:type="dxa"/>
            <w:shd w:val="clear" w:color="auto" w:fill="auto"/>
          </w:tcPr>
          <w:p w:rsidR="0060457F" w:rsidRPr="003B5EA4" w:rsidRDefault="0060457F" w:rsidP="0060457F">
            <w:pPr>
              <w:suppressAutoHyphens w:val="0"/>
              <w:spacing w:before="40" w:after="120"/>
            </w:pPr>
            <w:r w:rsidRPr="003B5EA4">
              <w:t>ONUSIDA</w:t>
            </w:r>
          </w:p>
        </w:tc>
        <w:tc>
          <w:tcPr>
            <w:tcW w:w="12062" w:type="dxa"/>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Tous les préparatifs de voyage doivent être finalisés au moins 10 jours ouvrables avant le départ ; ceci comprend : la préparation,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assurance qualité et la ou les autorisations des demandes de voyage ainsi que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achat des billets. Les voyages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intérieur du pays échappent à la condition des 10 jours ouvrables.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obligation de finaliser les préparatifs de voyage au moins 10 jours ouvrables avant le départ est levée à titre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essai pour les voyages internationaux au départ des bureaux de liaison, régionaux et de pays</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Note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information de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ONUSIDA − politique des voyages, 4 février 2016</w:t>
            </w:r>
            <w:r w:rsidRPr="003B5EA4">
              <w:t>.</w:t>
            </w:r>
          </w:p>
        </w:tc>
      </w:tr>
      <w:tr w:rsidR="0060457F" w:rsidRPr="003B5EA4" w:rsidTr="002A5753">
        <w:trPr>
          <w:trHeight w:val="240"/>
        </w:trPr>
        <w:tc>
          <w:tcPr>
            <w:tcW w:w="1714" w:type="dxa"/>
            <w:tcBorders>
              <w:bottom w:val="nil"/>
            </w:tcBorders>
            <w:shd w:val="clear" w:color="auto" w:fill="auto"/>
          </w:tcPr>
          <w:p w:rsidR="0060457F" w:rsidRPr="003B5EA4" w:rsidRDefault="0060457F" w:rsidP="0060457F">
            <w:pPr>
              <w:suppressAutoHyphens w:val="0"/>
              <w:spacing w:before="40" w:after="120"/>
            </w:pPr>
            <w:r w:rsidRPr="003B5EA4">
              <w:t>PAM</w:t>
            </w:r>
          </w:p>
        </w:tc>
        <w:tc>
          <w:tcPr>
            <w:tcW w:w="12062" w:type="dxa"/>
            <w:tcBorders>
              <w:bottom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Les voyageurs doivent acheter les billets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avion au moins 14 jours civils avant le départ.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Normes internes relatives aux voyages − 2017 (RMM/2017/001).</w:t>
            </w:r>
          </w:p>
        </w:tc>
      </w:tr>
      <w:tr w:rsidR="0060457F" w:rsidRPr="003B5EA4" w:rsidTr="002A5753">
        <w:trPr>
          <w:trHeight w:val="240"/>
        </w:trPr>
        <w:tc>
          <w:tcPr>
            <w:tcW w:w="1714" w:type="dxa"/>
            <w:tcBorders>
              <w:top w:val="nil"/>
            </w:tcBorders>
            <w:shd w:val="clear" w:color="auto" w:fill="auto"/>
          </w:tcPr>
          <w:p w:rsidR="0060457F" w:rsidRPr="003B5EA4" w:rsidRDefault="0060457F" w:rsidP="0060457F">
            <w:pPr>
              <w:suppressAutoHyphens w:val="0"/>
              <w:spacing w:before="40" w:after="120"/>
            </w:pPr>
            <w:r w:rsidRPr="003B5EA4">
              <w:t>PNUD et FNUAP</w:t>
            </w:r>
          </w:p>
        </w:tc>
        <w:tc>
          <w:tcPr>
            <w:tcW w:w="12062" w:type="dxa"/>
            <w:tcBorders>
              <w:top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Les voyageurs sont fortement encouragés à confirmer leurs itinéraires de voyage le plus tôt possible et à acheter leurs billets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avion au moins 21 jours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avance afin de profiter des tarifs les plus avantageux</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Politique des services administratifs du</w:t>
            </w:r>
            <w:r w:rsidRPr="003B5EA4">
              <w:rPr>
                <w:rFonts w:asciiTheme="majorBidi" w:hAnsiTheme="majorBidi" w:cstheme="majorBidi"/>
                <w:i/>
                <w:color w:val="000000"/>
                <w:lang w:eastAsia="zh-CN"/>
              </w:rPr>
              <w:t xml:space="preserve"> </w:t>
            </w:r>
            <w:r w:rsidRPr="003B5EA4">
              <w:rPr>
                <w:rFonts w:asciiTheme="majorBidi" w:hAnsiTheme="majorBidi" w:cstheme="majorBidi"/>
                <w:color w:val="000000"/>
                <w:lang w:eastAsia="zh-CN"/>
              </w:rPr>
              <w:t>PNUD relative aux voyages officiels à dater de 2016 − itinéraire, mode de transport et conditions de voyage (p. 7 de la version officielle en anglais).</w:t>
            </w:r>
          </w:p>
        </w:tc>
      </w:tr>
      <w:tr w:rsidR="0060457F" w:rsidRPr="003B5EA4" w:rsidTr="002A5753">
        <w:trPr>
          <w:trHeight w:val="240"/>
        </w:trPr>
        <w:tc>
          <w:tcPr>
            <w:tcW w:w="1714" w:type="dxa"/>
            <w:tcBorders>
              <w:top w:val="nil"/>
              <w:bottom w:val="nil"/>
            </w:tcBorders>
            <w:shd w:val="clear" w:color="auto" w:fill="auto"/>
          </w:tcPr>
          <w:p w:rsidR="0060457F" w:rsidRPr="003B5EA4" w:rsidRDefault="0060457F" w:rsidP="0060457F">
            <w:pPr>
              <w:keepNext/>
              <w:suppressAutoHyphens w:val="0"/>
              <w:spacing w:before="40" w:after="120"/>
            </w:pPr>
            <w:r w:rsidRPr="003B5EA4">
              <w:lastRenderedPageBreak/>
              <w:t>UIT</w:t>
            </w:r>
          </w:p>
        </w:tc>
        <w:tc>
          <w:tcPr>
            <w:tcW w:w="12062" w:type="dxa"/>
            <w:tcBorders>
              <w:top w:val="nil"/>
              <w:bottom w:val="nil"/>
            </w:tcBorders>
            <w:shd w:val="clear" w:color="auto" w:fill="auto"/>
          </w:tcPr>
          <w:p w:rsidR="0060457F" w:rsidRPr="003B5EA4" w:rsidRDefault="0060457F" w:rsidP="0060457F">
            <w:pPr>
              <w:keepNext/>
              <w:suppressAutoHyphens w:val="0"/>
              <w:spacing w:before="40" w:after="120"/>
            </w:pPr>
            <w:r w:rsidRPr="003B5EA4">
              <w:rPr>
                <w:rFonts w:asciiTheme="majorBidi" w:hAnsiTheme="majorBidi" w:cstheme="majorBidi"/>
                <w:color w:val="000000"/>
                <w:lang w:eastAsia="zh-CN"/>
              </w:rPr>
              <w:t>Le formulaire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autorisation de voyage, dûment validé, doit être reçu par la section des voyages au plus tard 30 jours ouvrables avant le début de la mission</w:t>
            </w:r>
            <w:r w:rsidRPr="003B5EA4">
              <w:t>.</w:t>
            </w:r>
          </w:p>
          <w:p w:rsidR="0060457F" w:rsidRPr="003B5EA4" w:rsidRDefault="0060457F" w:rsidP="0060457F">
            <w:pPr>
              <w:keepNext/>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Ordre de service 15/09, traitement des formulaires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 xml:space="preserve">autorisation de voyage, laissez-passer et visas, et </w:t>
            </w:r>
            <w:r w:rsidRPr="003B5EA4">
              <w:rPr>
                <w:rFonts w:asciiTheme="majorBidi" w:hAnsiTheme="majorBidi" w:cstheme="majorBidi"/>
              </w:rPr>
              <w:t>dispositions régissant les paiements relatifs aux voyages</w:t>
            </w:r>
            <w:r w:rsidRPr="003B5EA4">
              <w:rPr>
                <w:rFonts w:asciiTheme="majorBidi" w:hAnsiTheme="majorBidi" w:cstheme="majorBidi"/>
                <w:color w:val="000000"/>
                <w:lang w:eastAsia="zh-CN"/>
              </w:rPr>
              <w:t>, par. 4.a.</w:t>
            </w:r>
          </w:p>
        </w:tc>
      </w:tr>
      <w:tr w:rsidR="0060457F" w:rsidRPr="003B5EA4" w:rsidTr="002A5753">
        <w:trPr>
          <w:trHeight w:val="240"/>
        </w:trPr>
        <w:tc>
          <w:tcPr>
            <w:tcW w:w="1714" w:type="dxa"/>
            <w:shd w:val="clear" w:color="auto" w:fill="auto"/>
          </w:tcPr>
          <w:p w:rsidR="0060457F" w:rsidRPr="003B5EA4" w:rsidRDefault="0060457F" w:rsidP="0060457F">
            <w:pPr>
              <w:suppressAutoHyphens w:val="0"/>
              <w:spacing w:before="40" w:after="120"/>
            </w:pPr>
            <w:r w:rsidRPr="003B5EA4">
              <w:t>UNESCO</w:t>
            </w:r>
          </w:p>
        </w:tc>
        <w:tc>
          <w:tcPr>
            <w:tcW w:w="12062" w:type="dxa"/>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Tous les billets doivent être réservés au moins deux semaines (14 jours calendaires) avant la date de départ ou au moins trois semaines (21 jours calendaires) avant la date du départ dans le cas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un voyage dont les dates sont connues longtemps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avance et peu susceptibles de changer</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Manuel administratif de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UNESCO, 15.2, par 5.5.</w:t>
            </w:r>
          </w:p>
        </w:tc>
      </w:tr>
      <w:tr w:rsidR="0060457F" w:rsidRPr="003B5EA4" w:rsidTr="002A5753">
        <w:trPr>
          <w:trHeight w:val="240"/>
        </w:trPr>
        <w:tc>
          <w:tcPr>
            <w:tcW w:w="1714" w:type="dxa"/>
            <w:shd w:val="clear" w:color="auto" w:fill="auto"/>
          </w:tcPr>
          <w:p w:rsidR="0060457F" w:rsidRPr="003B5EA4" w:rsidRDefault="0060457F" w:rsidP="0060457F">
            <w:pPr>
              <w:suppressAutoHyphens w:val="0"/>
              <w:spacing w:before="40" w:after="120"/>
            </w:pPr>
            <w:r w:rsidRPr="003B5EA4">
              <w:t>UNICEF</w:t>
            </w:r>
          </w:p>
        </w:tc>
        <w:tc>
          <w:tcPr>
            <w:tcW w:w="12062" w:type="dxa"/>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Les fonctionnaires doivent commencer les préparatifs de voyage le plus tôt possible et de préférence au moins 21 jours civils avant la date du voyage.</w:t>
            </w:r>
          </w:p>
          <w:p w:rsidR="0060457F" w:rsidRPr="003B5EA4" w:rsidRDefault="0060457F" w:rsidP="000003D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CF/AI/2014-001</w:t>
            </w:r>
            <w:r w:rsidR="000003DF">
              <w:rPr>
                <w:rFonts w:asciiTheme="majorBidi" w:hAnsiTheme="majorBidi" w:cstheme="majorBidi"/>
                <w:color w:val="000000"/>
                <w:lang w:eastAsia="zh-CN"/>
              </w:rPr>
              <w:t xml:space="preserve">, </w:t>
            </w:r>
            <w:r w:rsidRPr="003B5EA4">
              <w:rPr>
                <w:rFonts w:asciiTheme="majorBidi" w:hAnsiTheme="majorBidi" w:cstheme="majorBidi"/>
                <w:color w:val="000000"/>
                <w:lang w:eastAsia="zh-CN"/>
              </w:rPr>
              <w:t>Amend.1, par. 11.3.</w:t>
            </w:r>
          </w:p>
        </w:tc>
      </w:tr>
      <w:tr w:rsidR="0060457F" w:rsidRPr="003B5EA4" w:rsidTr="002A5753">
        <w:trPr>
          <w:trHeight w:val="240"/>
        </w:trPr>
        <w:tc>
          <w:tcPr>
            <w:tcW w:w="1714" w:type="dxa"/>
            <w:tcBorders>
              <w:bottom w:val="nil"/>
            </w:tcBorders>
            <w:shd w:val="clear" w:color="auto" w:fill="auto"/>
          </w:tcPr>
          <w:p w:rsidR="0060457F" w:rsidRPr="003B5EA4" w:rsidRDefault="0060457F" w:rsidP="0060457F">
            <w:pPr>
              <w:suppressAutoHyphens w:val="0"/>
              <w:spacing w:before="40" w:after="120"/>
            </w:pPr>
            <w:r w:rsidRPr="003B5EA4">
              <w:t>UNOPS</w:t>
            </w:r>
          </w:p>
        </w:tc>
        <w:tc>
          <w:tcPr>
            <w:tcW w:w="12062" w:type="dxa"/>
            <w:tcBorders>
              <w:bottom w:val="nil"/>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 voyageur doit s</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employer à réserver le billet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avion 7 jours avant le départ</w:t>
            </w:r>
            <w:r w:rsidRPr="003B5EA4">
              <w: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 xml:space="preserve">Instruction administrative AI/CSPG/2014/01 Rev.3, </w:t>
            </w:r>
            <w:r w:rsidRPr="003B5EA4">
              <w:rPr>
                <w:rFonts w:asciiTheme="majorBidi" w:hAnsiTheme="majorBidi" w:cstheme="majorBidi"/>
                <w:color w:val="000000"/>
                <w:lang w:eastAsia="zh-CN"/>
              </w:rPr>
              <w:br w:type="page"/>
              <w:t>par. 2.1.7.</w:t>
            </w:r>
          </w:p>
        </w:tc>
      </w:tr>
      <w:tr w:rsidR="00E87882" w:rsidRPr="003B5EA4" w:rsidTr="002A5753">
        <w:trPr>
          <w:trHeight w:val="240"/>
        </w:trPr>
        <w:tc>
          <w:tcPr>
            <w:tcW w:w="1714" w:type="dxa"/>
            <w:tcBorders>
              <w:bottom w:val="nil"/>
            </w:tcBorders>
            <w:shd w:val="clear" w:color="auto" w:fill="auto"/>
          </w:tcPr>
          <w:p w:rsidR="00E87882" w:rsidRPr="003B5EA4" w:rsidRDefault="00E87882" w:rsidP="00E87882">
            <w:pPr>
              <w:suppressAutoHyphens w:val="0"/>
              <w:spacing w:before="40" w:after="120"/>
            </w:pPr>
            <w:r w:rsidRPr="003B5EA4">
              <w:rPr>
                <w:rFonts w:asciiTheme="majorBidi" w:hAnsiTheme="majorBidi" w:cstheme="majorBidi"/>
              </w:rPr>
              <w:t>UNRWA</w:t>
            </w:r>
          </w:p>
        </w:tc>
        <w:tc>
          <w:tcPr>
            <w:tcW w:w="12062" w:type="dxa"/>
            <w:tcBorders>
              <w:bottom w:val="nil"/>
            </w:tcBorders>
            <w:shd w:val="clear" w:color="auto" w:fill="auto"/>
          </w:tcPr>
          <w:p w:rsidR="00E87882" w:rsidRPr="003B5EA4" w:rsidRDefault="00E87882" w:rsidP="00E87882">
            <w:pPr>
              <w:suppressAutoHyphens w:val="0"/>
              <w:spacing w:before="40" w:after="120"/>
            </w:pPr>
            <w:r w:rsidRPr="003B5EA4">
              <w:rPr>
                <w:rFonts w:asciiTheme="majorBidi" w:hAnsiTheme="majorBidi" w:cstheme="majorBidi"/>
                <w:color w:val="000000"/>
                <w:lang w:eastAsia="zh-CN"/>
              </w:rPr>
              <w:t>Les voyageurs sont fortement encouragés à confirmer leurs itinéraires de voyage le plus tôt possible et à acheter leurs billets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avion au moins 15 jours à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avance afin de profiter des tarifs les plus avantageux</w:t>
            </w:r>
            <w:r w:rsidRPr="003B5EA4">
              <w:t>.</w:t>
            </w:r>
          </w:p>
          <w:p w:rsidR="00E87882" w:rsidRPr="003B5EA4" w:rsidRDefault="00E87882" w:rsidP="00E87882">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Instruction des services administratifs n</w:t>
            </w:r>
            <w:r w:rsidRPr="003B5EA4">
              <w:rPr>
                <w:rFonts w:asciiTheme="majorBidi" w:hAnsiTheme="majorBidi" w:cstheme="majorBidi"/>
                <w:color w:val="000000"/>
                <w:vertAlign w:val="superscript"/>
                <w:lang w:eastAsia="zh-CN"/>
              </w:rPr>
              <w:t>o</w:t>
            </w:r>
            <w:r w:rsidRPr="003B5EA4">
              <w:rPr>
                <w:rFonts w:asciiTheme="majorBidi" w:hAnsiTheme="majorBidi" w:cstheme="majorBidi"/>
                <w:color w:val="000000"/>
                <w:lang w:eastAsia="zh-CN"/>
              </w:rPr>
              <w:t> 01/2016, directives relatives aux voyages officiels pour le personnel de l</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UNRWA, par. 5.11.</w:t>
            </w:r>
          </w:p>
        </w:tc>
      </w:tr>
      <w:tr w:rsidR="0060457F" w:rsidRPr="003B5EA4" w:rsidTr="002A5753">
        <w:trPr>
          <w:trHeight w:val="240"/>
        </w:trPr>
        <w:tc>
          <w:tcPr>
            <w:tcW w:w="1714" w:type="dxa"/>
            <w:tcBorders>
              <w:top w:val="nil"/>
              <w:bottom w:val="single" w:sz="12" w:space="0" w:color="auto"/>
            </w:tcBorders>
            <w:shd w:val="clear" w:color="auto" w:fill="auto"/>
          </w:tcPr>
          <w:p w:rsidR="0060457F" w:rsidRPr="003B5EA4" w:rsidRDefault="0060457F" w:rsidP="0060457F">
            <w:pPr>
              <w:suppressAutoHyphens w:val="0"/>
              <w:spacing w:before="40" w:after="120"/>
            </w:pPr>
            <w:r w:rsidRPr="003B5EA4">
              <w:t>UPU</w:t>
            </w:r>
          </w:p>
        </w:tc>
        <w:tc>
          <w:tcPr>
            <w:tcW w:w="12062" w:type="dxa"/>
            <w:tcBorders>
              <w:top w:val="nil"/>
              <w:bottom w:val="single" w:sz="12" w:space="0" w:color="auto"/>
            </w:tcBorders>
            <w:shd w:val="clear" w:color="auto" w:fill="auto"/>
          </w:tcPr>
          <w:p w:rsidR="0060457F" w:rsidRPr="003B5EA4" w:rsidRDefault="0060457F" w:rsidP="0060457F">
            <w:pPr>
              <w:suppressAutoHyphens w:val="0"/>
              <w:spacing w:before="40" w:after="120"/>
            </w:pPr>
            <w:r w:rsidRPr="003B5EA4">
              <w:rPr>
                <w:rFonts w:asciiTheme="majorBidi" w:hAnsiTheme="majorBidi" w:cstheme="majorBidi"/>
                <w:color w:val="000000"/>
                <w:lang w:eastAsia="zh-CN"/>
              </w:rPr>
              <w:t>Le formulaire d</w:t>
            </w:r>
            <w:r w:rsidR="00762E0A">
              <w:rPr>
                <w:rFonts w:asciiTheme="majorBidi" w:hAnsiTheme="majorBidi" w:cstheme="majorBidi"/>
                <w:color w:val="000000"/>
                <w:lang w:eastAsia="zh-CN"/>
              </w:rPr>
              <w:t>’</w:t>
            </w:r>
            <w:r w:rsidRPr="003B5EA4">
              <w:rPr>
                <w:rFonts w:asciiTheme="majorBidi" w:hAnsiTheme="majorBidi" w:cstheme="majorBidi"/>
                <w:color w:val="000000"/>
                <w:lang w:eastAsia="zh-CN"/>
              </w:rPr>
              <w:t>autorisation de voyage doit être soumis par les voies hiérarchiques voulues le plus tôt possible et le processus doit être terminé au plus tard 15 jours (de préférence quatre semaines) avant la date de départ.</w:t>
            </w:r>
          </w:p>
          <w:p w:rsidR="0060457F" w:rsidRPr="003B5EA4" w:rsidRDefault="0060457F" w:rsidP="0060457F">
            <w:pPr>
              <w:suppressAutoHyphens w:val="0"/>
              <w:spacing w:before="40" w:after="120"/>
            </w:pPr>
            <w:r w:rsidRPr="003B5EA4">
              <w:rPr>
                <w:i/>
              </w:rPr>
              <w:t>Source </w:t>
            </w:r>
            <w:r w:rsidRPr="003B5EA4">
              <w:t xml:space="preserve">: </w:t>
            </w:r>
            <w:r w:rsidRPr="003B5EA4">
              <w:rPr>
                <w:rFonts w:asciiTheme="majorBidi" w:hAnsiTheme="majorBidi" w:cstheme="majorBidi"/>
                <w:color w:val="000000"/>
                <w:lang w:eastAsia="zh-CN"/>
              </w:rPr>
              <w:t xml:space="preserve">Règlement du personnel du </w:t>
            </w:r>
            <w:r w:rsidRPr="003B5EA4">
              <w:rPr>
                <w:bCs/>
              </w:rPr>
              <w:t>Bureau international de l</w:t>
            </w:r>
            <w:r w:rsidR="00762E0A">
              <w:rPr>
                <w:bCs/>
              </w:rPr>
              <w:t>’</w:t>
            </w:r>
            <w:r w:rsidRPr="003B5EA4">
              <w:rPr>
                <w:bCs/>
              </w:rPr>
              <w:t>Union postale universelle</w:t>
            </w:r>
            <w:r w:rsidRPr="003B5EA4">
              <w:rPr>
                <w:rFonts w:asciiTheme="majorBidi" w:hAnsiTheme="majorBidi" w:cstheme="majorBidi"/>
                <w:color w:val="000000"/>
                <w:lang w:eastAsia="zh-CN"/>
              </w:rPr>
              <w:t>, par. 107.7 et 107.11 ; instruction administrative (Direction des ressources humaines) n</w:t>
            </w:r>
            <w:r w:rsidRPr="003B5EA4">
              <w:rPr>
                <w:rFonts w:asciiTheme="majorBidi" w:hAnsiTheme="majorBidi" w:cstheme="majorBidi"/>
                <w:color w:val="000000"/>
                <w:vertAlign w:val="superscript"/>
                <w:lang w:eastAsia="zh-CN"/>
              </w:rPr>
              <w:t>o</w:t>
            </w:r>
            <w:r w:rsidRPr="003B5EA4">
              <w:rPr>
                <w:rFonts w:asciiTheme="majorBidi" w:hAnsiTheme="majorBidi" w:cstheme="majorBidi"/>
                <w:color w:val="000000"/>
                <w:lang w:eastAsia="zh-CN"/>
              </w:rPr>
              <w:t> 10/Rev 8 (A.2).</w:t>
            </w:r>
          </w:p>
        </w:tc>
      </w:tr>
    </w:tbl>
    <w:p w:rsidR="00E27A19" w:rsidRDefault="00E27A19" w:rsidP="00B27A63">
      <w:pPr>
        <w:pStyle w:val="SingleTxtG"/>
        <w:spacing w:before="120" w:after="0"/>
        <w:ind w:left="284" w:firstLine="170"/>
        <w:jc w:val="left"/>
        <w:rPr>
          <w:sz w:val="18"/>
          <w:szCs w:val="18"/>
        </w:rPr>
      </w:pPr>
      <w:r w:rsidRPr="003B5EA4">
        <w:rPr>
          <w:i/>
          <w:sz w:val="18"/>
          <w:szCs w:val="18"/>
        </w:rPr>
        <w:t>Sources</w:t>
      </w:r>
      <w:r w:rsidRPr="003B5EA4">
        <w:rPr>
          <w:sz w:val="18"/>
          <w:szCs w:val="18"/>
        </w:rPr>
        <w:t> :</w:t>
      </w:r>
      <w:r w:rsidRPr="003B5EA4">
        <w:rPr>
          <w:i/>
          <w:sz w:val="18"/>
          <w:szCs w:val="18"/>
        </w:rPr>
        <w:t xml:space="preserve"> </w:t>
      </w:r>
      <w:r w:rsidRPr="003B5EA4">
        <w:rPr>
          <w:sz w:val="18"/>
          <w:szCs w:val="18"/>
        </w:rPr>
        <w:t>Politiques des organismes et réponses des organismes au questionnaire.</w:t>
      </w:r>
    </w:p>
    <w:p w:rsidR="00B27A63" w:rsidRPr="003B5EA4" w:rsidRDefault="00B27A63" w:rsidP="009A0D93">
      <w:pPr>
        <w:pStyle w:val="SingleTxtG"/>
        <w:spacing w:after="240"/>
        <w:ind w:left="284" w:firstLine="170"/>
        <w:jc w:val="left"/>
        <w:rPr>
          <w:iCs/>
          <w:sz w:val="18"/>
          <w:szCs w:val="18"/>
          <w:lang w:eastAsia="fr-CH"/>
        </w:rPr>
      </w:pPr>
      <w:r w:rsidRPr="003B5EA4">
        <w:rPr>
          <w:i/>
          <w:iCs/>
          <w:sz w:val="18"/>
          <w:szCs w:val="18"/>
          <w:lang w:eastAsia="fr-CH"/>
        </w:rPr>
        <w:t>Note</w:t>
      </w:r>
      <w:r w:rsidRPr="003B5EA4">
        <w:rPr>
          <w:iCs/>
          <w:sz w:val="18"/>
          <w:szCs w:val="18"/>
          <w:lang w:eastAsia="fr-CH"/>
        </w:rPr>
        <w:t> : OMT et ONUDI : Pas de politique des voyages anticipés ; ONU-Habitat : Pas de réponse fournie.</w:t>
      </w:r>
    </w:p>
    <w:p w:rsidR="00E27A19" w:rsidRPr="003B5EA4" w:rsidRDefault="00B15A64" w:rsidP="00A81934">
      <w:pPr>
        <w:pStyle w:val="HChG"/>
      </w:pPr>
      <w:r w:rsidRPr="003B5EA4">
        <w:br w:type="page"/>
      </w:r>
      <w:r w:rsidR="00A81934" w:rsidRPr="003B5EA4">
        <w:lastRenderedPageBreak/>
        <w:t>Annexe IX</w:t>
      </w:r>
    </w:p>
    <w:p w:rsidR="00A81934" w:rsidRPr="003B5EA4" w:rsidRDefault="00A81934" w:rsidP="00A81934">
      <w:pPr>
        <w:pStyle w:val="HChG"/>
      </w:pPr>
      <w:r w:rsidRPr="003B5EA4">
        <w:tab/>
      </w:r>
      <w:r w:rsidRPr="003B5EA4">
        <w:tab/>
        <w:t>Économies réalisées par l</w:t>
      </w:r>
      <w:r w:rsidR="00762E0A">
        <w:t>’</w:t>
      </w:r>
      <w:r w:rsidRPr="003B5EA4">
        <w:t>achat des billets d</w:t>
      </w:r>
      <w:r w:rsidR="00762E0A">
        <w:t>’</w:t>
      </w:r>
      <w:r w:rsidRPr="003B5EA4">
        <w:t>avion un ou deux mois à l</w:t>
      </w:r>
      <w:r w:rsidR="00762E0A">
        <w:t>’</w:t>
      </w:r>
      <w:r w:rsidRPr="003B5EA4">
        <w:t>avance au lieu de cinq jours avant le voyage (par itinéraire, en pourcentage)</w:t>
      </w:r>
    </w:p>
    <w:tbl>
      <w:tblPr>
        <w:tblW w:w="13776" w:type="dxa"/>
        <w:tblInd w:w="284" w:type="dxa"/>
        <w:tblBorders>
          <w:top w:val="single" w:sz="4" w:space="0" w:color="auto"/>
        </w:tblBorders>
        <w:tblCellMar>
          <w:left w:w="0" w:type="dxa"/>
          <w:right w:w="0" w:type="dxa"/>
        </w:tblCellMar>
        <w:tblLook w:val="04A0" w:firstRow="1" w:lastRow="0" w:firstColumn="1" w:lastColumn="0" w:noHBand="0" w:noVBand="1"/>
      </w:tblPr>
      <w:tblGrid>
        <w:gridCol w:w="3263"/>
        <w:gridCol w:w="1416"/>
        <w:gridCol w:w="1415"/>
        <w:gridCol w:w="1421"/>
        <w:gridCol w:w="1419"/>
        <w:gridCol w:w="1216"/>
        <w:gridCol w:w="1308"/>
        <w:gridCol w:w="1161"/>
        <w:gridCol w:w="1157"/>
      </w:tblGrid>
      <w:tr w:rsidR="00572537" w:rsidRPr="003B5EA4" w:rsidTr="00EA652E">
        <w:trPr>
          <w:trHeight w:val="240"/>
          <w:tblHeader/>
        </w:trPr>
        <w:tc>
          <w:tcPr>
            <w:tcW w:w="3247" w:type="dxa"/>
            <w:vMerge w:val="restart"/>
            <w:tcBorders>
              <w:top w:val="single" w:sz="4" w:space="0" w:color="auto"/>
            </w:tcBorders>
            <w:shd w:val="clear" w:color="auto" w:fill="auto"/>
            <w:vAlign w:val="bottom"/>
            <w:hideMark/>
          </w:tcPr>
          <w:p w:rsidR="00572537" w:rsidRPr="003B5EA4" w:rsidRDefault="00572537" w:rsidP="00EA652E">
            <w:pPr>
              <w:suppressAutoHyphens w:val="0"/>
              <w:spacing w:before="80" w:after="80" w:line="200" w:lineRule="exact"/>
              <w:rPr>
                <w:i/>
                <w:sz w:val="16"/>
              </w:rPr>
            </w:pPr>
            <w:r w:rsidRPr="003B5EA4">
              <w:rPr>
                <w:i/>
                <w:sz w:val="16"/>
              </w:rPr>
              <w:t>Itinéraire</w:t>
            </w:r>
          </w:p>
        </w:tc>
        <w:tc>
          <w:tcPr>
            <w:tcW w:w="2848" w:type="dxa"/>
            <w:gridSpan w:val="2"/>
            <w:tcBorders>
              <w:top w:val="single" w:sz="4" w:space="0" w:color="auto"/>
              <w:bottom w:val="single" w:sz="4" w:space="0" w:color="auto"/>
              <w:right w:val="single" w:sz="24" w:space="0" w:color="FFFFFF" w:themeColor="background1"/>
            </w:tcBorders>
            <w:shd w:val="clear" w:color="auto" w:fill="auto"/>
            <w:vAlign w:val="bottom"/>
          </w:tcPr>
          <w:p w:rsidR="00572537" w:rsidRPr="003B5EA4" w:rsidRDefault="00572537" w:rsidP="00572537">
            <w:pPr>
              <w:suppressAutoHyphens w:val="0"/>
              <w:spacing w:before="80" w:after="80" w:line="200" w:lineRule="exact"/>
              <w:ind w:left="85" w:right="28"/>
              <w:jc w:val="center"/>
              <w:rPr>
                <w:i/>
                <w:sz w:val="16"/>
              </w:rPr>
            </w:pPr>
            <w:r w:rsidRPr="003B5EA4">
              <w:rPr>
                <w:i/>
                <w:sz w:val="16"/>
              </w:rPr>
              <w:t>Classe économique</w:t>
            </w:r>
          </w:p>
        </w:tc>
        <w:tc>
          <w:tcPr>
            <w:tcW w:w="2857"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tcPr>
          <w:p w:rsidR="00572537" w:rsidRPr="003B5EA4" w:rsidRDefault="00572537" w:rsidP="00881960">
            <w:pPr>
              <w:suppressAutoHyphens w:val="0"/>
              <w:spacing w:before="80" w:after="80" w:line="200" w:lineRule="exact"/>
              <w:ind w:left="85" w:right="28"/>
              <w:jc w:val="center"/>
              <w:rPr>
                <w:i/>
                <w:sz w:val="16"/>
              </w:rPr>
            </w:pPr>
            <w:r w:rsidRPr="003B5EA4">
              <w:rPr>
                <w:i/>
                <w:sz w:val="16"/>
              </w:rPr>
              <w:t>Clas</w:t>
            </w:r>
            <w:r w:rsidR="0059777D" w:rsidRPr="003B5EA4">
              <w:rPr>
                <w:i/>
                <w:sz w:val="16"/>
              </w:rPr>
              <w:t>s</w:t>
            </w:r>
            <w:r w:rsidRPr="003B5EA4">
              <w:rPr>
                <w:i/>
                <w:sz w:val="16"/>
              </w:rPr>
              <w:t xml:space="preserve">e </w:t>
            </w:r>
            <w:r w:rsidR="0059777D" w:rsidRPr="003B5EA4">
              <w:rPr>
                <w:i/>
                <w:sz w:val="16"/>
              </w:rPr>
              <w:t xml:space="preserve">économique </w:t>
            </w:r>
            <w:r w:rsidR="00881960" w:rsidRPr="003B5EA4">
              <w:rPr>
                <w:i/>
                <w:sz w:val="16"/>
              </w:rPr>
              <w:t>« premium »</w:t>
            </w:r>
          </w:p>
        </w:tc>
        <w:tc>
          <w:tcPr>
            <w:tcW w:w="2492" w:type="dxa"/>
            <w:gridSpan w:val="2"/>
            <w:tcBorders>
              <w:top w:val="single" w:sz="4" w:space="0" w:color="auto"/>
              <w:left w:val="single" w:sz="24" w:space="0" w:color="FFFFFF" w:themeColor="background1"/>
              <w:bottom w:val="single" w:sz="4" w:space="0" w:color="auto"/>
              <w:right w:val="single" w:sz="24" w:space="0" w:color="FFFFFF" w:themeColor="background1"/>
            </w:tcBorders>
            <w:shd w:val="clear" w:color="auto" w:fill="auto"/>
            <w:vAlign w:val="bottom"/>
            <w:hideMark/>
          </w:tcPr>
          <w:p w:rsidR="00572537" w:rsidRPr="003B5EA4" w:rsidRDefault="00572537" w:rsidP="00881960">
            <w:pPr>
              <w:suppressAutoHyphens w:val="0"/>
              <w:spacing w:before="80" w:after="80" w:line="200" w:lineRule="exact"/>
              <w:ind w:left="85" w:right="28"/>
              <w:jc w:val="center"/>
              <w:rPr>
                <w:i/>
                <w:sz w:val="16"/>
              </w:rPr>
            </w:pPr>
            <w:r w:rsidRPr="003B5EA4">
              <w:rPr>
                <w:i/>
                <w:sz w:val="16"/>
              </w:rPr>
              <w:t>Clas</w:t>
            </w:r>
            <w:r w:rsidR="00881960" w:rsidRPr="003B5EA4">
              <w:rPr>
                <w:i/>
                <w:sz w:val="16"/>
              </w:rPr>
              <w:t>s</w:t>
            </w:r>
            <w:r w:rsidRPr="003B5EA4">
              <w:rPr>
                <w:i/>
                <w:sz w:val="16"/>
              </w:rPr>
              <w:t xml:space="preserve">e </w:t>
            </w:r>
            <w:r w:rsidR="00881960" w:rsidRPr="003B5EA4">
              <w:rPr>
                <w:i/>
                <w:sz w:val="16"/>
              </w:rPr>
              <w:t>affaires</w:t>
            </w:r>
          </w:p>
        </w:tc>
        <w:tc>
          <w:tcPr>
            <w:tcW w:w="2332" w:type="dxa"/>
            <w:gridSpan w:val="2"/>
            <w:tcBorders>
              <w:top w:val="single" w:sz="4" w:space="0" w:color="auto"/>
              <w:left w:val="single" w:sz="24" w:space="0" w:color="FFFFFF" w:themeColor="background1"/>
              <w:bottom w:val="single" w:sz="4" w:space="0" w:color="auto"/>
            </w:tcBorders>
            <w:shd w:val="clear" w:color="auto" w:fill="auto"/>
            <w:vAlign w:val="bottom"/>
          </w:tcPr>
          <w:p w:rsidR="00572537" w:rsidRPr="003B5EA4" w:rsidRDefault="00881960" w:rsidP="00881960">
            <w:pPr>
              <w:suppressAutoHyphens w:val="0"/>
              <w:spacing w:before="80" w:after="80" w:line="200" w:lineRule="exact"/>
              <w:ind w:left="85" w:right="28"/>
              <w:jc w:val="center"/>
              <w:rPr>
                <w:i/>
                <w:sz w:val="16"/>
              </w:rPr>
            </w:pPr>
            <w:r w:rsidRPr="003B5EA4">
              <w:rPr>
                <w:i/>
                <w:sz w:val="16"/>
              </w:rPr>
              <w:t>Première classe</w:t>
            </w:r>
          </w:p>
        </w:tc>
      </w:tr>
      <w:tr w:rsidR="00505CE4" w:rsidRPr="003B5EA4" w:rsidTr="00EA652E">
        <w:trPr>
          <w:trHeight w:val="240"/>
          <w:tblHeader/>
        </w:trPr>
        <w:tc>
          <w:tcPr>
            <w:tcW w:w="3247" w:type="dxa"/>
            <w:vMerge/>
            <w:tcBorders>
              <w:bottom w:val="single" w:sz="12" w:space="0" w:color="auto"/>
            </w:tcBorders>
            <w:shd w:val="clear" w:color="auto" w:fill="auto"/>
            <w:vAlign w:val="bottom"/>
          </w:tcPr>
          <w:p w:rsidR="00572537" w:rsidRPr="003B5EA4" w:rsidRDefault="00572537" w:rsidP="00EA652E">
            <w:pPr>
              <w:suppressAutoHyphens w:val="0"/>
              <w:spacing w:before="80" w:after="80" w:line="200" w:lineRule="exact"/>
              <w:rPr>
                <w:i/>
                <w:sz w:val="16"/>
              </w:rPr>
            </w:pPr>
          </w:p>
        </w:tc>
        <w:tc>
          <w:tcPr>
            <w:tcW w:w="1424" w:type="dxa"/>
            <w:tcBorders>
              <w:top w:val="single" w:sz="4" w:space="0" w:color="auto"/>
              <w:bottom w:val="single" w:sz="12" w:space="0" w:color="auto"/>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31 </w:t>
            </w:r>
            <w:r w:rsidR="0059777D" w:rsidRPr="003B5EA4">
              <w:rPr>
                <w:i/>
                <w:sz w:val="16"/>
              </w:rPr>
              <w:t>jours</w:t>
            </w:r>
          </w:p>
        </w:tc>
        <w:tc>
          <w:tcPr>
            <w:tcW w:w="1424" w:type="dxa"/>
            <w:tcBorders>
              <w:top w:val="single" w:sz="4" w:space="0" w:color="auto"/>
              <w:bottom w:val="single" w:sz="12" w:space="0" w:color="auto"/>
              <w:right w:val="single" w:sz="24" w:space="0" w:color="FFFFFF" w:themeColor="background1"/>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60 </w:t>
            </w:r>
            <w:r w:rsidR="0059777D" w:rsidRPr="003B5EA4">
              <w:rPr>
                <w:i/>
                <w:sz w:val="16"/>
              </w:rPr>
              <w:t>jours</w:t>
            </w:r>
          </w:p>
        </w:tc>
        <w:tc>
          <w:tcPr>
            <w:tcW w:w="1430" w:type="dxa"/>
            <w:tcBorders>
              <w:top w:val="single" w:sz="4" w:space="0" w:color="auto"/>
              <w:left w:val="single" w:sz="24" w:space="0" w:color="FFFFFF" w:themeColor="background1"/>
              <w:bottom w:val="single" w:sz="12" w:space="0" w:color="auto"/>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31 </w:t>
            </w:r>
            <w:r w:rsidR="0059777D" w:rsidRPr="003B5EA4">
              <w:rPr>
                <w:i/>
                <w:sz w:val="16"/>
              </w:rPr>
              <w:t>jours</w:t>
            </w:r>
          </w:p>
        </w:tc>
        <w:tc>
          <w:tcPr>
            <w:tcW w:w="1427" w:type="dxa"/>
            <w:tcBorders>
              <w:top w:val="single" w:sz="4" w:space="0" w:color="auto"/>
              <w:bottom w:val="single" w:sz="12" w:space="0" w:color="auto"/>
              <w:right w:val="single" w:sz="24" w:space="0" w:color="FFFFFF" w:themeColor="background1"/>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60 </w:t>
            </w:r>
            <w:r w:rsidR="0059777D" w:rsidRPr="003B5EA4">
              <w:rPr>
                <w:i/>
                <w:sz w:val="16"/>
              </w:rPr>
              <w:t>jours</w:t>
            </w:r>
          </w:p>
        </w:tc>
        <w:tc>
          <w:tcPr>
            <w:tcW w:w="1200" w:type="dxa"/>
            <w:tcBorders>
              <w:top w:val="single" w:sz="4" w:space="0" w:color="auto"/>
              <w:left w:val="single" w:sz="24" w:space="0" w:color="FFFFFF" w:themeColor="background1"/>
              <w:bottom w:val="single" w:sz="12" w:space="0" w:color="auto"/>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31</w:t>
            </w:r>
            <w:r w:rsidR="0059777D" w:rsidRPr="003B5EA4">
              <w:rPr>
                <w:i/>
                <w:sz w:val="16"/>
              </w:rPr>
              <w:t xml:space="preserve"> jours</w:t>
            </w:r>
          </w:p>
        </w:tc>
        <w:tc>
          <w:tcPr>
            <w:tcW w:w="1292" w:type="dxa"/>
            <w:tcBorders>
              <w:top w:val="single" w:sz="4" w:space="0" w:color="auto"/>
              <w:bottom w:val="single" w:sz="12" w:space="0" w:color="auto"/>
              <w:right w:val="single" w:sz="24" w:space="0" w:color="FFFFFF" w:themeColor="background1"/>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60 </w:t>
            </w:r>
            <w:r w:rsidR="0059777D" w:rsidRPr="003B5EA4">
              <w:rPr>
                <w:i/>
                <w:sz w:val="16"/>
              </w:rPr>
              <w:t>jours</w:t>
            </w:r>
          </w:p>
        </w:tc>
        <w:tc>
          <w:tcPr>
            <w:tcW w:w="1168" w:type="dxa"/>
            <w:tcBorders>
              <w:top w:val="single" w:sz="4" w:space="0" w:color="auto"/>
              <w:left w:val="single" w:sz="24" w:space="0" w:color="FFFFFF" w:themeColor="background1"/>
              <w:bottom w:val="single" w:sz="12" w:space="0" w:color="auto"/>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31 </w:t>
            </w:r>
            <w:r w:rsidR="0059777D" w:rsidRPr="003B5EA4">
              <w:rPr>
                <w:i/>
                <w:sz w:val="16"/>
              </w:rPr>
              <w:t>jours</w:t>
            </w:r>
          </w:p>
        </w:tc>
        <w:tc>
          <w:tcPr>
            <w:tcW w:w="1164" w:type="dxa"/>
            <w:tcBorders>
              <w:top w:val="single" w:sz="4" w:space="0" w:color="auto"/>
              <w:bottom w:val="single" w:sz="12" w:space="0" w:color="auto"/>
            </w:tcBorders>
            <w:shd w:val="clear" w:color="auto" w:fill="auto"/>
            <w:vAlign w:val="bottom"/>
          </w:tcPr>
          <w:p w:rsidR="00572537" w:rsidRPr="003B5EA4" w:rsidRDefault="00572537" w:rsidP="006473B4">
            <w:pPr>
              <w:suppressAutoHyphens w:val="0"/>
              <w:spacing w:before="80" w:after="80" w:line="200" w:lineRule="exact"/>
              <w:jc w:val="right"/>
              <w:rPr>
                <w:i/>
                <w:sz w:val="16"/>
              </w:rPr>
            </w:pPr>
            <w:r w:rsidRPr="003B5EA4">
              <w:rPr>
                <w:i/>
                <w:sz w:val="16"/>
              </w:rPr>
              <w:t xml:space="preserve">De 5 </w:t>
            </w:r>
            <w:r w:rsidR="0059777D" w:rsidRPr="003B5EA4">
              <w:rPr>
                <w:i/>
                <w:sz w:val="16"/>
              </w:rPr>
              <w:t>à</w:t>
            </w:r>
            <w:r w:rsidRPr="003B5EA4">
              <w:rPr>
                <w:i/>
                <w:sz w:val="16"/>
              </w:rPr>
              <w:t xml:space="preserve"> 60 </w:t>
            </w:r>
            <w:r w:rsidR="0059777D" w:rsidRPr="003B5EA4">
              <w:rPr>
                <w:i/>
                <w:sz w:val="16"/>
              </w:rPr>
              <w:t>jours</w:t>
            </w:r>
          </w:p>
        </w:tc>
      </w:tr>
      <w:tr w:rsidR="00505CE4" w:rsidRPr="003B5EA4" w:rsidTr="00EA652E">
        <w:trPr>
          <w:trHeight w:val="240"/>
        </w:trPr>
        <w:tc>
          <w:tcPr>
            <w:tcW w:w="3247" w:type="dxa"/>
            <w:tcBorders>
              <w:top w:val="single" w:sz="12" w:space="0" w:color="auto"/>
            </w:tcBorders>
            <w:shd w:val="clear" w:color="auto" w:fill="auto"/>
            <w:noWrap/>
            <w:hideMark/>
          </w:tcPr>
          <w:p w:rsidR="00572537" w:rsidRPr="003B5EA4" w:rsidRDefault="00505CE4" w:rsidP="00EA652E">
            <w:pPr>
              <w:suppressAutoHyphens w:val="0"/>
              <w:spacing w:before="40" w:after="40" w:line="220" w:lineRule="exact"/>
              <w:rPr>
                <w:sz w:val="18"/>
              </w:rPr>
            </w:pPr>
            <w:r w:rsidRPr="003B5EA4">
              <w:rPr>
                <w:sz w:val="18"/>
              </w:rPr>
              <w:t>New York-Genève</w:t>
            </w:r>
          </w:p>
        </w:tc>
        <w:tc>
          <w:tcPr>
            <w:tcW w:w="1424" w:type="dxa"/>
            <w:tcBorders>
              <w:top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30</w:t>
            </w:r>
            <w:r w:rsidR="00B17F68" w:rsidRPr="003B5EA4">
              <w:rPr>
                <w:sz w:val="18"/>
              </w:rPr>
              <w:t> %</w:t>
            </w:r>
          </w:p>
        </w:tc>
        <w:tc>
          <w:tcPr>
            <w:tcW w:w="1424" w:type="dxa"/>
            <w:tcBorders>
              <w:top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55</w:t>
            </w:r>
            <w:r w:rsidR="00B17F68" w:rsidRPr="003B5EA4">
              <w:rPr>
                <w:sz w:val="18"/>
              </w:rPr>
              <w:t> %</w:t>
            </w:r>
          </w:p>
        </w:tc>
        <w:tc>
          <w:tcPr>
            <w:tcW w:w="1430" w:type="dxa"/>
            <w:tcBorders>
              <w:top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36</w:t>
            </w:r>
            <w:r w:rsidR="00B17F68" w:rsidRPr="003B5EA4">
              <w:rPr>
                <w:sz w:val="18"/>
              </w:rPr>
              <w:t> %</w:t>
            </w:r>
          </w:p>
        </w:tc>
        <w:tc>
          <w:tcPr>
            <w:tcW w:w="1427" w:type="dxa"/>
            <w:tcBorders>
              <w:top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100</w:t>
            </w:r>
            <w:r w:rsidR="00B17F68" w:rsidRPr="003B5EA4">
              <w:rPr>
                <w:sz w:val="18"/>
              </w:rPr>
              <w:t> %</w:t>
            </w:r>
          </w:p>
        </w:tc>
        <w:tc>
          <w:tcPr>
            <w:tcW w:w="1200" w:type="dxa"/>
            <w:tcBorders>
              <w:top w:val="single" w:sz="12" w:space="0" w:color="auto"/>
            </w:tcBorders>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-1</w:t>
            </w:r>
            <w:r w:rsidR="00B17F68" w:rsidRPr="003B5EA4">
              <w:rPr>
                <w:sz w:val="18"/>
              </w:rPr>
              <w:t> %</w:t>
            </w:r>
          </w:p>
        </w:tc>
        <w:tc>
          <w:tcPr>
            <w:tcW w:w="1292" w:type="dxa"/>
            <w:tcBorders>
              <w:top w:val="single" w:sz="12" w:space="0" w:color="auto"/>
            </w:tcBorders>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45</w:t>
            </w:r>
            <w:r w:rsidR="00B17F68" w:rsidRPr="003B5EA4">
              <w:rPr>
                <w:sz w:val="18"/>
              </w:rPr>
              <w:t> %</w:t>
            </w:r>
          </w:p>
        </w:tc>
        <w:tc>
          <w:tcPr>
            <w:tcW w:w="1168" w:type="dxa"/>
            <w:tcBorders>
              <w:top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32</w:t>
            </w:r>
            <w:r w:rsidR="00B17F68" w:rsidRPr="003B5EA4">
              <w:rPr>
                <w:sz w:val="18"/>
              </w:rPr>
              <w:t> %</w:t>
            </w:r>
          </w:p>
        </w:tc>
        <w:tc>
          <w:tcPr>
            <w:tcW w:w="1164" w:type="dxa"/>
            <w:tcBorders>
              <w:top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32</w:t>
            </w:r>
            <w:r w:rsidR="00B17F68" w:rsidRPr="003B5EA4">
              <w:rPr>
                <w:sz w:val="18"/>
              </w:rPr>
              <w:t> %</w:t>
            </w:r>
          </w:p>
        </w:tc>
      </w:tr>
      <w:tr w:rsidR="00505CE4" w:rsidRPr="003B5EA4" w:rsidTr="00EA652E">
        <w:trPr>
          <w:trHeight w:val="240"/>
        </w:trPr>
        <w:tc>
          <w:tcPr>
            <w:tcW w:w="3247" w:type="dxa"/>
            <w:shd w:val="clear" w:color="auto" w:fill="auto"/>
            <w:noWrap/>
            <w:hideMark/>
          </w:tcPr>
          <w:p w:rsidR="00572537" w:rsidRPr="003B5EA4" w:rsidRDefault="00505CE4" w:rsidP="00505CE4">
            <w:pPr>
              <w:suppressAutoHyphens w:val="0"/>
              <w:spacing w:before="40" w:after="40" w:line="220" w:lineRule="exact"/>
              <w:rPr>
                <w:sz w:val="18"/>
              </w:rPr>
            </w:pPr>
            <w:r w:rsidRPr="003B5EA4">
              <w:rPr>
                <w:sz w:val="18"/>
              </w:rPr>
              <w:t>Genève-Bangkok</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21</w:t>
            </w:r>
            <w:r w:rsidR="00B17F68" w:rsidRPr="003B5EA4">
              <w:rPr>
                <w:sz w:val="18"/>
              </w:rPr>
              <w:t> %</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15</w:t>
            </w:r>
            <w:r w:rsidR="00B17F68" w:rsidRPr="003B5EA4">
              <w:rPr>
                <w:sz w:val="18"/>
              </w:rPr>
              <w:t> %</w:t>
            </w:r>
          </w:p>
        </w:tc>
        <w:tc>
          <w:tcPr>
            <w:tcW w:w="1430"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-15</w:t>
            </w:r>
            <w:r w:rsidR="00B17F68" w:rsidRPr="003B5EA4">
              <w:rPr>
                <w:sz w:val="18"/>
              </w:rPr>
              <w:t> %</w:t>
            </w:r>
          </w:p>
        </w:tc>
        <w:tc>
          <w:tcPr>
            <w:tcW w:w="1427"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-36</w:t>
            </w:r>
            <w:r w:rsidR="00B17F68" w:rsidRPr="003B5EA4">
              <w:rPr>
                <w:sz w:val="18"/>
              </w:rPr>
              <w:t> %</w:t>
            </w:r>
          </w:p>
        </w:tc>
        <w:tc>
          <w:tcPr>
            <w:tcW w:w="1200"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20</w:t>
            </w:r>
            <w:r w:rsidR="00B17F68" w:rsidRPr="003B5EA4">
              <w:rPr>
                <w:sz w:val="18"/>
              </w:rPr>
              <w:t> %</w:t>
            </w:r>
          </w:p>
        </w:tc>
        <w:tc>
          <w:tcPr>
            <w:tcW w:w="1292"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7</w:t>
            </w:r>
            <w:r w:rsidR="00B17F68" w:rsidRPr="003B5EA4">
              <w:rPr>
                <w:sz w:val="18"/>
              </w:rPr>
              <w:t> %</w:t>
            </w:r>
          </w:p>
        </w:tc>
        <w:tc>
          <w:tcPr>
            <w:tcW w:w="1168"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-35</w:t>
            </w:r>
            <w:r w:rsidR="00B17F68" w:rsidRPr="003B5EA4">
              <w:rPr>
                <w:sz w:val="18"/>
              </w:rPr>
              <w:t> %</w:t>
            </w:r>
          </w:p>
        </w:tc>
        <w:tc>
          <w:tcPr>
            <w:tcW w:w="116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-8</w:t>
            </w:r>
            <w:r w:rsidR="00B17F68" w:rsidRPr="003B5EA4">
              <w:rPr>
                <w:sz w:val="18"/>
              </w:rPr>
              <w:t> %</w:t>
            </w:r>
          </w:p>
        </w:tc>
      </w:tr>
      <w:tr w:rsidR="00505CE4" w:rsidRPr="003B5EA4" w:rsidTr="00EA652E">
        <w:trPr>
          <w:trHeight w:val="240"/>
        </w:trPr>
        <w:tc>
          <w:tcPr>
            <w:tcW w:w="3247" w:type="dxa"/>
            <w:shd w:val="clear" w:color="auto" w:fill="auto"/>
            <w:noWrap/>
            <w:hideMark/>
          </w:tcPr>
          <w:p w:rsidR="00572537" w:rsidRPr="003B5EA4" w:rsidRDefault="00505CE4" w:rsidP="00EA652E">
            <w:pPr>
              <w:suppressAutoHyphens w:val="0"/>
              <w:spacing w:before="40" w:after="40" w:line="220" w:lineRule="exact"/>
              <w:rPr>
                <w:sz w:val="18"/>
              </w:rPr>
            </w:pPr>
            <w:r w:rsidRPr="003B5EA4">
              <w:rPr>
                <w:sz w:val="18"/>
              </w:rPr>
              <w:t>New York-Rome</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49</w:t>
            </w:r>
            <w:r w:rsidR="00B17F68" w:rsidRPr="003B5EA4">
              <w:rPr>
                <w:sz w:val="18"/>
              </w:rPr>
              <w:t> %</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52</w:t>
            </w:r>
            <w:r w:rsidR="00B17F68" w:rsidRPr="003B5EA4">
              <w:rPr>
                <w:sz w:val="18"/>
              </w:rPr>
              <w:t> %</w:t>
            </w:r>
          </w:p>
        </w:tc>
        <w:tc>
          <w:tcPr>
            <w:tcW w:w="1430"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-47</w:t>
            </w:r>
            <w:r w:rsidR="00B17F68" w:rsidRPr="003B5EA4">
              <w:rPr>
                <w:sz w:val="18"/>
              </w:rPr>
              <w:t> %</w:t>
            </w:r>
          </w:p>
        </w:tc>
        <w:tc>
          <w:tcPr>
            <w:tcW w:w="1427"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-4%</w:t>
            </w:r>
          </w:p>
        </w:tc>
        <w:tc>
          <w:tcPr>
            <w:tcW w:w="1200"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25%</w:t>
            </w:r>
          </w:p>
        </w:tc>
        <w:tc>
          <w:tcPr>
            <w:tcW w:w="1292"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46</w:t>
            </w:r>
            <w:r w:rsidR="00B17F68" w:rsidRPr="003B5EA4">
              <w:rPr>
                <w:sz w:val="18"/>
              </w:rPr>
              <w:t> %</w:t>
            </w:r>
          </w:p>
        </w:tc>
        <w:tc>
          <w:tcPr>
            <w:tcW w:w="1168"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26</w:t>
            </w:r>
            <w:r w:rsidR="00B17F68" w:rsidRPr="003B5EA4">
              <w:rPr>
                <w:sz w:val="18"/>
              </w:rPr>
              <w:t> %</w:t>
            </w:r>
          </w:p>
        </w:tc>
        <w:tc>
          <w:tcPr>
            <w:tcW w:w="116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30</w:t>
            </w:r>
            <w:r w:rsidR="00B17F68" w:rsidRPr="003B5EA4">
              <w:rPr>
                <w:sz w:val="18"/>
              </w:rPr>
              <w:t> %</w:t>
            </w:r>
          </w:p>
        </w:tc>
      </w:tr>
      <w:tr w:rsidR="00505CE4" w:rsidRPr="003B5EA4" w:rsidTr="00EA652E">
        <w:trPr>
          <w:trHeight w:val="240"/>
        </w:trPr>
        <w:tc>
          <w:tcPr>
            <w:tcW w:w="3247" w:type="dxa"/>
            <w:shd w:val="clear" w:color="auto" w:fill="auto"/>
            <w:noWrap/>
            <w:hideMark/>
          </w:tcPr>
          <w:p w:rsidR="00572537" w:rsidRPr="003B5EA4" w:rsidRDefault="00B02E6B" w:rsidP="00505CE4">
            <w:pPr>
              <w:suppressAutoHyphens w:val="0"/>
              <w:spacing w:before="40" w:after="40" w:line="220" w:lineRule="exact"/>
              <w:rPr>
                <w:sz w:val="18"/>
              </w:rPr>
            </w:pPr>
            <w:r>
              <w:rPr>
                <w:sz w:val="18"/>
              </w:rPr>
              <w:t>Genève-Nairobi</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-18</w:t>
            </w:r>
            <w:r w:rsidR="00B17F68" w:rsidRPr="003B5EA4">
              <w:rPr>
                <w:sz w:val="18"/>
              </w:rPr>
              <w:t> %</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8</w:t>
            </w:r>
            <w:r w:rsidR="00B17F68" w:rsidRPr="003B5EA4">
              <w:rPr>
                <w:sz w:val="18"/>
              </w:rPr>
              <w:t> %</w:t>
            </w:r>
          </w:p>
        </w:tc>
        <w:tc>
          <w:tcPr>
            <w:tcW w:w="1430"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11</w:t>
            </w:r>
            <w:r w:rsidR="00B17F68" w:rsidRPr="003B5EA4">
              <w:rPr>
                <w:sz w:val="18"/>
              </w:rPr>
              <w:t> %</w:t>
            </w:r>
          </w:p>
        </w:tc>
        <w:tc>
          <w:tcPr>
            <w:tcW w:w="1427"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8</w:t>
            </w:r>
            <w:r w:rsidR="00B17F68" w:rsidRPr="003B5EA4">
              <w:rPr>
                <w:sz w:val="18"/>
              </w:rPr>
              <w:t> %</w:t>
            </w:r>
          </w:p>
        </w:tc>
        <w:tc>
          <w:tcPr>
            <w:tcW w:w="1200"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5</w:t>
            </w:r>
            <w:r w:rsidR="00B17F68" w:rsidRPr="003B5EA4">
              <w:rPr>
                <w:sz w:val="18"/>
              </w:rPr>
              <w:t> %</w:t>
            </w:r>
          </w:p>
        </w:tc>
        <w:tc>
          <w:tcPr>
            <w:tcW w:w="1292"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3</w:t>
            </w:r>
            <w:r w:rsidR="00B17F68" w:rsidRPr="003B5EA4">
              <w:rPr>
                <w:sz w:val="18"/>
              </w:rPr>
              <w:t> %</w:t>
            </w:r>
          </w:p>
        </w:tc>
        <w:tc>
          <w:tcPr>
            <w:tcW w:w="1168"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21</w:t>
            </w:r>
            <w:r w:rsidR="00B17F68" w:rsidRPr="003B5EA4">
              <w:rPr>
                <w:sz w:val="18"/>
              </w:rPr>
              <w:t> %</w:t>
            </w:r>
          </w:p>
        </w:tc>
        <w:tc>
          <w:tcPr>
            <w:tcW w:w="116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34</w:t>
            </w:r>
            <w:r w:rsidR="00B17F68" w:rsidRPr="003B5EA4">
              <w:rPr>
                <w:sz w:val="18"/>
              </w:rPr>
              <w:t> %</w:t>
            </w:r>
          </w:p>
        </w:tc>
      </w:tr>
      <w:tr w:rsidR="00505CE4" w:rsidRPr="003B5EA4" w:rsidTr="00EA652E">
        <w:trPr>
          <w:trHeight w:val="240"/>
        </w:trPr>
        <w:tc>
          <w:tcPr>
            <w:tcW w:w="3247" w:type="dxa"/>
            <w:shd w:val="clear" w:color="auto" w:fill="auto"/>
            <w:noWrap/>
            <w:hideMark/>
          </w:tcPr>
          <w:p w:rsidR="00572537" w:rsidRPr="003B5EA4" w:rsidRDefault="00505CE4" w:rsidP="00EA652E">
            <w:pPr>
              <w:suppressAutoHyphens w:val="0"/>
              <w:spacing w:before="40" w:after="40" w:line="220" w:lineRule="exact"/>
              <w:rPr>
                <w:sz w:val="18"/>
              </w:rPr>
            </w:pPr>
            <w:r w:rsidRPr="003B5EA4">
              <w:rPr>
                <w:sz w:val="18"/>
              </w:rPr>
              <w:t>Beyrouth-New York</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40</w:t>
            </w:r>
            <w:r w:rsidR="00B17F68" w:rsidRPr="003B5EA4">
              <w:rPr>
                <w:sz w:val="18"/>
              </w:rPr>
              <w:t> %</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19</w:t>
            </w:r>
            <w:r w:rsidR="00B17F68" w:rsidRPr="003B5EA4">
              <w:rPr>
                <w:sz w:val="18"/>
              </w:rPr>
              <w:t> %</w:t>
            </w:r>
          </w:p>
        </w:tc>
        <w:tc>
          <w:tcPr>
            <w:tcW w:w="1430"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17</w:t>
            </w:r>
            <w:r w:rsidR="00B17F68" w:rsidRPr="003B5EA4">
              <w:rPr>
                <w:sz w:val="18"/>
              </w:rPr>
              <w:t> %</w:t>
            </w:r>
          </w:p>
        </w:tc>
        <w:tc>
          <w:tcPr>
            <w:tcW w:w="1427"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31</w:t>
            </w:r>
            <w:r w:rsidR="00B17F68" w:rsidRPr="003B5EA4">
              <w:rPr>
                <w:sz w:val="18"/>
              </w:rPr>
              <w:t> %</w:t>
            </w:r>
          </w:p>
        </w:tc>
        <w:tc>
          <w:tcPr>
            <w:tcW w:w="1200"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29</w:t>
            </w:r>
            <w:r w:rsidR="00B17F68" w:rsidRPr="003B5EA4">
              <w:rPr>
                <w:sz w:val="18"/>
              </w:rPr>
              <w:t> %</w:t>
            </w:r>
          </w:p>
        </w:tc>
        <w:tc>
          <w:tcPr>
            <w:tcW w:w="1292"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35</w:t>
            </w:r>
            <w:r w:rsidR="00B17F68" w:rsidRPr="003B5EA4">
              <w:rPr>
                <w:sz w:val="18"/>
              </w:rPr>
              <w:t> %</w:t>
            </w:r>
          </w:p>
        </w:tc>
        <w:tc>
          <w:tcPr>
            <w:tcW w:w="1168"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34</w:t>
            </w:r>
            <w:r w:rsidR="00B17F68" w:rsidRPr="003B5EA4">
              <w:rPr>
                <w:sz w:val="18"/>
              </w:rPr>
              <w:t> %</w:t>
            </w:r>
          </w:p>
        </w:tc>
        <w:tc>
          <w:tcPr>
            <w:tcW w:w="116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36</w:t>
            </w:r>
            <w:r w:rsidR="00B17F68" w:rsidRPr="003B5EA4">
              <w:rPr>
                <w:sz w:val="18"/>
              </w:rPr>
              <w:t> %</w:t>
            </w:r>
          </w:p>
        </w:tc>
      </w:tr>
      <w:tr w:rsidR="00505CE4" w:rsidRPr="003B5EA4" w:rsidTr="00EA652E">
        <w:trPr>
          <w:trHeight w:val="240"/>
        </w:trPr>
        <w:tc>
          <w:tcPr>
            <w:tcW w:w="3247" w:type="dxa"/>
            <w:shd w:val="clear" w:color="auto" w:fill="auto"/>
            <w:noWrap/>
            <w:hideMark/>
          </w:tcPr>
          <w:p w:rsidR="00572537" w:rsidRPr="003B5EA4" w:rsidRDefault="00505CE4" w:rsidP="00EA652E">
            <w:pPr>
              <w:suppressAutoHyphens w:val="0"/>
              <w:spacing w:before="40" w:after="40" w:line="220" w:lineRule="exact"/>
              <w:rPr>
                <w:sz w:val="18"/>
              </w:rPr>
            </w:pPr>
            <w:r w:rsidRPr="003B5EA4">
              <w:rPr>
                <w:sz w:val="18"/>
              </w:rPr>
              <w:t>Addis-Abeba-New York</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62</w:t>
            </w:r>
            <w:r w:rsidR="00B17F68" w:rsidRPr="003B5EA4">
              <w:rPr>
                <w:sz w:val="18"/>
              </w:rPr>
              <w:t> %</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59</w:t>
            </w:r>
            <w:r w:rsidR="00B17F68" w:rsidRPr="003B5EA4">
              <w:rPr>
                <w:sz w:val="18"/>
              </w:rPr>
              <w:t> %</w:t>
            </w:r>
          </w:p>
        </w:tc>
        <w:tc>
          <w:tcPr>
            <w:tcW w:w="1430"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w:t>
            </w:r>
            <w:r w:rsidR="00B17F68" w:rsidRPr="003B5EA4">
              <w:rPr>
                <w:sz w:val="18"/>
              </w:rPr>
              <w:t> %</w:t>
            </w:r>
          </w:p>
        </w:tc>
        <w:tc>
          <w:tcPr>
            <w:tcW w:w="1427"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w:t>
            </w:r>
            <w:r w:rsidR="00B17F68" w:rsidRPr="003B5EA4">
              <w:rPr>
                <w:sz w:val="18"/>
              </w:rPr>
              <w:t> %</w:t>
            </w:r>
          </w:p>
        </w:tc>
        <w:tc>
          <w:tcPr>
            <w:tcW w:w="1200"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31</w:t>
            </w:r>
            <w:r w:rsidR="00B17F68" w:rsidRPr="003B5EA4">
              <w:rPr>
                <w:sz w:val="18"/>
              </w:rPr>
              <w:t> %</w:t>
            </w:r>
          </w:p>
        </w:tc>
        <w:tc>
          <w:tcPr>
            <w:tcW w:w="1292"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8</w:t>
            </w:r>
            <w:r w:rsidR="00B17F68" w:rsidRPr="003B5EA4">
              <w:rPr>
                <w:sz w:val="18"/>
              </w:rPr>
              <w:t> %</w:t>
            </w:r>
          </w:p>
        </w:tc>
        <w:tc>
          <w:tcPr>
            <w:tcW w:w="1168"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15</w:t>
            </w:r>
            <w:r w:rsidR="00B17F68" w:rsidRPr="003B5EA4">
              <w:rPr>
                <w:sz w:val="18"/>
              </w:rPr>
              <w:t> %</w:t>
            </w:r>
          </w:p>
        </w:tc>
        <w:tc>
          <w:tcPr>
            <w:tcW w:w="116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10</w:t>
            </w:r>
            <w:r w:rsidR="00B17F68" w:rsidRPr="003B5EA4">
              <w:rPr>
                <w:sz w:val="18"/>
              </w:rPr>
              <w:t> %</w:t>
            </w:r>
          </w:p>
        </w:tc>
      </w:tr>
      <w:tr w:rsidR="00505CE4" w:rsidRPr="003B5EA4" w:rsidTr="00EA652E">
        <w:trPr>
          <w:trHeight w:val="240"/>
        </w:trPr>
        <w:tc>
          <w:tcPr>
            <w:tcW w:w="3247" w:type="dxa"/>
            <w:shd w:val="clear" w:color="auto" w:fill="auto"/>
            <w:noWrap/>
            <w:hideMark/>
          </w:tcPr>
          <w:p w:rsidR="00572537" w:rsidRPr="003B5EA4" w:rsidRDefault="00505CE4" w:rsidP="00EA652E">
            <w:pPr>
              <w:suppressAutoHyphens w:val="0"/>
              <w:spacing w:before="40" w:after="40" w:line="220" w:lineRule="exact"/>
              <w:rPr>
                <w:sz w:val="18"/>
              </w:rPr>
            </w:pPr>
            <w:r w:rsidRPr="003B5EA4">
              <w:rPr>
                <w:sz w:val="18"/>
              </w:rPr>
              <w:t>Santiago-New York</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62</w:t>
            </w:r>
            <w:r w:rsidR="00B17F68" w:rsidRPr="003B5EA4">
              <w:rPr>
                <w:sz w:val="18"/>
              </w:rPr>
              <w:t> %</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62</w:t>
            </w:r>
            <w:r w:rsidR="00B17F68" w:rsidRPr="003B5EA4">
              <w:rPr>
                <w:sz w:val="18"/>
              </w:rPr>
              <w:t> %</w:t>
            </w:r>
          </w:p>
        </w:tc>
        <w:tc>
          <w:tcPr>
            <w:tcW w:w="1430" w:type="dxa"/>
            <w:shd w:val="clear" w:color="auto" w:fill="auto"/>
            <w:vAlign w:val="bottom"/>
          </w:tcPr>
          <w:p w:rsidR="00572537" w:rsidRPr="003B5EA4" w:rsidRDefault="00505CE4" w:rsidP="006473B4">
            <w:pPr>
              <w:suppressAutoHyphens w:val="0"/>
              <w:spacing w:before="40" w:after="40" w:line="220" w:lineRule="exact"/>
              <w:jc w:val="right"/>
              <w:rPr>
                <w:sz w:val="18"/>
              </w:rPr>
            </w:pPr>
            <w:r w:rsidRPr="003B5EA4">
              <w:rPr>
                <w:sz w:val="18"/>
              </w:rPr>
              <w:t>s</w:t>
            </w:r>
            <w:r w:rsidR="00572537" w:rsidRPr="003B5EA4">
              <w:rPr>
                <w:sz w:val="18"/>
              </w:rPr>
              <w:t>.</w:t>
            </w:r>
            <w:r w:rsidRPr="003B5EA4">
              <w:rPr>
                <w:sz w:val="18"/>
              </w:rPr>
              <w:t>o</w:t>
            </w:r>
            <w:r w:rsidR="00572537" w:rsidRPr="003B5EA4">
              <w:rPr>
                <w:sz w:val="18"/>
              </w:rPr>
              <w:t>.</w:t>
            </w:r>
          </w:p>
        </w:tc>
        <w:tc>
          <w:tcPr>
            <w:tcW w:w="1427" w:type="dxa"/>
            <w:shd w:val="clear" w:color="auto" w:fill="auto"/>
            <w:vAlign w:val="bottom"/>
          </w:tcPr>
          <w:p w:rsidR="00572537" w:rsidRPr="003B5EA4" w:rsidRDefault="00505CE4" w:rsidP="006473B4">
            <w:pPr>
              <w:suppressAutoHyphens w:val="0"/>
              <w:spacing w:before="40" w:after="40" w:line="220" w:lineRule="exact"/>
              <w:jc w:val="right"/>
              <w:rPr>
                <w:sz w:val="18"/>
              </w:rPr>
            </w:pPr>
            <w:r w:rsidRPr="003B5EA4">
              <w:rPr>
                <w:sz w:val="18"/>
              </w:rPr>
              <w:t>s</w:t>
            </w:r>
            <w:r w:rsidR="00572537" w:rsidRPr="003B5EA4">
              <w:rPr>
                <w:sz w:val="18"/>
              </w:rPr>
              <w:t>.</w:t>
            </w:r>
            <w:r w:rsidRPr="003B5EA4">
              <w:rPr>
                <w:sz w:val="18"/>
              </w:rPr>
              <w:t>o</w:t>
            </w:r>
            <w:r w:rsidR="00572537" w:rsidRPr="003B5EA4">
              <w:rPr>
                <w:sz w:val="18"/>
              </w:rPr>
              <w:t>.</w:t>
            </w:r>
          </w:p>
        </w:tc>
        <w:tc>
          <w:tcPr>
            <w:tcW w:w="1200"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4</w:t>
            </w:r>
            <w:r w:rsidR="00B17F68" w:rsidRPr="003B5EA4">
              <w:rPr>
                <w:sz w:val="18"/>
              </w:rPr>
              <w:t> %</w:t>
            </w:r>
          </w:p>
        </w:tc>
        <w:tc>
          <w:tcPr>
            <w:tcW w:w="1292"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-59</w:t>
            </w:r>
            <w:r w:rsidR="00B17F68" w:rsidRPr="003B5EA4">
              <w:rPr>
                <w:sz w:val="18"/>
              </w:rPr>
              <w:t> %</w:t>
            </w:r>
          </w:p>
        </w:tc>
        <w:tc>
          <w:tcPr>
            <w:tcW w:w="1168"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35</w:t>
            </w:r>
            <w:r w:rsidR="00B17F68" w:rsidRPr="003B5EA4">
              <w:rPr>
                <w:sz w:val="18"/>
              </w:rPr>
              <w:t> %</w:t>
            </w:r>
          </w:p>
        </w:tc>
        <w:tc>
          <w:tcPr>
            <w:tcW w:w="116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35</w:t>
            </w:r>
            <w:r w:rsidR="00B17F68" w:rsidRPr="003B5EA4">
              <w:rPr>
                <w:sz w:val="18"/>
              </w:rPr>
              <w:t> %</w:t>
            </w:r>
          </w:p>
        </w:tc>
      </w:tr>
      <w:tr w:rsidR="00505CE4" w:rsidRPr="003B5EA4" w:rsidTr="00EA652E">
        <w:trPr>
          <w:trHeight w:val="240"/>
        </w:trPr>
        <w:tc>
          <w:tcPr>
            <w:tcW w:w="3247" w:type="dxa"/>
            <w:shd w:val="clear" w:color="auto" w:fill="auto"/>
            <w:noWrap/>
            <w:hideMark/>
          </w:tcPr>
          <w:p w:rsidR="00572537" w:rsidRPr="003B5EA4" w:rsidRDefault="00505CE4" w:rsidP="00EA652E">
            <w:pPr>
              <w:suppressAutoHyphens w:val="0"/>
              <w:spacing w:before="40" w:after="40" w:line="220" w:lineRule="exact"/>
              <w:rPr>
                <w:sz w:val="18"/>
              </w:rPr>
            </w:pPr>
            <w:r w:rsidRPr="003B5EA4">
              <w:rPr>
                <w:sz w:val="18"/>
              </w:rPr>
              <w:t>Vienne-New York</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30</w:t>
            </w:r>
            <w:r w:rsidR="00B17F68" w:rsidRPr="003B5EA4">
              <w:rPr>
                <w:sz w:val="18"/>
              </w:rPr>
              <w:t> %</w:t>
            </w:r>
          </w:p>
        </w:tc>
        <w:tc>
          <w:tcPr>
            <w:tcW w:w="142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24</w:t>
            </w:r>
            <w:r w:rsidR="00B17F68" w:rsidRPr="003B5EA4">
              <w:rPr>
                <w:sz w:val="18"/>
              </w:rPr>
              <w:t> %</w:t>
            </w:r>
          </w:p>
        </w:tc>
        <w:tc>
          <w:tcPr>
            <w:tcW w:w="1430"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-2</w:t>
            </w:r>
            <w:r w:rsidR="00B17F68" w:rsidRPr="003B5EA4">
              <w:rPr>
                <w:sz w:val="18"/>
              </w:rPr>
              <w:t> %</w:t>
            </w:r>
          </w:p>
        </w:tc>
        <w:tc>
          <w:tcPr>
            <w:tcW w:w="1427"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19</w:t>
            </w:r>
            <w:r w:rsidR="00B17F68" w:rsidRPr="003B5EA4">
              <w:rPr>
                <w:sz w:val="18"/>
              </w:rPr>
              <w:t> %</w:t>
            </w:r>
          </w:p>
        </w:tc>
        <w:tc>
          <w:tcPr>
            <w:tcW w:w="1200"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-2</w:t>
            </w:r>
            <w:r w:rsidR="00B17F68" w:rsidRPr="003B5EA4">
              <w:rPr>
                <w:sz w:val="18"/>
              </w:rPr>
              <w:t> %</w:t>
            </w:r>
          </w:p>
        </w:tc>
        <w:tc>
          <w:tcPr>
            <w:tcW w:w="1292" w:type="dxa"/>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14</w:t>
            </w:r>
            <w:r w:rsidR="00B17F68" w:rsidRPr="003B5EA4">
              <w:rPr>
                <w:sz w:val="18"/>
              </w:rPr>
              <w:t> %</w:t>
            </w:r>
          </w:p>
        </w:tc>
        <w:tc>
          <w:tcPr>
            <w:tcW w:w="1168"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0</w:t>
            </w:r>
            <w:r w:rsidR="00B17F68" w:rsidRPr="003B5EA4">
              <w:rPr>
                <w:sz w:val="18"/>
              </w:rPr>
              <w:t> %</w:t>
            </w:r>
          </w:p>
        </w:tc>
        <w:tc>
          <w:tcPr>
            <w:tcW w:w="1164" w:type="dxa"/>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w:t>
            </w:r>
            <w:r w:rsidR="00B17F68" w:rsidRPr="003B5EA4">
              <w:rPr>
                <w:sz w:val="18"/>
              </w:rPr>
              <w:t> %</w:t>
            </w:r>
          </w:p>
        </w:tc>
      </w:tr>
      <w:tr w:rsidR="00505CE4" w:rsidRPr="003B5EA4" w:rsidTr="00EA652E">
        <w:trPr>
          <w:trHeight w:val="240"/>
        </w:trPr>
        <w:tc>
          <w:tcPr>
            <w:tcW w:w="3247" w:type="dxa"/>
            <w:tcBorders>
              <w:bottom w:val="single" w:sz="12" w:space="0" w:color="auto"/>
            </w:tcBorders>
            <w:shd w:val="clear" w:color="auto" w:fill="auto"/>
            <w:noWrap/>
            <w:hideMark/>
          </w:tcPr>
          <w:p w:rsidR="00572537" w:rsidRPr="003B5EA4" w:rsidRDefault="00505CE4" w:rsidP="00EA652E">
            <w:pPr>
              <w:suppressAutoHyphens w:val="0"/>
              <w:spacing w:before="40" w:after="40" w:line="220" w:lineRule="exact"/>
              <w:rPr>
                <w:sz w:val="18"/>
              </w:rPr>
            </w:pPr>
            <w:r w:rsidRPr="003B5EA4">
              <w:rPr>
                <w:sz w:val="18"/>
              </w:rPr>
              <w:t>Paris-New York</w:t>
            </w:r>
          </w:p>
        </w:tc>
        <w:tc>
          <w:tcPr>
            <w:tcW w:w="1424" w:type="dxa"/>
            <w:tcBorders>
              <w:bottom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36</w:t>
            </w:r>
            <w:r w:rsidR="00B17F68" w:rsidRPr="003B5EA4">
              <w:rPr>
                <w:sz w:val="18"/>
              </w:rPr>
              <w:t> %</w:t>
            </w:r>
          </w:p>
        </w:tc>
        <w:tc>
          <w:tcPr>
            <w:tcW w:w="1424" w:type="dxa"/>
            <w:tcBorders>
              <w:bottom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37</w:t>
            </w:r>
            <w:r w:rsidR="00B17F68" w:rsidRPr="003B5EA4">
              <w:rPr>
                <w:sz w:val="18"/>
              </w:rPr>
              <w:t> %</w:t>
            </w:r>
          </w:p>
        </w:tc>
        <w:tc>
          <w:tcPr>
            <w:tcW w:w="1430" w:type="dxa"/>
            <w:tcBorders>
              <w:bottom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26</w:t>
            </w:r>
            <w:r w:rsidR="00B17F68" w:rsidRPr="003B5EA4">
              <w:rPr>
                <w:sz w:val="18"/>
              </w:rPr>
              <w:t> %</w:t>
            </w:r>
          </w:p>
        </w:tc>
        <w:tc>
          <w:tcPr>
            <w:tcW w:w="1427" w:type="dxa"/>
            <w:tcBorders>
              <w:bottom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25</w:t>
            </w:r>
            <w:r w:rsidR="00B17F68" w:rsidRPr="003B5EA4">
              <w:rPr>
                <w:sz w:val="18"/>
              </w:rPr>
              <w:t> %</w:t>
            </w:r>
          </w:p>
        </w:tc>
        <w:tc>
          <w:tcPr>
            <w:tcW w:w="1200" w:type="dxa"/>
            <w:tcBorders>
              <w:bottom w:val="single" w:sz="12" w:space="0" w:color="auto"/>
            </w:tcBorders>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37</w:t>
            </w:r>
            <w:r w:rsidR="00B17F68" w:rsidRPr="003B5EA4">
              <w:rPr>
                <w:sz w:val="18"/>
              </w:rPr>
              <w:t> %</w:t>
            </w:r>
          </w:p>
        </w:tc>
        <w:tc>
          <w:tcPr>
            <w:tcW w:w="1292" w:type="dxa"/>
            <w:tcBorders>
              <w:bottom w:val="single" w:sz="12" w:space="0" w:color="auto"/>
            </w:tcBorders>
            <w:shd w:val="clear" w:color="auto" w:fill="auto"/>
            <w:noWrap/>
            <w:vAlign w:val="bottom"/>
            <w:hideMark/>
          </w:tcPr>
          <w:p w:rsidR="00572537" w:rsidRPr="003B5EA4" w:rsidRDefault="00572537" w:rsidP="006473B4">
            <w:pPr>
              <w:suppressAutoHyphens w:val="0"/>
              <w:spacing w:before="40" w:after="40" w:line="220" w:lineRule="exact"/>
              <w:jc w:val="right"/>
              <w:rPr>
                <w:sz w:val="18"/>
              </w:rPr>
            </w:pPr>
            <w:r w:rsidRPr="003B5EA4">
              <w:rPr>
                <w:sz w:val="18"/>
              </w:rPr>
              <w:t>47</w:t>
            </w:r>
            <w:r w:rsidR="00B17F68" w:rsidRPr="003B5EA4">
              <w:rPr>
                <w:sz w:val="18"/>
              </w:rPr>
              <w:t> %</w:t>
            </w:r>
          </w:p>
        </w:tc>
        <w:tc>
          <w:tcPr>
            <w:tcW w:w="1168" w:type="dxa"/>
            <w:tcBorders>
              <w:bottom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-12</w:t>
            </w:r>
            <w:r w:rsidR="00B17F68" w:rsidRPr="003B5EA4">
              <w:rPr>
                <w:sz w:val="18"/>
              </w:rPr>
              <w:t> %</w:t>
            </w:r>
          </w:p>
        </w:tc>
        <w:tc>
          <w:tcPr>
            <w:tcW w:w="1164" w:type="dxa"/>
            <w:tcBorders>
              <w:bottom w:val="single" w:sz="12" w:space="0" w:color="auto"/>
            </w:tcBorders>
            <w:shd w:val="clear" w:color="auto" w:fill="auto"/>
            <w:vAlign w:val="bottom"/>
          </w:tcPr>
          <w:p w:rsidR="00572537" w:rsidRPr="003B5EA4" w:rsidRDefault="00572537" w:rsidP="006473B4">
            <w:pPr>
              <w:suppressAutoHyphens w:val="0"/>
              <w:spacing w:before="40" w:after="40" w:line="220" w:lineRule="exact"/>
              <w:jc w:val="right"/>
              <w:rPr>
                <w:sz w:val="18"/>
              </w:rPr>
            </w:pPr>
            <w:r w:rsidRPr="003B5EA4">
              <w:rPr>
                <w:sz w:val="18"/>
              </w:rPr>
              <w:t>16</w:t>
            </w:r>
            <w:r w:rsidR="00B17F68" w:rsidRPr="003B5EA4">
              <w:rPr>
                <w:sz w:val="18"/>
              </w:rPr>
              <w:t> %</w:t>
            </w:r>
          </w:p>
        </w:tc>
      </w:tr>
    </w:tbl>
    <w:p w:rsidR="00606750" w:rsidRPr="003B5EA4" w:rsidRDefault="00E8494C" w:rsidP="00505CE4">
      <w:pPr>
        <w:pStyle w:val="SingleTxtG"/>
        <w:spacing w:before="120" w:after="0"/>
        <w:ind w:left="284" w:firstLine="170"/>
        <w:jc w:val="left"/>
        <w:rPr>
          <w:iCs/>
          <w:sz w:val="18"/>
          <w:szCs w:val="18"/>
          <w:lang w:eastAsia="fr-CH"/>
        </w:rPr>
      </w:pPr>
      <w:r w:rsidRPr="003B5EA4">
        <w:rPr>
          <w:i/>
          <w:iCs/>
          <w:sz w:val="18"/>
          <w:szCs w:val="18"/>
          <w:lang w:eastAsia="fr-CH"/>
        </w:rPr>
        <w:t>Source</w:t>
      </w:r>
      <w:r w:rsidR="00505CE4" w:rsidRPr="003B5EA4">
        <w:rPr>
          <w:iCs/>
          <w:sz w:val="18"/>
          <w:szCs w:val="18"/>
          <w:lang w:eastAsia="fr-CH"/>
        </w:rPr>
        <w:t xml:space="preserve"> : </w:t>
      </w:r>
      <w:r w:rsidRPr="003B5EA4">
        <w:rPr>
          <w:iCs/>
          <w:sz w:val="18"/>
          <w:szCs w:val="18"/>
          <w:lang w:eastAsia="fr-CH"/>
        </w:rPr>
        <w:t>Étude du CCI</w:t>
      </w:r>
      <w:r w:rsidR="00505CE4" w:rsidRPr="003B5EA4">
        <w:rPr>
          <w:iCs/>
          <w:sz w:val="18"/>
          <w:szCs w:val="18"/>
          <w:lang w:eastAsia="fr-CH"/>
        </w:rPr>
        <w:t>.</w:t>
      </w:r>
    </w:p>
    <w:p w:rsidR="00505CE4" w:rsidRPr="003B5EA4" w:rsidRDefault="00606750" w:rsidP="00606750">
      <w:pPr>
        <w:pStyle w:val="HChG"/>
        <w:rPr>
          <w:lang w:eastAsia="fr-CH"/>
        </w:rPr>
      </w:pPr>
      <w:r w:rsidRPr="003B5EA4">
        <w:rPr>
          <w:lang w:eastAsia="fr-CH"/>
        </w:rPr>
        <w:br w:type="page"/>
      </w:r>
      <w:r w:rsidRPr="003B5EA4">
        <w:rPr>
          <w:lang w:eastAsia="fr-CH"/>
        </w:rPr>
        <w:lastRenderedPageBreak/>
        <w:t>Annexe X</w:t>
      </w:r>
    </w:p>
    <w:p w:rsidR="00606750" w:rsidRPr="003B5EA4" w:rsidRDefault="00606750" w:rsidP="00606750">
      <w:pPr>
        <w:pStyle w:val="HChG"/>
      </w:pPr>
      <w:r w:rsidRPr="003B5EA4">
        <w:rPr>
          <w:lang w:eastAsia="fr-CH"/>
        </w:rPr>
        <w:tab/>
      </w:r>
      <w:r w:rsidRPr="003B5EA4">
        <w:rPr>
          <w:lang w:eastAsia="fr-CH"/>
        </w:rPr>
        <w:tab/>
      </w:r>
      <w:r w:rsidRPr="003B5EA4">
        <w:t>Adoption et pourcentage d</w:t>
      </w:r>
      <w:r w:rsidR="00762E0A">
        <w:t>’</w:t>
      </w:r>
      <w:r w:rsidRPr="003B5EA4">
        <w:t>utilisation de l</w:t>
      </w:r>
      <w:r w:rsidR="00762E0A">
        <w:t>’</w:t>
      </w:r>
      <w:r w:rsidRPr="003B5EA4">
        <w:t>option de la somme forfaitaire</w:t>
      </w:r>
    </w:p>
    <w:tbl>
      <w:tblPr>
        <w:tblW w:w="13766" w:type="dxa"/>
        <w:tblInd w:w="284" w:type="dxa"/>
        <w:tblBorders>
          <w:top w:val="single" w:sz="4" w:space="0" w:color="auto"/>
        </w:tblBorders>
        <w:tblLayout w:type="fixed"/>
        <w:tblCellMar>
          <w:left w:w="0" w:type="dxa"/>
          <w:right w:w="0" w:type="dxa"/>
        </w:tblCellMar>
        <w:tblLook w:val="04A0" w:firstRow="1" w:lastRow="0" w:firstColumn="1" w:lastColumn="0" w:noHBand="0" w:noVBand="1"/>
      </w:tblPr>
      <w:tblGrid>
        <w:gridCol w:w="1134"/>
        <w:gridCol w:w="791"/>
        <w:gridCol w:w="817"/>
        <w:gridCol w:w="706"/>
        <w:gridCol w:w="734"/>
        <w:gridCol w:w="740"/>
        <w:gridCol w:w="729"/>
        <w:gridCol w:w="773"/>
        <w:gridCol w:w="739"/>
        <w:gridCol w:w="616"/>
        <w:gridCol w:w="756"/>
        <w:gridCol w:w="574"/>
        <w:gridCol w:w="700"/>
        <w:gridCol w:w="630"/>
        <w:gridCol w:w="741"/>
        <w:gridCol w:w="700"/>
        <w:gridCol w:w="714"/>
        <w:gridCol w:w="490"/>
        <w:gridCol w:w="682"/>
      </w:tblGrid>
      <w:tr w:rsidR="008272C1" w:rsidRPr="003B5EA4" w:rsidTr="00925327">
        <w:trPr>
          <w:trHeight w:val="240"/>
          <w:tblHeader/>
        </w:trPr>
        <w:tc>
          <w:tcPr>
            <w:tcW w:w="1134" w:type="dxa"/>
            <w:tcBorders>
              <w:top w:val="single" w:sz="4" w:space="0" w:color="auto"/>
              <w:bottom w:val="single" w:sz="12" w:space="0" w:color="auto"/>
            </w:tcBorders>
            <w:shd w:val="clear" w:color="auto" w:fill="auto"/>
            <w:vAlign w:val="bottom"/>
          </w:tcPr>
          <w:p w:rsidR="00352216" w:rsidRPr="003B5EA4" w:rsidRDefault="00352216" w:rsidP="001D3221">
            <w:pPr>
              <w:suppressAutoHyphens w:val="0"/>
              <w:spacing w:before="80" w:after="80" w:line="170" w:lineRule="exact"/>
              <w:ind w:right="57"/>
              <w:rPr>
                <w:i/>
                <w:sz w:val="13"/>
                <w:szCs w:val="13"/>
              </w:rPr>
            </w:pPr>
            <w:r w:rsidRPr="003B5EA4">
              <w:rPr>
                <w:i/>
                <w:sz w:val="13"/>
                <w:szCs w:val="13"/>
              </w:rPr>
              <w:t>Organisme</w:t>
            </w:r>
          </w:p>
        </w:tc>
        <w:tc>
          <w:tcPr>
            <w:tcW w:w="791" w:type="dxa"/>
            <w:tcBorders>
              <w:top w:val="single" w:sz="4" w:space="0" w:color="auto"/>
              <w:bottom w:val="single" w:sz="12" w:space="0" w:color="auto"/>
            </w:tcBorders>
            <w:shd w:val="clear" w:color="auto" w:fill="auto"/>
            <w:vAlign w:val="bottom"/>
          </w:tcPr>
          <w:p w:rsidR="00352216" w:rsidRPr="003B5EA4" w:rsidRDefault="00352216" w:rsidP="001D3221">
            <w:pPr>
              <w:suppressAutoHyphens w:val="0"/>
              <w:spacing w:before="80" w:after="80" w:line="170" w:lineRule="exact"/>
              <w:ind w:right="57"/>
              <w:rPr>
                <w:i/>
                <w:sz w:val="13"/>
                <w:szCs w:val="13"/>
              </w:rPr>
            </w:pPr>
            <w:r w:rsidRPr="003B5EA4">
              <w:rPr>
                <w:i/>
                <w:sz w:val="13"/>
                <w:szCs w:val="13"/>
              </w:rPr>
              <w:t xml:space="preserve">Méthode </w:t>
            </w:r>
            <w:r w:rsidR="00666E50" w:rsidRPr="003B5EA4">
              <w:rPr>
                <w:i/>
                <w:sz w:val="13"/>
                <w:szCs w:val="13"/>
              </w:rPr>
              <w:br/>
            </w:r>
            <w:r w:rsidRPr="003B5EA4">
              <w:rPr>
                <w:i/>
                <w:sz w:val="13"/>
                <w:szCs w:val="13"/>
              </w:rPr>
              <w:t>de calcul</w:t>
            </w:r>
            <w:r w:rsidRPr="006D070C">
              <w:rPr>
                <w:sz w:val="13"/>
                <w:szCs w:val="13"/>
                <w:vertAlign w:val="superscript"/>
              </w:rPr>
              <w:t>a</w:t>
            </w:r>
          </w:p>
        </w:tc>
        <w:tc>
          <w:tcPr>
            <w:tcW w:w="817" w:type="dxa"/>
            <w:tcBorders>
              <w:top w:val="single" w:sz="4" w:space="0" w:color="auto"/>
              <w:bottom w:val="single" w:sz="12" w:space="0" w:color="auto"/>
            </w:tcBorders>
            <w:shd w:val="clear" w:color="auto" w:fill="auto"/>
            <w:vAlign w:val="bottom"/>
          </w:tcPr>
          <w:p w:rsidR="00352216" w:rsidRPr="003B5EA4" w:rsidRDefault="00666E50" w:rsidP="001D3221">
            <w:pPr>
              <w:suppressAutoHyphens w:val="0"/>
              <w:spacing w:before="80" w:after="80" w:line="170" w:lineRule="exact"/>
              <w:ind w:right="57"/>
              <w:jc w:val="right"/>
              <w:rPr>
                <w:i/>
                <w:sz w:val="13"/>
                <w:szCs w:val="13"/>
              </w:rPr>
            </w:pPr>
            <w:r w:rsidRPr="003B5EA4">
              <w:rPr>
                <w:i/>
                <w:sz w:val="13"/>
                <w:szCs w:val="13"/>
              </w:rPr>
              <w:t>Pourcentage applicable pour le calcul de la somme forfaitaire</w:t>
            </w:r>
          </w:p>
        </w:tc>
        <w:tc>
          <w:tcPr>
            <w:tcW w:w="706" w:type="dxa"/>
            <w:tcBorders>
              <w:top w:val="single" w:sz="4" w:space="0" w:color="auto"/>
              <w:bottom w:val="single" w:sz="12" w:space="0" w:color="auto"/>
            </w:tcBorders>
            <w:shd w:val="clear" w:color="auto" w:fill="auto"/>
            <w:vAlign w:val="bottom"/>
          </w:tcPr>
          <w:p w:rsidR="00352216" w:rsidRPr="003B5EA4" w:rsidRDefault="00666E50" w:rsidP="001D3221">
            <w:pPr>
              <w:suppressAutoHyphens w:val="0"/>
              <w:spacing w:before="80" w:after="80" w:line="170" w:lineRule="exact"/>
              <w:ind w:right="57"/>
              <w:jc w:val="right"/>
              <w:rPr>
                <w:i/>
                <w:sz w:val="13"/>
                <w:szCs w:val="13"/>
              </w:rPr>
            </w:pPr>
            <w:r w:rsidRPr="003B5EA4">
              <w:rPr>
                <w:i/>
                <w:sz w:val="13"/>
                <w:szCs w:val="13"/>
              </w:rPr>
              <w:t>Nomination</w:t>
            </w:r>
          </w:p>
        </w:tc>
        <w:tc>
          <w:tcPr>
            <w:tcW w:w="734" w:type="dxa"/>
            <w:tcBorders>
              <w:top w:val="single" w:sz="4" w:space="0" w:color="auto"/>
              <w:bottom w:val="single" w:sz="12" w:space="0" w:color="auto"/>
            </w:tcBorders>
            <w:shd w:val="clear" w:color="auto" w:fill="auto"/>
            <w:vAlign w:val="bottom"/>
          </w:tcPr>
          <w:p w:rsidR="00352216" w:rsidRPr="003B5EA4" w:rsidRDefault="00666E50" w:rsidP="001D3221">
            <w:pPr>
              <w:suppressAutoHyphens w:val="0"/>
              <w:spacing w:before="80" w:after="80" w:line="170" w:lineRule="exact"/>
              <w:ind w:right="57"/>
              <w:jc w:val="right"/>
              <w:rPr>
                <w:i/>
                <w:spacing w:val="-4"/>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r w:rsidR="00352216" w:rsidRPr="003B5EA4">
              <w:rPr>
                <w:i/>
                <w:spacing w:val="-4"/>
                <w:sz w:val="13"/>
                <w:szCs w:val="13"/>
              </w:rPr>
              <w:t xml:space="preserve"> </w:t>
            </w:r>
          </w:p>
        </w:tc>
        <w:tc>
          <w:tcPr>
            <w:tcW w:w="740" w:type="dxa"/>
            <w:tcBorders>
              <w:top w:val="single" w:sz="4" w:space="0" w:color="auto"/>
              <w:bottom w:val="single" w:sz="12" w:space="0" w:color="auto"/>
            </w:tcBorders>
            <w:shd w:val="clear" w:color="auto" w:fill="auto"/>
            <w:vAlign w:val="bottom"/>
          </w:tcPr>
          <w:p w:rsidR="00352216" w:rsidRPr="003B5EA4" w:rsidRDefault="00130228" w:rsidP="001D3221">
            <w:pPr>
              <w:suppressAutoHyphens w:val="0"/>
              <w:spacing w:before="80" w:after="80" w:line="170" w:lineRule="exact"/>
              <w:ind w:right="57"/>
              <w:jc w:val="right"/>
              <w:rPr>
                <w:i/>
                <w:spacing w:val="-3"/>
                <w:sz w:val="13"/>
                <w:szCs w:val="13"/>
              </w:rPr>
            </w:pPr>
            <w:r w:rsidRPr="003B5EA4">
              <w:rPr>
                <w:i/>
                <w:spacing w:val="-4"/>
                <w:sz w:val="13"/>
                <w:szCs w:val="13"/>
              </w:rPr>
              <w:t xml:space="preserve">Changement </w:t>
            </w:r>
            <w:r w:rsidRPr="003B5EA4">
              <w:rPr>
                <w:i/>
                <w:spacing w:val="-3"/>
                <w:sz w:val="13"/>
                <w:szCs w:val="13"/>
              </w:rPr>
              <w:t xml:space="preserve">de lieu </w:t>
            </w:r>
            <w:r w:rsidRPr="003B5EA4">
              <w:rPr>
                <w:i/>
                <w:spacing w:val="-4"/>
                <w:sz w:val="13"/>
                <w:szCs w:val="13"/>
              </w:rPr>
              <w:t>d</w:t>
            </w:r>
            <w:r w:rsidR="00762E0A">
              <w:rPr>
                <w:i/>
                <w:spacing w:val="-4"/>
                <w:sz w:val="13"/>
                <w:szCs w:val="13"/>
              </w:rPr>
              <w:t>’</w:t>
            </w:r>
            <w:r w:rsidRPr="003B5EA4">
              <w:rPr>
                <w:i/>
                <w:spacing w:val="-4"/>
                <w:sz w:val="13"/>
                <w:szCs w:val="13"/>
              </w:rPr>
              <w:t>affectation</w:t>
            </w:r>
          </w:p>
        </w:tc>
        <w:tc>
          <w:tcPr>
            <w:tcW w:w="729"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p>
        </w:tc>
        <w:tc>
          <w:tcPr>
            <w:tcW w:w="773" w:type="dxa"/>
            <w:tcBorders>
              <w:top w:val="single" w:sz="4" w:space="0" w:color="auto"/>
              <w:bottom w:val="single" w:sz="12" w:space="0" w:color="auto"/>
            </w:tcBorders>
            <w:shd w:val="clear" w:color="auto" w:fill="auto"/>
            <w:vAlign w:val="bottom"/>
          </w:tcPr>
          <w:p w:rsidR="00352216" w:rsidRPr="003B5EA4" w:rsidRDefault="00130228" w:rsidP="001D3221">
            <w:pPr>
              <w:suppressAutoHyphens w:val="0"/>
              <w:spacing w:before="80" w:after="80" w:line="170" w:lineRule="exact"/>
              <w:ind w:right="57"/>
              <w:jc w:val="right"/>
              <w:rPr>
                <w:i/>
                <w:sz w:val="13"/>
                <w:szCs w:val="13"/>
              </w:rPr>
            </w:pPr>
            <w:r w:rsidRPr="003B5EA4">
              <w:rPr>
                <w:i/>
                <w:sz w:val="13"/>
                <w:szCs w:val="13"/>
              </w:rPr>
              <w:t xml:space="preserve">Cessation </w:t>
            </w:r>
            <w:r w:rsidRPr="003B5EA4">
              <w:rPr>
                <w:i/>
                <w:sz w:val="13"/>
                <w:szCs w:val="13"/>
              </w:rPr>
              <w:br/>
              <w:t>de service</w:t>
            </w:r>
            <w:r w:rsidR="007C3F79" w:rsidRPr="003B5EA4">
              <w:rPr>
                <w:i/>
                <w:sz w:val="13"/>
                <w:szCs w:val="13"/>
              </w:rPr>
              <w:t xml:space="preserve">/ </w:t>
            </w:r>
            <w:r w:rsidRPr="003B5EA4">
              <w:rPr>
                <w:i/>
                <w:sz w:val="13"/>
                <w:szCs w:val="13"/>
              </w:rPr>
              <w:t>rapatriement</w:t>
            </w:r>
          </w:p>
        </w:tc>
        <w:tc>
          <w:tcPr>
            <w:tcW w:w="739"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p>
        </w:tc>
        <w:tc>
          <w:tcPr>
            <w:tcW w:w="616"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z w:val="13"/>
                <w:szCs w:val="13"/>
              </w:rPr>
              <w:t xml:space="preserve">Congé </w:t>
            </w:r>
            <w:r w:rsidRPr="003B5EA4">
              <w:rPr>
                <w:i/>
                <w:sz w:val="13"/>
                <w:szCs w:val="13"/>
              </w:rPr>
              <w:br/>
              <w:t xml:space="preserve">dans </w:t>
            </w:r>
            <w:r w:rsidRPr="003B5EA4">
              <w:rPr>
                <w:i/>
                <w:sz w:val="13"/>
                <w:szCs w:val="13"/>
              </w:rPr>
              <w:br/>
              <w:t>les foyers</w:t>
            </w:r>
          </w:p>
        </w:tc>
        <w:tc>
          <w:tcPr>
            <w:tcW w:w="756"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p>
        </w:tc>
        <w:tc>
          <w:tcPr>
            <w:tcW w:w="574" w:type="dxa"/>
            <w:tcBorders>
              <w:top w:val="single" w:sz="4" w:space="0" w:color="auto"/>
              <w:bottom w:val="single" w:sz="12" w:space="0" w:color="auto"/>
            </w:tcBorders>
            <w:shd w:val="clear" w:color="auto" w:fill="auto"/>
            <w:vAlign w:val="bottom"/>
          </w:tcPr>
          <w:p w:rsidR="00352216" w:rsidRPr="003B5EA4" w:rsidRDefault="00932189" w:rsidP="001D3221">
            <w:pPr>
              <w:suppressAutoHyphens w:val="0"/>
              <w:spacing w:before="80" w:after="80" w:line="170" w:lineRule="exact"/>
              <w:ind w:right="57"/>
              <w:jc w:val="right"/>
              <w:rPr>
                <w:i/>
                <w:spacing w:val="-4"/>
                <w:sz w:val="13"/>
                <w:szCs w:val="13"/>
              </w:rPr>
            </w:pPr>
            <w:r w:rsidRPr="003B5EA4">
              <w:rPr>
                <w:i/>
                <w:spacing w:val="-4"/>
                <w:sz w:val="13"/>
                <w:szCs w:val="13"/>
              </w:rPr>
              <w:t>Visite familiale</w:t>
            </w:r>
          </w:p>
        </w:tc>
        <w:tc>
          <w:tcPr>
            <w:tcW w:w="700"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p>
        </w:tc>
        <w:tc>
          <w:tcPr>
            <w:tcW w:w="630" w:type="dxa"/>
            <w:tcBorders>
              <w:top w:val="single" w:sz="4" w:space="0" w:color="auto"/>
              <w:bottom w:val="single" w:sz="12" w:space="0" w:color="auto"/>
            </w:tcBorders>
            <w:shd w:val="clear" w:color="auto" w:fill="auto"/>
            <w:vAlign w:val="bottom"/>
          </w:tcPr>
          <w:p w:rsidR="00352216" w:rsidRPr="003B5EA4" w:rsidRDefault="00932189" w:rsidP="001D3221">
            <w:pPr>
              <w:suppressAutoHyphens w:val="0"/>
              <w:spacing w:before="80" w:after="80" w:line="170" w:lineRule="exact"/>
              <w:ind w:right="57"/>
              <w:jc w:val="right"/>
              <w:rPr>
                <w:i/>
                <w:spacing w:val="-4"/>
                <w:sz w:val="13"/>
                <w:szCs w:val="13"/>
              </w:rPr>
            </w:pPr>
            <w:r w:rsidRPr="003B5EA4">
              <w:rPr>
                <w:i/>
                <w:spacing w:val="-4"/>
                <w:sz w:val="13"/>
                <w:szCs w:val="13"/>
              </w:rPr>
              <w:t>Éducation</w:t>
            </w:r>
          </w:p>
        </w:tc>
        <w:tc>
          <w:tcPr>
            <w:tcW w:w="741"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p>
        </w:tc>
        <w:tc>
          <w:tcPr>
            <w:tcW w:w="700" w:type="dxa"/>
            <w:tcBorders>
              <w:top w:val="single" w:sz="4" w:space="0" w:color="auto"/>
              <w:bottom w:val="single" w:sz="12" w:space="0" w:color="auto"/>
            </w:tcBorders>
            <w:shd w:val="clear" w:color="auto" w:fill="auto"/>
            <w:vAlign w:val="bottom"/>
          </w:tcPr>
          <w:p w:rsidR="00352216" w:rsidRPr="003B5EA4" w:rsidRDefault="00932189" w:rsidP="001D3221">
            <w:pPr>
              <w:suppressAutoHyphens w:val="0"/>
              <w:spacing w:before="80" w:after="80" w:line="170" w:lineRule="exact"/>
              <w:ind w:right="57"/>
              <w:jc w:val="right"/>
              <w:rPr>
                <w:i/>
                <w:sz w:val="13"/>
                <w:szCs w:val="13"/>
              </w:rPr>
            </w:pPr>
            <w:r w:rsidRPr="003B5EA4">
              <w:rPr>
                <w:i/>
                <w:sz w:val="13"/>
                <w:szCs w:val="13"/>
              </w:rPr>
              <w:t xml:space="preserve">Voyage </w:t>
            </w:r>
            <w:r w:rsidR="007C3F79" w:rsidRPr="003B5EA4">
              <w:rPr>
                <w:i/>
                <w:sz w:val="13"/>
                <w:szCs w:val="13"/>
              </w:rPr>
              <w:br/>
            </w:r>
            <w:r w:rsidRPr="003B5EA4">
              <w:rPr>
                <w:i/>
                <w:sz w:val="13"/>
                <w:szCs w:val="13"/>
              </w:rPr>
              <w:t>au lieu d</w:t>
            </w:r>
            <w:r w:rsidR="00762E0A">
              <w:rPr>
                <w:i/>
                <w:sz w:val="13"/>
                <w:szCs w:val="13"/>
              </w:rPr>
              <w:t>’</w:t>
            </w:r>
            <w:r w:rsidRPr="003B5EA4">
              <w:rPr>
                <w:i/>
                <w:sz w:val="13"/>
                <w:szCs w:val="13"/>
              </w:rPr>
              <w:t xml:space="preserve">études </w:t>
            </w:r>
            <w:r w:rsidR="00BD6ECF">
              <w:rPr>
                <w:i/>
                <w:sz w:val="13"/>
                <w:szCs w:val="13"/>
              </w:rPr>
              <w:br/>
            </w:r>
            <w:r w:rsidRPr="003B5EA4">
              <w:rPr>
                <w:i/>
                <w:sz w:val="13"/>
                <w:szCs w:val="13"/>
              </w:rPr>
              <w:t>des enfants</w:t>
            </w:r>
          </w:p>
        </w:tc>
        <w:tc>
          <w:tcPr>
            <w:tcW w:w="714"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p>
        </w:tc>
        <w:tc>
          <w:tcPr>
            <w:tcW w:w="490" w:type="dxa"/>
            <w:tcBorders>
              <w:top w:val="single" w:sz="4" w:space="0" w:color="auto"/>
              <w:bottom w:val="single" w:sz="12" w:space="0" w:color="auto"/>
            </w:tcBorders>
            <w:shd w:val="clear" w:color="auto" w:fill="auto"/>
            <w:vAlign w:val="bottom"/>
          </w:tcPr>
          <w:p w:rsidR="00352216" w:rsidRPr="003B5EA4" w:rsidRDefault="00B11490" w:rsidP="001D3221">
            <w:pPr>
              <w:suppressAutoHyphens w:val="0"/>
              <w:spacing w:before="80" w:after="80" w:line="170" w:lineRule="exact"/>
              <w:ind w:right="57"/>
              <w:jc w:val="right"/>
              <w:rPr>
                <w:i/>
                <w:spacing w:val="-4"/>
                <w:sz w:val="13"/>
                <w:szCs w:val="13"/>
              </w:rPr>
            </w:pPr>
            <w:r w:rsidRPr="003B5EA4">
              <w:rPr>
                <w:i/>
                <w:spacing w:val="-4"/>
                <w:sz w:val="13"/>
                <w:szCs w:val="13"/>
              </w:rPr>
              <w:t>Congé</w:t>
            </w:r>
            <w:r w:rsidRPr="003B5EA4">
              <w:rPr>
                <w:i/>
                <w:spacing w:val="-4"/>
                <w:sz w:val="13"/>
                <w:szCs w:val="13"/>
              </w:rPr>
              <w:br/>
              <w:t>de</w:t>
            </w:r>
            <w:r w:rsidR="00BD6ECF">
              <w:rPr>
                <w:i/>
                <w:spacing w:val="-4"/>
                <w:sz w:val="13"/>
                <w:szCs w:val="13"/>
              </w:rPr>
              <w:t xml:space="preserve"> </w:t>
            </w:r>
            <w:r w:rsidR="00CB1A42">
              <w:rPr>
                <w:i/>
                <w:spacing w:val="-4"/>
                <w:sz w:val="13"/>
                <w:szCs w:val="13"/>
              </w:rPr>
              <w:br/>
            </w:r>
            <w:r w:rsidRPr="003B5EA4">
              <w:rPr>
                <w:i/>
                <w:spacing w:val="-4"/>
                <w:sz w:val="13"/>
                <w:szCs w:val="13"/>
              </w:rPr>
              <w:t>détente</w:t>
            </w:r>
          </w:p>
        </w:tc>
        <w:tc>
          <w:tcPr>
            <w:tcW w:w="682" w:type="dxa"/>
            <w:tcBorders>
              <w:top w:val="single" w:sz="4" w:space="0" w:color="auto"/>
              <w:bottom w:val="single" w:sz="12" w:space="0" w:color="auto"/>
            </w:tcBorders>
            <w:shd w:val="clear" w:color="auto" w:fill="auto"/>
            <w:vAlign w:val="bottom"/>
          </w:tcPr>
          <w:p w:rsidR="00352216" w:rsidRPr="003B5EA4" w:rsidRDefault="006F54E6" w:rsidP="001D3221">
            <w:pPr>
              <w:suppressAutoHyphens w:val="0"/>
              <w:spacing w:before="80" w:after="80" w:line="170" w:lineRule="exact"/>
              <w:ind w:right="57"/>
              <w:jc w:val="right"/>
              <w:rPr>
                <w:i/>
                <w:sz w:val="13"/>
                <w:szCs w:val="13"/>
              </w:rPr>
            </w:pPr>
            <w:r w:rsidRPr="003B5EA4">
              <w:rPr>
                <w:i/>
                <w:spacing w:val="-4"/>
                <w:sz w:val="13"/>
                <w:szCs w:val="13"/>
              </w:rPr>
              <w:t>Pourcentage d</w:t>
            </w:r>
            <w:r w:rsidR="00762E0A">
              <w:rPr>
                <w:i/>
                <w:spacing w:val="-4"/>
                <w:sz w:val="13"/>
                <w:szCs w:val="13"/>
              </w:rPr>
              <w:t>’</w:t>
            </w:r>
            <w:r w:rsidRPr="003B5EA4">
              <w:rPr>
                <w:i/>
                <w:spacing w:val="-4"/>
                <w:sz w:val="13"/>
                <w:szCs w:val="13"/>
              </w:rPr>
              <w:t>utilisation</w:t>
            </w:r>
          </w:p>
        </w:tc>
      </w:tr>
      <w:tr w:rsidR="008272C1" w:rsidRPr="003B5EA4" w:rsidTr="00925327">
        <w:trPr>
          <w:trHeight w:val="240"/>
        </w:trPr>
        <w:tc>
          <w:tcPr>
            <w:tcW w:w="1134" w:type="dxa"/>
            <w:tcBorders>
              <w:bottom w:val="nil"/>
            </w:tcBorders>
            <w:shd w:val="clear" w:color="auto" w:fill="auto"/>
          </w:tcPr>
          <w:p w:rsidR="004E4541" w:rsidRPr="003B5EA4" w:rsidRDefault="004E4541" w:rsidP="001D3221">
            <w:pPr>
              <w:suppressAutoHyphens w:val="0"/>
              <w:spacing w:before="40" w:after="40" w:line="220" w:lineRule="exact"/>
              <w:ind w:right="57"/>
              <w:rPr>
                <w:sz w:val="17"/>
                <w:szCs w:val="17"/>
              </w:rPr>
            </w:pPr>
            <w:r w:rsidRPr="003B5EA4">
              <w:rPr>
                <w:sz w:val="17"/>
                <w:szCs w:val="17"/>
              </w:rPr>
              <w:t>AIEA</w:t>
            </w:r>
          </w:p>
        </w:tc>
        <w:tc>
          <w:tcPr>
            <w:tcW w:w="791" w:type="dxa"/>
            <w:tcBorders>
              <w:bottom w:val="nil"/>
            </w:tcBorders>
            <w:shd w:val="clear" w:color="auto" w:fill="auto"/>
          </w:tcPr>
          <w:p w:rsidR="004E4541" w:rsidRPr="003B5EA4" w:rsidRDefault="004E4541" w:rsidP="001D3221">
            <w:pPr>
              <w:suppressAutoHyphens w:val="0"/>
              <w:spacing w:before="40" w:after="40" w:line="220" w:lineRule="exact"/>
              <w:ind w:right="57"/>
              <w:rPr>
                <w:sz w:val="17"/>
                <w:szCs w:val="17"/>
              </w:rPr>
            </w:pPr>
            <w:r w:rsidRPr="003B5EA4">
              <w:rPr>
                <w:sz w:val="17"/>
                <w:szCs w:val="17"/>
              </w:rPr>
              <w:t>TEBCMR</w:t>
            </w:r>
          </w:p>
        </w:tc>
        <w:tc>
          <w:tcPr>
            <w:tcW w:w="817"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65</w:t>
            </w:r>
          </w:p>
        </w:tc>
        <w:tc>
          <w:tcPr>
            <w:tcW w:w="706"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34"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40"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29"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73"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39"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616"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56"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574"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00"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630"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41"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00"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714"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490"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c>
          <w:tcPr>
            <w:tcW w:w="682" w:type="dxa"/>
            <w:tcBorders>
              <w:bottom w:val="nil"/>
            </w:tcBorders>
            <w:shd w:val="clear" w:color="auto" w:fill="auto"/>
            <w:vAlign w:val="bottom"/>
          </w:tcPr>
          <w:p w:rsidR="004E4541" w:rsidRPr="003B5EA4" w:rsidRDefault="004E4541"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tcBorders>
              <w:bottom w:val="nil"/>
            </w:tcBorders>
            <w:shd w:val="clear" w:color="auto" w:fill="auto"/>
          </w:tcPr>
          <w:p w:rsidR="00E07E2B" w:rsidRPr="003B5EA4" w:rsidRDefault="00E07E2B" w:rsidP="001D3221">
            <w:pPr>
              <w:suppressAutoHyphens w:val="0"/>
              <w:spacing w:before="40" w:after="40" w:line="220" w:lineRule="exact"/>
              <w:ind w:right="57"/>
              <w:rPr>
                <w:sz w:val="17"/>
                <w:szCs w:val="17"/>
              </w:rPr>
            </w:pPr>
            <w:r w:rsidRPr="003B5EA4">
              <w:rPr>
                <w:sz w:val="17"/>
                <w:szCs w:val="17"/>
              </w:rPr>
              <w:t>CCI*</w:t>
            </w:r>
          </w:p>
        </w:tc>
        <w:tc>
          <w:tcPr>
            <w:tcW w:w="791" w:type="dxa"/>
            <w:tcBorders>
              <w:bottom w:val="nil"/>
            </w:tcBorders>
            <w:shd w:val="clear" w:color="auto" w:fill="auto"/>
          </w:tcPr>
          <w:p w:rsidR="00E07E2B" w:rsidRPr="003B5EA4" w:rsidRDefault="00E07E2B" w:rsidP="001D3221">
            <w:pPr>
              <w:suppressAutoHyphens w:val="0"/>
              <w:spacing w:before="40" w:after="40" w:line="220" w:lineRule="exact"/>
              <w:ind w:right="57"/>
              <w:rPr>
                <w:sz w:val="17"/>
                <w:szCs w:val="17"/>
              </w:rPr>
            </w:pPr>
            <w:r w:rsidRPr="003B5EA4">
              <w:rPr>
                <w:sz w:val="17"/>
                <w:szCs w:val="17"/>
              </w:rPr>
              <w:t>TEBCMR</w:t>
            </w:r>
          </w:p>
        </w:tc>
        <w:tc>
          <w:tcPr>
            <w:tcW w:w="817"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70</w:t>
            </w:r>
          </w:p>
        </w:tc>
        <w:tc>
          <w:tcPr>
            <w:tcW w:w="706"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734"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74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729"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773"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739"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616"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56"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73</w:t>
            </w:r>
          </w:p>
        </w:tc>
        <w:tc>
          <w:tcPr>
            <w:tcW w:w="574"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70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0</w:t>
            </w:r>
          </w:p>
        </w:tc>
        <w:tc>
          <w:tcPr>
            <w:tcW w:w="63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41"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90</w:t>
            </w:r>
          </w:p>
        </w:tc>
        <w:tc>
          <w:tcPr>
            <w:tcW w:w="70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14"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100</w:t>
            </w:r>
          </w:p>
        </w:tc>
        <w:tc>
          <w:tcPr>
            <w:tcW w:w="49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682"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tcBorders>
              <w:bottom w:val="nil"/>
            </w:tcBorders>
            <w:shd w:val="clear" w:color="auto" w:fill="auto"/>
          </w:tcPr>
          <w:p w:rsidR="0025547D" w:rsidRPr="003B5EA4" w:rsidRDefault="0025547D" w:rsidP="001D3221">
            <w:pPr>
              <w:suppressAutoHyphens w:val="0"/>
              <w:spacing w:before="40" w:after="40" w:line="220" w:lineRule="exact"/>
              <w:ind w:right="57"/>
              <w:rPr>
                <w:sz w:val="17"/>
                <w:szCs w:val="17"/>
              </w:rPr>
            </w:pPr>
            <w:r>
              <w:rPr>
                <w:sz w:val="17"/>
                <w:szCs w:val="17"/>
              </w:rPr>
              <w:t>CNUCED</w:t>
            </w:r>
          </w:p>
        </w:tc>
        <w:tc>
          <w:tcPr>
            <w:tcW w:w="791" w:type="dxa"/>
            <w:tcBorders>
              <w:bottom w:val="nil"/>
            </w:tcBorders>
            <w:shd w:val="clear" w:color="auto" w:fill="auto"/>
          </w:tcPr>
          <w:p w:rsidR="0025547D" w:rsidRPr="003B5EA4" w:rsidRDefault="0025547D" w:rsidP="001D3221">
            <w:pPr>
              <w:suppressAutoHyphens w:val="0"/>
              <w:spacing w:before="40" w:after="40" w:line="220" w:lineRule="exact"/>
              <w:ind w:right="57"/>
              <w:rPr>
                <w:sz w:val="17"/>
                <w:szCs w:val="17"/>
              </w:rPr>
            </w:pPr>
            <w:r w:rsidRPr="003B5EA4">
              <w:rPr>
                <w:sz w:val="17"/>
                <w:szCs w:val="17"/>
              </w:rPr>
              <w:t>TEBCMR</w:t>
            </w:r>
          </w:p>
        </w:tc>
        <w:tc>
          <w:tcPr>
            <w:tcW w:w="817"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70</w:t>
            </w:r>
          </w:p>
        </w:tc>
        <w:tc>
          <w:tcPr>
            <w:tcW w:w="706"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X</w:t>
            </w:r>
          </w:p>
        </w:tc>
        <w:tc>
          <w:tcPr>
            <w:tcW w:w="734"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X</w:t>
            </w:r>
          </w:p>
        </w:tc>
        <w:tc>
          <w:tcPr>
            <w:tcW w:w="740"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X</w:t>
            </w:r>
          </w:p>
        </w:tc>
        <w:tc>
          <w:tcPr>
            <w:tcW w:w="729"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X</w:t>
            </w:r>
          </w:p>
        </w:tc>
        <w:tc>
          <w:tcPr>
            <w:tcW w:w="773"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w:t>
            </w:r>
          </w:p>
        </w:tc>
        <w:tc>
          <w:tcPr>
            <w:tcW w:w="739"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50</w:t>
            </w:r>
          </w:p>
        </w:tc>
        <w:tc>
          <w:tcPr>
            <w:tcW w:w="616"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w:t>
            </w:r>
          </w:p>
        </w:tc>
        <w:tc>
          <w:tcPr>
            <w:tcW w:w="756"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90</w:t>
            </w:r>
          </w:p>
        </w:tc>
        <w:tc>
          <w:tcPr>
            <w:tcW w:w="574"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w:t>
            </w:r>
          </w:p>
        </w:tc>
        <w:tc>
          <w:tcPr>
            <w:tcW w:w="700"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100</w:t>
            </w:r>
          </w:p>
        </w:tc>
        <w:tc>
          <w:tcPr>
            <w:tcW w:w="630"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w:t>
            </w:r>
          </w:p>
        </w:tc>
        <w:tc>
          <w:tcPr>
            <w:tcW w:w="741"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100</w:t>
            </w:r>
          </w:p>
        </w:tc>
        <w:tc>
          <w:tcPr>
            <w:tcW w:w="700"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X</w:t>
            </w:r>
          </w:p>
        </w:tc>
        <w:tc>
          <w:tcPr>
            <w:tcW w:w="714"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X</w:t>
            </w:r>
          </w:p>
        </w:tc>
        <w:tc>
          <w:tcPr>
            <w:tcW w:w="490"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w:t>
            </w:r>
          </w:p>
        </w:tc>
        <w:tc>
          <w:tcPr>
            <w:tcW w:w="682" w:type="dxa"/>
            <w:tcBorders>
              <w:bottom w:val="nil"/>
            </w:tcBorders>
            <w:shd w:val="clear" w:color="auto" w:fill="auto"/>
            <w:vAlign w:val="bottom"/>
          </w:tcPr>
          <w:p w:rsidR="0025547D" w:rsidRPr="003B5EA4" w:rsidRDefault="0025547D" w:rsidP="001D3221">
            <w:pPr>
              <w:suppressAutoHyphens w:val="0"/>
              <w:spacing w:before="40" w:after="40" w:line="220" w:lineRule="exact"/>
              <w:ind w:right="57"/>
              <w:jc w:val="right"/>
              <w:rPr>
                <w:sz w:val="17"/>
                <w:szCs w:val="17"/>
              </w:rPr>
            </w:pPr>
            <w:r w:rsidRPr="003B5EA4">
              <w:rPr>
                <w:sz w:val="17"/>
                <w:szCs w:val="17"/>
              </w:rPr>
              <w:t>100</w:t>
            </w:r>
          </w:p>
        </w:tc>
      </w:tr>
      <w:tr w:rsidR="008272C1" w:rsidRPr="003B5EA4" w:rsidTr="00925327">
        <w:trPr>
          <w:trHeight w:val="240"/>
        </w:trPr>
        <w:tc>
          <w:tcPr>
            <w:tcW w:w="1134" w:type="dxa"/>
            <w:tcBorders>
              <w:bottom w:val="nil"/>
            </w:tcBorders>
            <w:shd w:val="clear" w:color="auto" w:fill="auto"/>
          </w:tcPr>
          <w:p w:rsidR="00E07E2B" w:rsidRPr="003B5EA4" w:rsidRDefault="00E07E2B" w:rsidP="001D3221">
            <w:pPr>
              <w:suppressAutoHyphens w:val="0"/>
              <w:spacing w:before="40" w:after="40" w:line="220" w:lineRule="exact"/>
              <w:ind w:right="57"/>
              <w:rPr>
                <w:sz w:val="17"/>
                <w:szCs w:val="17"/>
              </w:rPr>
            </w:pPr>
            <w:r w:rsidRPr="003B5EA4">
              <w:rPr>
                <w:sz w:val="17"/>
                <w:szCs w:val="17"/>
              </w:rPr>
              <w:t>FAO</w:t>
            </w:r>
          </w:p>
        </w:tc>
        <w:tc>
          <w:tcPr>
            <w:tcW w:w="791" w:type="dxa"/>
            <w:tcBorders>
              <w:bottom w:val="nil"/>
            </w:tcBorders>
            <w:shd w:val="clear" w:color="auto" w:fill="auto"/>
          </w:tcPr>
          <w:p w:rsidR="00E07E2B" w:rsidRPr="003B5EA4" w:rsidRDefault="00E07E2B" w:rsidP="001D3221">
            <w:pPr>
              <w:suppressAutoHyphens w:val="0"/>
              <w:spacing w:before="40" w:after="40" w:line="220" w:lineRule="exact"/>
              <w:ind w:right="57"/>
              <w:rPr>
                <w:sz w:val="17"/>
                <w:szCs w:val="17"/>
              </w:rPr>
            </w:pPr>
            <w:r w:rsidRPr="003B5EA4">
              <w:rPr>
                <w:sz w:val="17"/>
                <w:szCs w:val="17"/>
              </w:rPr>
              <w:t>Tarif flexible</w:t>
            </w:r>
          </w:p>
        </w:tc>
        <w:tc>
          <w:tcPr>
            <w:tcW w:w="817"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75</w:t>
            </w:r>
          </w:p>
        </w:tc>
        <w:tc>
          <w:tcPr>
            <w:tcW w:w="706"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34"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41</w:t>
            </w:r>
          </w:p>
        </w:tc>
        <w:tc>
          <w:tcPr>
            <w:tcW w:w="74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29"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74</w:t>
            </w:r>
          </w:p>
        </w:tc>
        <w:tc>
          <w:tcPr>
            <w:tcW w:w="773"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39"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82</w:t>
            </w:r>
          </w:p>
        </w:tc>
        <w:tc>
          <w:tcPr>
            <w:tcW w:w="616"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56"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84</w:t>
            </w:r>
          </w:p>
        </w:tc>
        <w:tc>
          <w:tcPr>
            <w:tcW w:w="574"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0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89</w:t>
            </w:r>
          </w:p>
        </w:tc>
        <w:tc>
          <w:tcPr>
            <w:tcW w:w="63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741"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99</w:t>
            </w:r>
          </w:p>
        </w:tc>
        <w:tc>
          <w:tcPr>
            <w:tcW w:w="70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714"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X</w:t>
            </w:r>
          </w:p>
        </w:tc>
        <w:tc>
          <w:tcPr>
            <w:tcW w:w="490"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w:t>
            </w:r>
          </w:p>
        </w:tc>
        <w:tc>
          <w:tcPr>
            <w:tcW w:w="682" w:type="dxa"/>
            <w:tcBorders>
              <w:bottom w:val="nil"/>
            </w:tcBorders>
            <w:shd w:val="clear" w:color="auto" w:fill="auto"/>
            <w:vAlign w:val="bottom"/>
          </w:tcPr>
          <w:p w:rsidR="00E07E2B" w:rsidRPr="003B5EA4" w:rsidRDefault="00E07E2B" w:rsidP="001D3221">
            <w:pPr>
              <w:suppressAutoHyphens w:val="0"/>
              <w:spacing w:before="40" w:after="40" w:line="220" w:lineRule="exact"/>
              <w:ind w:right="57"/>
              <w:jc w:val="right"/>
              <w:rPr>
                <w:sz w:val="17"/>
                <w:szCs w:val="17"/>
              </w:rPr>
            </w:pPr>
            <w:r w:rsidRPr="003B5EA4">
              <w:rPr>
                <w:sz w:val="17"/>
                <w:szCs w:val="17"/>
              </w:rPr>
              <w:t>96</w:t>
            </w:r>
          </w:p>
        </w:tc>
      </w:tr>
      <w:tr w:rsidR="008272C1" w:rsidRPr="003B5EA4" w:rsidTr="00925327">
        <w:trPr>
          <w:trHeight w:val="240"/>
        </w:trPr>
        <w:tc>
          <w:tcPr>
            <w:tcW w:w="1134" w:type="dxa"/>
            <w:tcBorders>
              <w:bottom w:val="nil"/>
            </w:tcBorders>
            <w:shd w:val="clear" w:color="auto" w:fill="auto"/>
          </w:tcPr>
          <w:p w:rsidR="002D219D" w:rsidRPr="003B5EA4" w:rsidRDefault="002D219D" w:rsidP="001D3221">
            <w:pPr>
              <w:suppressAutoHyphens w:val="0"/>
              <w:spacing w:before="40" w:after="40" w:line="220" w:lineRule="exact"/>
              <w:ind w:right="57"/>
              <w:rPr>
                <w:sz w:val="17"/>
                <w:szCs w:val="17"/>
              </w:rPr>
            </w:pPr>
            <w:r w:rsidRPr="003B5EA4">
              <w:rPr>
                <w:sz w:val="17"/>
                <w:szCs w:val="17"/>
              </w:rPr>
              <w:t>FNUAP</w:t>
            </w:r>
          </w:p>
        </w:tc>
        <w:tc>
          <w:tcPr>
            <w:tcW w:w="791" w:type="dxa"/>
            <w:tcBorders>
              <w:bottom w:val="nil"/>
            </w:tcBorders>
            <w:shd w:val="clear" w:color="auto" w:fill="auto"/>
          </w:tcPr>
          <w:p w:rsidR="002D219D" w:rsidRPr="003B5EA4" w:rsidRDefault="002D219D" w:rsidP="001D3221">
            <w:pPr>
              <w:suppressAutoHyphens w:val="0"/>
              <w:spacing w:before="40" w:after="40" w:line="220" w:lineRule="exact"/>
              <w:ind w:right="57"/>
              <w:rPr>
                <w:sz w:val="17"/>
                <w:szCs w:val="17"/>
              </w:rPr>
            </w:pPr>
            <w:r w:rsidRPr="003B5EA4">
              <w:rPr>
                <w:sz w:val="17"/>
                <w:szCs w:val="17"/>
              </w:rPr>
              <w:t>TEBCMR</w:t>
            </w:r>
          </w:p>
        </w:tc>
        <w:tc>
          <w:tcPr>
            <w:tcW w:w="817"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70</w:t>
            </w:r>
          </w:p>
        </w:tc>
        <w:tc>
          <w:tcPr>
            <w:tcW w:w="706"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734"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c>
          <w:tcPr>
            <w:tcW w:w="740"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729"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c>
          <w:tcPr>
            <w:tcW w:w="773"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739"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c>
          <w:tcPr>
            <w:tcW w:w="616"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756"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c>
          <w:tcPr>
            <w:tcW w:w="574"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700"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c>
          <w:tcPr>
            <w:tcW w:w="630"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741"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c>
          <w:tcPr>
            <w:tcW w:w="700"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714"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c>
          <w:tcPr>
            <w:tcW w:w="490"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w:t>
            </w:r>
          </w:p>
        </w:tc>
        <w:tc>
          <w:tcPr>
            <w:tcW w:w="682" w:type="dxa"/>
            <w:tcBorders>
              <w:bottom w:val="nil"/>
            </w:tcBorders>
            <w:shd w:val="clear" w:color="auto" w:fill="auto"/>
            <w:vAlign w:val="bottom"/>
          </w:tcPr>
          <w:p w:rsidR="002D219D" w:rsidRPr="003B5EA4" w:rsidRDefault="002D219D" w:rsidP="001D3221">
            <w:pPr>
              <w:suppressAutoHyphens w:val="0"/>
              <w:spacing w:before="40" w:after="40" w:line="220" w:lineRule="exact"/>
              <w:ind w:right="57"/>
              <w:jc w:val="right"/>
              <w:rPr>
                <w:sz w:val="17"/>
                <w:szCs w:val="17"/>
              </w:rPr>
            </w:pPr>
            <w:r w:rsidRPr="003B5EA4">
              <w:rPr>
                <w:sz w:val="17"/>
                <w:szCs w:val="17"/>
              </w:rPr>
              <w:t>100</w:t>
            </w:r>
          </w:p>
        </w:tc>
      </w:tr>
      <w:tr w:rsidR="008272C1" w:rsidRPr="003B5EA4" w:rsidTr="00925327">
        <w:trPr>
          <w:trHeight w:val="240"/>
        </w:trPr>
        <w:tc>
          <w:tcPr>
            <w:tcW w:w="1134" w:type="dxa"/>
            <w:tcBorders>
              <w:bottom w:val="nil"/>
            </w:tcBorders>
            <w:shd w:val="clear" w:color="auto" w:fill="auto"/>
          </w:tcPr>
          <w:p w:rsidR="00352216" w:rsidRPr="003B5EA4" w:rsidRDefault="00582733" w:rsidP="001D3221">
            <w:pPr>
              <w:suppressAutoHyphens w:val="0"/>
              <w:spacing w:before="40" w:after="40" w:line="220" w:lineRule="exact"/>
              <w:ind w:right="57"/>
              <w:rPr>
                <w:sz w:val="17"/>
                <w:szCs w:val="17"/>
              </w:rPr>
            </w:pPr>
            <w:r w:rsidRPr="003B5EA4">
              <w:rPr>
                <w:sz w:val="17"/>
                <w:szCs w:val="17"/>
              </w:rPr>
              <w:t>HCR</w:t>
            </w:r>
          </w:p>
        </w:tc>
        <w:tc>
          <w:tcPr>
            <w:tcW w:w="791" w:type="dxa"/>
            <w:tcBorders>
              <w:bottom w:val="nil"/>
            </w:tcBorders>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70</w:t>
            </w:r>
          </w:p>
        </w:tc>
        <w:tc>
          <w:tcPr>
            <w:tcW w:w="706"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56"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574"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OACI</w:t>
            </w:r>
          </w:p>
        </w:tc>
        <w:tc>
          <w:tcPr>
            <w:tcW w:w="791" w:type="dxa"/>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55</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99,9</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99,9</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99,9</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99,9</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DB4481" w:rsidRPr="003B5EA4" w:rsidRDefault="00DB4481" w:rsidP="001D3221">
            <w:pPr>
              <w:suppressAutoHyphens w:val="0"/>
              <w:spacing w:before="40" w:after="40" w:line="220" w:lineRule="exact"/>
              <w:ind w:right="57"/>
              <w:rPr>
                <w:sz w:val="17"/>
                <w:szCs w:val="17"/>
              </w:rPr>
            </w:pPr>
            <w:r w:rsidRPr="003B5EA4">
              <w:rPr>
                <w:sz w:val="17"/>
                <w:szCs w:val="17"/>
              </w:rPr>
              <w:t>OIT</w:t>
            </w:r>
          </w:p>
        </w:tc>
        <w:tc>
          <w:tcPr>
            <w:tcW w:w="791" w:type="dxa"/>
            <w:shd w:val="clear" w:color="auto" w:fill="auto"/>
          </w:tcPr>
          <w:p w:rsidR="00DB4481" w:rsidRPr="003B5EA4" w:rsidRDefault="00DB4481" w:rsidP="001D3221">
            <w:pPr>
              <w:ind w:right="57"/>
            </w:pPr>
            <w:r w:rsidRPr="003B5EA4">
              <w:rPr>
                <w:sz w:val="17"/>
                <w:szCs w:val="17"/>
              </w:rPr>
              <w:t>Tarif flexible</w:t>
            </w:r>
          </w:p>
        </w:tc>
        <w:tc>
          <w:tcPr>
            <w:tcW w:w="817"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80</w:t>
            </w:r>
          </w:p>
        </w:tc>
        <w:tc>
          <w:tcPr>
            <w:tcW w:w="706"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574"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DB4481" w:rsidRPr="003B5EA4" w:rsidRDefault="00DB4481" w:rsidP="001D3221">
            <w:pPr>
              <w:suppressAutoHyphens w:val="0"/>
              <w:spacing w:before="40" w:after="40" w:line="220" w:lineRule="exact"/>
              <w:ind w:right="57"/>
              <w:jc w:val="right"/>
              <w:rPr>
                <w:spacing w:val="-6"/>
                <w:sz w:val="17"/>
                <w:szCs w:val="17"/>
              </w:rPr>
            </w:pPr>
            <w:r w:rsidRPr="003B5EA4">
              <w:rPr>
                <w:spacing w:val="-6"/>
                <w:sz w:val="17"/>
                <w:szCs w:val="17"/>
              </w:rPr>
              <w:t>✓(65</w:t>
            </w:r>
            <w:r w:rsidR="00F53D84" w:rsidRPr="003B5EA4">
              <w:rPr>
                <w:spacing w:val="-6"/>
                <w:sz w:val="17"/>
                <w:szCs w:val="17"/>
              </w:rPr>
              <w:t> </w:t>
            </w:r>
            <w:r w:rsidRPr="003B5EA4">
              <w:rPr>
                <w:spacing w:val="-6"/>
                <w:sz w:val="17"/>
                <w:szCs w:val="17"/>
              </w:rPr>
              <w:t>%)</w:t>
            </w:r>
          </w:p>
        </w:tc>
        <w:tc>
          <w:tcPr>
            <w:tcW w:w="741"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w:t>
            </w:r>
          </w:p>
        </w:tc>
        <w:tc>
          <w:tcPr>
            <w:tcW w:w="682" w:type="dxa"/>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tcBorders>
              <w:bottom w:val="nil"/>
            </w:tcBorders>
            <w:shd w:val="clear" w:color="auto" w:fill="auto"/>
          </w:tcPr>
          <w:p w:rsidR="00DB4481" w:rsidRPr="003B5EA4" w:rsidRDefault="00DB4481" w:rsidP="001D3221">
            <w:pPr>
              <w:suppressAutoHyphens w:val="0"/>
              <w:spacing w:before="40" w:after="40" w:line="220" w:lineRule="exact"/>
              <w:ind w:right="57"/>
              <w:rPr>
                <w:sz w:val="17"/>
                <w:szCs w:val="17"/>
              </w:rPr>
            </w:pPr>
            <w:r w:rsidRPr="003B5EA4">
              <w:rPr>
                <w:sz w:val="17"/>
                <w:szCs w:val="17"/>
              </w:rPr>
              <w:t>OMI</w:t>
            </w:r>
          </w:p>
        </w:tc>
        <w:tc>
          <w:tcPr>
            <w:tcW w:w="791" w:type="dxa"/>
            <w:tcBorders>
              <w:bottom w:val="nil"/>
            </w:tcBorders>
            <w:shd w:val="clear" w:color="auto" w:fill="auto"/>
          </w:tcPr>
          <w:p w:rsidR="00DB4481" w:rsidRPr="003B5EA4" w:rsidRDefault="00DB4481" w:rsidP="001D3221">
            <w:pPr>
              <w:ind w:right="57"/>
            </w:pPr>
            <w:r w:rsidRPr="003B5EA4">
              <w:rPr>
                <w:sz w:val="17"/>
                <w:szCs w:val="17"/>
              </w:rPr>
              <w:t>Tarif flexible</w:t>
            </w:r>
          </w:p>
        </w:tc>
        <w:tc>
          <w:tcPr>
            <w:tcW w:w="817"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75</w:t>
            </w:r>
          </w:p>
        </w:tc>
        <w:tc>
          <w:tcPr>
            <w:tcW w:w="706"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34"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40"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29"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73"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39"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616"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w:t>
            </w:r>
          </w:p>
        </w:tc>
        <w:tc>
          <w:tcPr>
            <w:tcW w:w="756"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99</w:t>
            </w:r>
          </w:p>
        </w:tc>
        <w:tc>
          <w:tcPr>
            <w:tcW w:w="574"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00"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630"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w:t>
            </w:r>
          </w:p>
        </w:tc>
        <w:tc>
          <w:tcPr>
            <w:tcW w:w="741"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95</w:t>
            </w:r>
          </w:p>
        </w:tc>
        <w:tc>
          <w:tcPr>
            <w:tcW w:w="700"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714"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490"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c>
          <w:tcPr>
            <w:tcW w:w="682" w:type="dxa"/>
            <w:tcBorders>
              <w:bottom w:val="nil"/>
            </w:tcBorders>
            <w:shd w:val="clear" w:color="auto" w:fill="auto"/>
            <w:vAlign w:val="bottom"/>
          </w:tcPr>
          <w:p w:rsidR="00DB4481" w:rsidRPr="003B5EA4" w:rsidRDefault="00DB4481"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tcBorders>
              <w:top w:val="nil"/>
              <w:bottom w:val="nil"/>
            </w:tcBorders>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OMM</w:t>
            </w:r>
          </w:p>
        </w:tc>
        <w:tc>
          <w:tcPr>
            <w:tcW w:w="791" w:type="dxa"/>
            <w:tcBorders>
              <w:top w:val="nil"/>
              <w:bottom w:val="nil"/>
            </w:tcBorders>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75</w:t>
            </w:r>
          </w:p>
        </w:tc>
        <w:tc>
          <w:tcPr>
            <w:tcW w:w="706"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56"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574"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tcBorders>
              <w:top w:val="nil"/>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tcBorders>
              <w:top w:val="nil"/>
            </w:tcBorders>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OMPI</w:t>
            </w:r>
          </w:p>
        </w:tc>
        <w:tc>
          <w:tcPr>
            <w:tcW w:w="791" w:type="dxa"/>
            <w:tcBorders>
              <w:top w:val="nil"/>
            </w:tcBorders>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80</w:t>
            </w:r>
          </w:p>
        </w:tc>
        <w:tc>
          <w:tcPr>
            <w:tcW w:w="706"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574"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tcBorders>
              <w:top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OMS</w:t>
            </w:r>
          </w:p>
        </w:tc>
        <w:tc>
          <w:tcPr>
            <w:tcW w:w="791" w:type="dxa"/>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75</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OMT</w:t>
            </w:r>
          </w:p>
        </w:tc>
        <w:tc>
          <w:tcPr>
            <w:tcW w:w="791" w:type="dxa"/>
            <w:shd w:val="clear" w:color="auto" w:fill="auto"/>
          </w:tcPr>
          <w:p w:rsidR="00352216" w:rsidRPr="003B5EA4" w:rsidRDefault="00DB4481" w:rsidP="001D3221">
            <w:pPr>
              <w:suppressAutoHyphens w:val="0"/>
              <w:spacing w:before="40" w:after="40" w:line="220" w:lineRule="exact"/>
              <w:ind w:right="57"/>
              <w:rPr>
                <w:sz w:val="17"/>
                <w:szCs w:val="17"/>
              </w:rPr>
            </w:pPr>
            <w:r w:rsidRPr="003B5EA4">
              <w:rPr>
                <w:sz w:val="17"/>
                <w:szCs w:val="17"/>
              </w:rPr>
              <w:t>Inconnu</w:t>
            </w:r>
          </w:p>
        </w:tc>
        <w:tc>
          <w:tcPr>
            <w:tcW w:w="817" w:type="dxa"/>
            <w:shd w:val="clear" w:color="auto" w:fill="auto"/>
            <w:vAlign w:val="bottom"/>
          </w:tcPr>
          <w:p w:rsidR="00352216" w:rsidRPr="003B5EA4" w:rsidRDefault="00F53D84" w:rsidP="001D3221">
            <w:pPr>
              <w:suppressAutoHyphens w:val="0"/>
              <w:spacing w:before="40" w:after="40" w:line="220" w:lineRule="exact"/>
              <w:ind w:right="57"/>
              <w:jc w:val="right"/>
              <w:rPr>
                <w:sz w:val="17"/>
                <w:szCs w:val="17"/>
              </w:rPr>
            </w:pPr>
            <w:r w:rsidRPr="003B5EA4">
              <w:rPr>
                <w:sz w:val="17"/>
                <w:szCs w:val="17"/>
              </w:rPr>
              <w:t>Inconnu</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F87BB3" w:rsidRPr="003B5EA4" w:rsidRDefault="00F87BB3" w:rsidP="001D3221">
            <w:pPr>
              <w:suppressAutoHyphens w:val="0"/>
              <w:spacing w:before="40" w:after="40" w:line="220" w:lineRule="exact"/>
              <w:ind w:right="57"/>
              <w:rPr>
                <w:sz w:val="17"/>
                <w:szCs w:val="17"/>
              </w:rPr>
            </w:pPr>
            <w:r w:rsidRPr="003B5EA4">
              <w:rPr>
                <w:sz w:val="17"/>
                <w:szCs w:val="17"/>
              </w:rPr>
              <w:t>ONU</w:t>
            </w:r>
          </w:p>
        </w:tc>
        <w:tc>
          <w:tcPr>
            <w:tcW w:w="791" w:type="dxa"/>
            <w:shd w:val="clear" w:color="auto" w:fill="auto"/>
          </w:tcPr>
          <w:p w:rsidR="00F87BB3" w:rsidRPr="003B5EA4" w:rsidRDefault="00F87BB3"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70</w:t>
            </w:r>
          </w:p>
        </w:tc>
        <w:tc>
          <w:tcPr>
            <w:tcW w:w="706"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w:t>
            </w:r>
          </w:p>
        </w:tc>
        <w:tc>
          <w:tcPr>
            <w:tcW w:w="739"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0,02</w:t>
            </w:r>
          </w:p>
        </w:tc>
        <w:tc>
          <w:tcPr>
            <w:tcW w:w="616"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94,69</w:t>
            </w:r>
          </w:p>
        </w:tc>
        <w:tc>
          <w:tcPr>
            <w:tcW w:w="574"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0,4</w:t>
            </w:r>
          </w:p>
        </w:tc>
        <w:tc>
          <w:tcPr>
            <w:tcW w:w="630"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3,77</w:t>
            </w:r>
          </w:p>
        </w:tc>
        <w:tc>
          <w:tcPr>
            <w:tcW w:w="700"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F87BB3" w:rsidRPr="003B5EA4" w:rsidRDefault="00F87BB3"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pacing w:val="-3"/>
                <w:sz w:val="17"/>
                <w:szCs w:val="17"/>
              </w:rPr>
            </w:pPr>
            <w:r w:rsidRPr="003B5EA4">
              <w:rPr>
                <w:spacing w:val="-3"/>
                <w:sz w:val="17"/>
                <w:szCs w:val="17"/>
              </w:rPr>
              <w:t>ONU-</w:t>
            </w:r>
            <w:r w:rsidR="00DB4481" w:rsidRPr="003B5EA4">
              <w:rPr>
                <w:spacing w:val="-3"/>
                <w:sz w:val="17"/>
                <w:szCs w:val="17"/>
              </w:rPr>
              <w:t>Femmes</w:t>
            </w:r>
          </w:p>
        </w:tc>
        <w:tc>
          <w:tcPr>
            <w:tcW w:w="791" w:type="dxa"/>
            <w:shd w:val="clear" w:color="auto" w:fill="auto"/>
          </w:tcPr>
          <w:p w:rsidR="00352216" w:rsidRPr="003B5EA4" w:rsidRDefault="00F53D84" w:rsidP="001D3221">
            <w:pPr>
              <w:suppressAutoHyphens w:val="0"/>
              <w:spacing w:before="40" w:after="40" w:line="220" w:lineRule="exact"/>
              <w:ind w:right="57"/>
              <w:rPr>
                <w:sz w:val="17"/>
                <w:szCs w:val="17"/>
              </w:rPr>
            </w:pPr>
            <w:r w:rsidRPr="003B5EA4">
              <w:rPr>
                <w:sz w:val="17"/>
                <w:szCs w:val="17"/>
              </w:rPr>
              <w:t>Inconnu</w:t>
            </w:r>
          </w:p>
        </w:tc>
        <w:tc>
          <w:tcPr>
            <w:tcW w:w="817" w:type="dxa"/>
            <w:shd w:val="clear" w:color="auto" w:fill="auto"/>
          </w:tcPr>
          <w:p w:rsidR="00352216" w:rsidRPr="003B5EA4" w:rsidRDefault="00F53D84" w:rsidP="001D3221">
            <w:pPr>
              <w:suppressAutoHyphens w:val="0"/>
              <w:spacing w:before="40" w:after="40" w:line="220" w:lineRule="exact"/>
              <w:ind w:right="57"/>
              <w:jc w:val="right"/>
              <w:rPr>
                <w:sz w:val="17"/>
                <w:szCs w:val="17"/>
              </w:rPr>
            </w:pPr>
            <w:r w:rsidRPr="003B5EA4">
              <w:rPr>
                <w:sz w:val="17"/>
                <w:szCs w:val="17"/>
              </w:rPr>
              <w:t>Inconnu</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 (</w:t>
            </w:r>
            <w:r w:rsidR="00C40C84" w:rsidRPr="003B5EA4">
              <w:rPr>
                <w:sz w:val="17"/>
                <w:szCs w:val="17"/>
              </w:rPr>
              <w:t>HQ</w:t>
            </w:r>
            <w:r w:rsidRPr="003B5EA4">
              <w:rPr>
                <w:sz w:val="17"/>
                <w:szCs w:val="17"/>
              </w:rPr>
              <w:t>)</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rFonts w:ascii="Segoe UI Symbol" w:hAnsi="Segoe UI Symbol" w:cs="Segoe UI Symbol"/>
                <w:sz w:val="17"/>
                <w:szCs w:val="17"/>
              </w:rPr>
              <w:t>✓</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 (</w:t>
            </w:r>
            <w:r w:rsidR="00F53D84" w:rsidRPr="003B5EA4">
              <w:rPr>
                <w:sz w:val="17"/>
                <w:szCs w:val="17"/>
              </w:rPr>
              <w:t>HQ</w:t>
            </w:r>
            <w:r w:rsidRPr="003B5EA4">
              <w:rPr>
                <w:sz w:val="17"/>
                <w:szCs w:val="17"/>
              </w:rPr>
              <w:t>)</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rFonts w:ascii="Segoe UI Symbol" w:hAnsi="Segoe UI Symbol" w:cs="Segoe UI Symbol"/>
                <w:sz w:val="17"/>
                <w:szCs w:val="17"/>
              </w:rPr>
              <w:t>✓</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 (</w:t>
            </w:r>
            <w:r w:rsidR="00F53D84" w:rsidRPr="003B5EA4">
              <w:rPr>
                <w:sz w:val="17"/>
                <w:szCs w:val="17"/>
              </w:rPr>
              <w:t>HQ</w:t>
            </w:r>
            <w:r w:rsidRPr="003B5EA4">
              <w:rPr>
                <w:sz w:val="17"/>
                <w:szCs w:val="17"/>
              </w:rPr>
              <w:t>)</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rFonts w:ascii="Segoe UI Symbol" w:hAnsi="Segoe UI Symbol" w:cs="Segoe UI Symbol"/>
                <w:sz w:val="17"/>
                <w:szCs w:val="17"/>
              </w:rPr>
              <w:t>✓</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i/>
                <w:sz w:val="17"/>
                <w:szCs w:val="17"/>
                <w:vertAlign w:val="superscript"/>
              </w:rPr>
            </w:pPr>
            <w:r w:rsidRPr="003B5EA4">
              <w:rPr>
                <w:i/>
                <w:sz w:val="18"/>
                <w:szCs w:val="17"/>
                <w:vertAlign w:val="superscript"/>
              </w:rPr>
              <w:t>b</w:t>
            </w:r>
          </w:p>
        </w:tc>
      </w:tr>
      <w:tr w:rsidR="008272C1" w:rsidRPr="003B5EA4" w:rsidTr="00925327">
        <w:trPr>
          <w:trHeight w:val="240"/>
        </w:trPr>
        <w:tc>
          <w:tcPr>
            <w:tcW w:w="1134" w:type="dxa"/>
            <w:shd w:val="clear" w:color="auto" w:fill="auto"/>
          </w:tcPr>
          <w:p w:rsidR="00094382" w:rsidRPr="003B5EA4" w:rsidRDefault="00094382" w:rsidP="001D3221">
            <w:pPr>
              <w:suppressAutoHyphens w:val="0"/>
              <w:spacing w:before="40" w:after="40" w:line="220" w:lineRule="exact"/>
              <w:ind w:right="57"/>
              <w:rPr>
                <w:spacing w:val="-3"/>
                <w:sz w:val="17"/>
                <w:szCs w:val="17"/>
              </w:rPr>
            </w:pPr>
            <w:r w:rsidRPr="003B5EA4">
              <w:rPr>
                <w:spacing w:val="-3"/>
                <w:sz w:val="17"/>
                <w:szCs w:val="17"/>
              </w:rPr>
              <w:t>ONU-Habitat</w:t>
            </w:r>
          </w:p>
        </w:tc>
        <w:tc>
          <w:tcPr>
            <w:tcW w:w="791" w:type="dxa"/>
            <w:shd w:val="clear" w:color="auto" w:fill="auto"/>
          </w:tcPr>
          <w:p w:rsidR="00094382" w:rsidRPr="003B5EA4" w:rsidRDefault="00094382" w:rsidP="001D3221">
            <w:pPr>
              <w:suppressAutoHyphens w:val="0"/>
              <w:spacing w:before="40" w:after="40" w:line="220" w:lineRule="exact"/>
              <w:ind w:right="57"/>
              <w:rPr>
                <w:sz w:val="17"/>
                <w:szCs w:val="17"/>
              </w:rPr>
            </w:pPr>
            <w:r w:rsidRPr="003B5EA4">
              <w:rPr>
                <w:sz w:val="17"/>
                <w:szCs w:val="17"/>
              </w:rPr>
              <w:t>Inconnu</w:t>
            </w:r>
          </w:p>
        </w:tc>
        <w:tc>
          <w:tcPr>
            <w:tcW w:w="817"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Inconnu</w:t>
            </w:r>
          </w:p>
        </w:tc>
        <w:tc>
          <w:tcPr>
            <w:tcW w:w="70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5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57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41"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094382" w:rsidRPr="003B5EA4" w:rsidRDefault="00094382" w:rsidP="001D3221">
            <w:pPr>
              <w:suppressAutoHyphens w:val="0"/>
              <w:spacing w:before="40" w:after="40" w:line="220" w:lineRule="exact"/>
              <w:ind w:right="57"/>
              <w:rPr>
                <w:sz w:val="17"/>
                <w:szCs w:val="17"/>
              </w:rPr>
            </w:pPr>
            <w:r w:rsidRPr="003B5EA4">
              <w:rPr>
                <w:sz w:val="17"/>
                <w:szCs w:val="17"/>
              </w:rPr>
              <w:t>ONUDC</w:t>
            </w:r>
          </w:p>
        </w:tc>
        <w:tc>
          <w:tcPr>
            <w:tcW w:w="791" w:type="dxa"/>
            <w:shd w:val="clear" w:color="auto" w:fill="auto"/>
          </w:tcPr>
          <w:p w:rsidR="00094382" w:rsidRPr="003B5EA4" w:rsidRDefault="00094382"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70</w:t>
            </w:r>
          </w:p>
        </w:tc>
        <w:tc>
          <w:tcPr>
            <w:tcW w:w="70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90</w:t>
            </w:r>
          </w:p>
        </w:tc>
        <w:tc>
          <w:tcPr>
            <w:tcW w:w="57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1</w:t>
            </w:r>
          </w:p>
        </w:tc>
        <w:tc>
          <w:tcPr>
            <w:tcW w:w="63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90</w:t>
            </w:r>
          </w:p>
        </w:tc>
        <w:tc>
          <w:tcPr>
            <w:tcW w:w="70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094382" w:rsidRPr="003B5EA4" w:rsidRDefault="00094382" w:rsidP="001D3221">
            <w:pPr>
              <w:suppressAutoHyphens w:val="0"/>
              <w:spacing w:before="40" w:after="40" w:line="220" w:lineRule="exact"/>
              <w:ind w:right="57"/>
              <w:rPr>
                <w:sz w:val="17"/>
                <w:szCs w:val="17"/>
              </w:rPr>
            </w:pPr>
            <w:r w:rsidRPr="003B5EA4">
              <w:rPr>
                <w:sz w:val="17"/>
                <w:szCs w:val="17"/>
              </w:rPr>
              <w:t>ONUDI</w:t>
            </w:r>
          </w:p>
        </w:tc>
        <w:tc>
          <w:tcPr>
            <w:tcW w:w="791" w:type="dxa"/>
            <w:shd w:val="clear" w:color="auto" w:fill="auto"/>
          </w:tcPr>
          <w:p w:rsidR="00094382" w:rsidRPr="003B5EA4" w:rsidRDefault="00094382"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75</w:t>
            </w:r>
          </w:p>
        </w:tc>
        <w:tc>
          <w:tcPr>
            <w:tcW w:w="70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99</w:t>
            </w:r>
          </w:p>
        </w:tc>
        <w:tc>
          <w:tcPr>
            <w:tcW w:w="57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99</w:t>
            </w:r>
          </w:p>
        </w:tc>
        <w:tc>
          <w:tcPr>
            <w:tcW w:w="63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100</w:t>
            </w:r>
          </w:p>
        </w:tc>
        <w:tc>
          <w:tcPr>
            <w:tcW w:w="70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w:t>
            </w:r>
          </w:p>
        </w:tc>
        <w:tc>
          <w:tcPr>
            <w:tcW w:w="682" w:type="dxa"/>
            <w:shd w:val="clear" w:color="auto" w:fill="auto"/>
            <w:vAlign w:val="bottom"/>
          </w:tcPr>
          <w:p w:rsidR="00094382" w:rsidRPr="003B5EA4" w:rsidRDefault="00094382" w:rsidP="001D3221">
            <w:pPr>
              <w:suppressAutoHyphens w:val="0"/>
              <w:spacing w:before="40" w:after="40" w:line="220" w:lineRule="exact"/>
              <w:ind w:right="57"/>
              <w:jc w:val="right"/>
              <w:rPr>
                <w:sz w:val="17"/>
                <w:szCs w:val="17"/>
              </w:rPr>
            </w:pPr>
            <w:r w:rsidRPr="003B5EA4">
              <w:rPr>
                <w:sz w:val="17"/>
                <w:szCs w:val="17"/>
              </w:rPr>
              <w:t>100</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ONUSIDA</w:t>
            </w:r>
          </w:p>
        </w:tc>
        <w:tc>
          <w:tcPr>
            <w:tcW w:w="791" w:type="dxa"/>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75</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83</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87</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97</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96</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87</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91</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P</w:t>
            </w:r>
            <w:r w:rsidR="00C40C84" w:rsidRPr="003B5EA4">
              <w:rPr>
                <w:sz w:val="17"/>
                <w:szCs w:val="17"/>
              </w:rPr>
              <w:t>AM</w:t>
            </w:r>
          </w:p>
        </w:tc>
        <w:tc>
          <w:tcPr>
            <w:tcW w:w="791" w:type="dxa"/>
            <w:shd w:val="clear" w:color="auto" w:fill="auto"/>
          </w:tcPr>
          <w:p w:rsidR="00352216" w:rsidRPr="003B5EA4" w:rsidRDefault="00F53D84" w:rsidP="001D3221">
            <w:pPr>
              <w:suppressAutoHyphens w:val="0"/>
              <w:spacing w:before="40" w:after="40" w:line="220" w:lineRule="exact"/>
              <w:ind w:right="57"/>
              <w:rPr>
                <w:sz w:val="17"/>
                <w:szCs w:val="17"/>
              </w:rPr>
            </w:pPr>
            <w:r w:rsidRPr="003B5EA4">
              <w:rPr>
                <w:sz w:val="17"/>
                <w:szCs w:val="17"/>
              </w:rPr>
              <w:t>Tarif flexible</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70</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70</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82</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69</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80</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88</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84</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lastRenderedPageBreak/>
              <w:t>PNUD</w:t>
            </w:r>
          </w:p>
        </w:tc>
        <w:tc>
          <w:tcPr>
            <w:tcW w:w="791" w:type="dxa"/>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70</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PNU</w:t>
            </w:r>
            <w:r w:rsidR="00175E9E" w:rsidRPr="003B5EA4">
              <w:rPr>
                <w:sz w:val="17"/>
                <w:szCs w:val="17"/>
              </w:rPr>
              <w:t>E</w:t>
            </w:r>
          </w:p>
        </w:tc>
        <w:tc>
          <w:tcPr>
            <w:tcW w:w="791" w:type="dxa"/>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70</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UIT</w:t>
            </w:r>
          </w:p>
        </w:tc>
        <w:tc>
          <w:tcPr>
            <w:tcW w:w="791" w:type="dxa"/>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80</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98</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UNESCO</w:t>
            </w:r>
          </w:p>
        </w:tc>
        <w:tc>
          <w:tcPr>
            <w:tcW w:w="791"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Tarif flexible</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50</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83</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69</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90</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89</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84</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83</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94</w:t>
            </w:r>
          </w:p>
        </w:tc>
      </w:tr>
      <w:tr w:rsidR="008272C1" w:rsidRPr="003B5EA4" w:rsidTr="00925327">
        <w:trPr>
          <w:trHeight w:val="240"/>
        </w:trPr>
        <w:tc>
          <w:tcPr>
            <w:tcW w:w="1134" w:type="dxa"/>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UNICEF</w:t>
            </w:r>
          </w:p>
        </w:tc>
        <w:tc>
          <w:tcPr>
            <w:tcW w:w="791" w:type="dxa"/>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75</w:t>
            </w:r>
          </w:p>
        </w:tc>
        <w:tc>
          <w:tcPr>
            <w:tcW w:w="70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50</w:t>
            </w:r>
          </w:p>
        </w:tc>
        <w:tc>
          <w:tcPr>
            <w:tcW w:w="74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2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50</w:t>
            </w:r>
          </w:p>
        </w:tc>
        <w:tc>
          <w:tcPr>
            <w:tcW w:w="773"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9"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90</w:t>
            </w:r>
          </w:p>
        </w:tc>
        <w:tc>
          <w:tcPr>
            <w:tcW w:w="61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95</w:t>
            </w:r>
          </w:p>
        </w:tc>
        <w:tc>
          <w:tcPr>
            <w:tcW w:w="57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63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41"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70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14"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50</w:t>
            </w:r>
          </w:p>
        </w:tc>
        <w:tc>
          <w:tcPr>
            <w:tcW w:w="490"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c>
          <w:tcPr>
            <w:tcW w:w="682" w:type="dxa"/>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X</w:t>
            </w:r>
          </w:p>
        </w:tc>
      </w:tr>
      <w:tr w:rsidR="008272C1" w:rsidRPr="003B5EA4" w:rsidTr="00925327">
        <w:trPr>
          <w:trHeight w:val="240"/>
        </w:trPr>
        <w:tc>
          <w:tcPr>
            <w:tcW w:w="1134" w:type="dxa"/>
            <w:tcBorders>
              <w:bottom w:val="nil"/>
            </w:tcBorders>
            <w:shd w:val="clear" w:color="auto" w:fill="auto"/>
          </w:tcPr>
          <w:p w:rsidR="00352216" w:rsidRPr="003B5EA4" w:rsidRDefault="00352216" w:rsidP="001D3221">
            <w:pPr>
              <w:suppressAutoHyphens w:val="0"/>
              <w:spacing w:before="40" w:after="40" w:line="220" w:lineRule="exact"/>
              <w:ind w:right="57"/>
              <w:rPr>
                <w:sz w:val="17"/>
                <w:szCs w:val="17"/>
              </w:rPr>
            </w:pPr>
            <w:r w:rsidRPr="003B5EA4">
              <w:rPr>
                <w:sz w:val="17"/>
                <w:szCs w:val="17"/>
              </w:rPr>
              <w:t>UNOPS</w:t>
            </w:r>
          </w:p>
        </w:tc>
        <w:tc>
          <w:tcPr>
            <w:tcW w:w="791" w:type="dxa"/>
            <w:tcBorders>
              <w:bottom w:val="nil"/>
            </w:tcBorders>
            <w:shd w:val="clear" w:color="auto" w:fill="auto"/>
          </w:tcPr>
          <w:p w:rsidR="00352216" w:rsidRPr="003B5EA4" w:rsidRDefault="00F20936" w:rsidP="001D3221">
            <w:pPr>
              <w:suppressAutoHyphens w:val="0"/>
              <w:spacing w:before="40" w:after="40" w:line="220" w:lineRule="exact"/>
              <w:ind w:right="57"/>
              <w:rPr>
                <w:sz w:val="17"/>
                <w:szCs w:val="17"/>
              </w:rPr>
            </w:pPr>
            <w:r w:rsidRPr="003B5EA4">
              <w:rPr>
                <w:sz w:val="17"/>
                <w:szCs w:val="17"/>
              </w:rPr>
              <w:t>TEBCMR</w:t>
            </w:r>
          </w:p>
        </w:tc>
        <w:tc>
          <w:tcPr>
            <w:tcW w:w="817"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75</w:t>
            </w:r>
          </w:p>
        </w:tc>
        <w:tc>
          <w:tcPr>
            <w:tcW w:w="706"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4"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74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29"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773"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39"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616"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56"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574"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0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63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41"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70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714"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c>
          <w:tcPr>
            <w:tcW w:w="490"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w:t>
            </w:r>
          </w:p>
        </w:tc>
        <w:tc>
          <w:tcPr>
            <w:tcW w:w="682" w:type="dxa"/>
            <w:tcBorders>
              <w:bottom w:val="nil"/>
            </w:tcBorders>
            <w:shd w:val="clear" w:color="auto" w:fill="auto"/>
            <w:vAlign w:val="bottom"/>
          </w:tcPr>
          <w:p w:rsidR="00352216" w:rsidRPr="003B5EA4" w:rsidRDefault="00352216" w:rsidP="001D3221">
            <w:pPr>
              <w:suppressAutoHyphens w:val="0"/>
              <w:spacing w:before="40" w:after="40" w:line="220" w:lineRule="exact"/>
              <w:ind w:right="57"/>
              <w:jc w:val="right"/>
              <w:rPr>
                <w:sz w:val="17"/>
                <w:szCs w:val="17"/>
              </w:rPr>
            </w:pPr>
            <w:r w:rsidRPr="003B5EA4">
              <w:rPr>
                <w:sz w:val="17"/>
                <w:szCs w:val="17"/>
              </w:rPr>
              <w:t>100</w:t>
            </w:r>
          </w:p>
        </w:tc>
      </w:tr>
      <w:tr w:rsidR="008272C1" w:rsidRPr="003B5EA4" w:rsidTr="00925327">
        <w:trPr>
          <w:trHeight w:val="240"/>
        </w:trPr>
        <w:tc>
          <w:tcPr>
            <w:tcW w:w="1134" w:type="dxa"/>
            <w:tcBorders>
              <w:top w:val="nil"/>
              <w:bottom w:val="nil"/>
            </w:tcBorders>
            <w:shd w:val="clear" w:color="auto" w:fill="auto"/>
          </w:tcPr>
          <w:p w:rsidR="004D290D" w:rsidRPr="003B5EA4" w:rsidRDefault="004D290D" w:rsidP="001D3221">
            <w:pPr>
              <w:suppressAutoHyphens w:val="0"/>
              <w:spacing w:before="40" w:after="40" w:line="220" w:lineRule="exact"/>
              <w:ind w:right="57"/>
              <w:rPr>
                <w:sz w:val="17"/>
                <w:szCs w:val="17"/>
              </w:rPr>
            </w:pPr>
            <w:r w:rsidRPr="003B5EA4">
              <w:rPr>
                <w:sz w:val="17"/>
                <w:szCs w:val="17"/>
              </w:rPr>
              <w:t>UNRWA</w:t>
            </w:r>
          </w:p>
        </w:tc>
        <w:tc>
          <w:tcPr>
            <w:tcW w:w="791" w:type="dxa"/>
            <w:tcBorders>
              <w:top w:val="nil"/>
              <w:bottom w:val="nil"/>
            </w:tcBorders>
            <w:shd w:val="clear" w:color="auto" w:fill="auto"/>
          </w:tcPr>
          <w:p w:rsidR="004D290D" w:rsidRPr="003B5EA4" w:rsidRDefault="004D290D" w:rsidP="001D3221">
            <w:pPr>
              <w:suppressAutoHyphens w:val="0"/>
              <w:spacing w:before="40" w:after="40" w:line="220" w:lineRule="exact"/>
              <w:ind w:right="57"/>
              <w:rPr>
                <w:sz w:val="17"/>
                <w:szCs w:val="17"/>
              </w:rPr>
            </w:pPr>
            <w:r w:rsidRPr="003B5EA4">
              <w:rPr>
                <w:sz w:val="17"/>
                <w:szCs w:val="17"/>
              </w:rPr>
              <w:t>TEBCMR</w:t>
            </w:r>
          </w:p>
        </w:tc>
        <w:tc>
          <w:tcPr>
            <w:tcW w:w="817"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75</w:t>
            </w:r>
          </w:p>
        </w:tc>
        <w:tc>
          <w:tcPr>
            <w:tcW w:w="706"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34"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40"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29"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73"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39"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616"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756"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100</w:t>
            </w:r>
          </w:p>
        </w:tc>
        <w:tc>
          <w:tcPr>
            <w:tcW w:w="574"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700"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100</w:t>
            </w:r>
          </w:p>
        </w:tc>
        <w:tc>
          <w:tcPr>
            <w:tcW w:w="630"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41"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00"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714"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100</w:t>
            </w:r>
          </w:p>
        </w:tc>
        <w:tc>
          <w:tcPr>
            <w:tcW w:w="490"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682" w:type="dxa"/>
            <w:tcBorders>
              <w:top w:val="nil"/>
              <w:bottom w:val="nil"/>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100</w:t>
            </w:r>
          </w:p>
        </w:tc>
      </w:tr>
      <w:tr w:rsidR="008272C1" w:rsidRPr="003B5EA4" w:rsidTr="00925327">
        <w:trPr>
          <w:trHeight w:val="240"/>
        </w:trPr>
        <w:tc>
          <w:tcPr>
            <w:tcW w:w="1134" w:type="dxa"/>
            <w:tcBorders>
              <w:top w:val="nil"/>
              <w:bottom w:val="single" w:sz="12" w:space="0" w:color="auto"/>
            </w:tcBorders>
            <w:shd w:val="clear" w:color="auto" w:fill="auto"/>
          </w:tcPr>
          <w:p w:rsidR="004D290D" w:rsidRPr="003B5EA4" w:rsidRDefault="004D290D" w:rsidP="001D3221">
            <w:pPr>
              <w:suppressAutoHyphens w:val="0"/>
              <w:spacing w:before="40" w:after="40" w:line="220" w:lineRule="exact"/>
              <w:ind w:right="57"/>
              <w:rPr>
                <w:sz w:val="17"/>
                <w:szCs w:val="17"/>
              </w:rPr>
            </w:pPr>
            <w:r w:rsidRPr="003B5EA4">
              <w:rPr>
                <w:sz w:val="17"/>
                <w:szCs w:val="17"/>
              </w:rPr>
              <w:t>UPU</w:t>
            </w:r>
          </w:p>
        </w:tc>
        <w:tc>
          <w:tcPr>
            <w:tcW w:w="791" w:type="dxa"/>
            <w:tcBorders>
              <w:top w:val="nil"/>
              <w:bottom w:val="single" w:sz="12" w:space="0" w:color="auto"/>
            </w:tcBorders>
            <w:shd w:val="clear" w:color="auto" w:fill="auto"/>
          </w:tcPr>
          <w:p w:rsidR="004D290D" w:rsidRPr="003B5EA4" w:rsidRDefault="004D290D" w:rsidP="001D3221">
            <w:pPr>
              <w:suppressAutoHyphens w:val="0"/>
              <w:spacing w:before="40" w:after="40" w:line="220" w:lineRule="exact"/>
              <w:ind w:right="57"/>
              <w:rPr>
                <w:sz w:val="17"/>
                <w:szCs w:val="17"/>
              </w:rPr>
            </w:pPr>
            <w:r w:rsidRPr="003B5EA4">
              <w:rPr>
                <w:sz w:val="17"/>
                <w:szCs w:val="17"/>
              </w:rPr>
              <w:t>TEBCMR</w:t>
            </w:r>
          </w:p>
        </w:tc>
        <w:tc>
          <w:tcPr>
            <w:tcW w:w="817"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65</w:t>
            </w:r>
          </w:p>
        </w:tc>
        <w:tc>
          <w:tcPr>
            <w:tcW w:w="706"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34"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40"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29"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73"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739"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35</w:t>
            </w:r>
          </w:p>
        </w:tc>
        <w:tc>
          <w:tcPr>
            <w:tcW w:w="616"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756"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95</w:t>
            </w:r>
          </w:p>
        </w:tc>
        <w:tc>
          <w:tcPr>
            <w:tcW w:w="574"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700"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95</w:t>
            </w:r>
          </w:p>
        </w:tc>
        <w:tc>
          <w:tcPr>
            <w:tcW w:w="630"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w:t>
            </w:r>
          </w:p>
        </w:tc>
        <w:tc>
          <w:tcPr>
            <w:tcW w:w="741"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95</w:t>
            </w:r>
          </w:p>
        </w:tc>
        <w:tc>
          <w:tcPr>
            <w:tcW w:w="700"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714"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490"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c>
          <w:tcPr>
            <w:tcW w:w="682" w:type="dxa"/>
            <w:tcBorders>
              <w:top w:val="nil"/>
              <w:bottom w:val="single" w:sz="12" w:space="0" w:color="auto"/>
            </w:tcBorders>
            <w:shd w:val="clear" w:color="auto" w:fill="auto"/>
            <w:vAlign w:val="bottom"/>
          </w:tcPr>
          <w:p w:rsidR="004D290D" w:rsidRPr="003B5EA4" w:rsidRDefault="004D290D" w:rsidP="001D3221">
            <w:pPr>
              <w:suppressAutoHyphens w:val="0"/>
              <w:spacing w:before="40" w:after="40" w:line="220" w:lineRule="exact"/>
              <w:ind w:right="57"/>
              <w:jc w:val="right"/>
              <w:rPr>
                <w:sz w:val="17"/>
                <w:szCs w:val="17"/>
              </w:rPr>
            </w:pPr>
            <w:r w:rsidRPr="003B5EA4">
              <w:rPr>
                <w:sz w:val="17"/>
                <w:szCs w:val="17"/>
              </w:rPr>
              <w:t>X</w:t>
            </w:r>
          </w:p>
        </w:tc>
      </w:tr>
    </w:tbl>
    <w:p w:rsidR="009A0D93" w:rsidRPr="003B5EA4" w:rsidRDefault="009A0D93" w:rsidP="009A0D93">
      <w:pPr>
        <w:spacing w:before="120"/>
        <w:ind w:left="284" w:firstLine="170"/>
        <w:rPr>
          <w:sz w:val="18"/>
          <w:szCs w:val="18"/>
        </w:rPr>
      </w:pPr>
      <w:r w:rsidRPr="003B5EA4">
        <w:rPr>
          <w:i/>
          <w:sz w:val="18"/>
          <w:szCs w:val="18"/>
        </w:rPr>
        <w:t>Source</w:t>
      </w:r>
      <w:r w:rsidRPr="003B5EA4">
        <w:rPr>
          <w:sz w:val="18"/>
          <w:szCs w:val="18"/>
        </w:rPr>
        <w:t> :</w:t>
      </w:r>
      <w:r w:rsidRPr="003B5EA4">
        <w:rPr>
          <w:i/>
          <w:sz w:val="18"/>
          <w:szCs w:val="18"/>
        </w:rPr>
        <w:t xml:space="preserve"> </w:t>
      </w:r>
      <w:r w:rsidRPr="003B5EA4">
        <w:rPr>
          <w:sz w:val="18"/>
          <w:szCs w:val="18"/>
        </w:rPr>
        <w:t>Politiques des organismes et réponses des organismes au questionnaire.</w:t>
      </w:r>
    </w:p>
    <w:p w:rsidR="00C865FC" w:rsidRPr="003B5EA4" w:rsidRDefault="00C865FC" w:rsidP="009A0D93">
      <w:pPr>
        <w:ind w:left="284" w:right="284" w:firstLine="170"/>
        <w:rPr>
          <w:sz w:val="18"/>
          <w:szCs w:val="18"/>
        </w:rPr>
      </w:pPr>
      <w:r w:rsidRPr="003B5EA4">
        <w:rPr>
          <w:i/>
          <w:sz w:val="18"/>
          <w:szCs w:val="18"/>
        </w:rPr>
        <w:t>Note</w:t>
      </w:r>
      <w:r w:rsidRPr="003B5EA4">
        <w:rPr>
          <w:sz w:val="18"/>
          <w:szCs w:val="18"/>
        </w:rPr>
        <w:t> : Autres catégories de versement</w:t>
      </w:r>
      <w:r w:rsidR="00F51A0E">
        <w:rPr>
          <w:sz w:val="18"/>
          <w:szCs w:val="18"/>
        </w:rPr>
        <w:t>s</w:t>
      </w:r>
      <w:r w:rsidRPr="003B5EA4">
        <w:rPr>
          <w:sz w:val="18"/>
          <w:szCs w:val="18"/>
        </w:rPr>
        <w:t xml:space="preserve"> forfaitaire</w:t>
      </w:r>
      <w:r w:rsidR="00F51A0E">
        <w:rPr>
          <w:sz w:val="18"/>
          <w:szCs w:val="18"/>
        </w:rPr>
        <w:t>s</w:t>
      </w:r>
      <w:r w:rsidRPr="003B5EA4">
        <w:rPr>
          <w:sz w:val="18"/>
          <w:szCs w:val="18"/>
        </w:rPr>
        <w:t xml:space="preserve"> et organismes concernés : mission </w:t>
      </w:r>
      <w:r w:rsidR="00BB6A0D" w:rsidRPr="003B5EA4">
        <w:rPr>
          <w:sz w:val="18"/>
          <w:szCs w:val="18"/>
        </w:rPr>
        <w:t>−</w:t>
      </w:r>
      <w:r w:rsidRPr="003B5EA4">
        <w:rPr>
          <w:sz w:val="18"/>
          <w:szCs w:val="18"/>
        </w:rPr>
        <w:t xml:space="preserve"> UNOPS ; visa et achats </w:t>
      </w:r>
      <w:r w:rsidR="00BB6A0D" w:rsidRPr="003B5EA4">
        <w:rPr>
          <w:sz w:val="18"/>
          <w:szCs w:val="18"/>
        </w:rPr>
        <w:t>−</w:t>
      </w:r>
      <w:r w:rsidRPr="003B5EA4">
        <w:rPr>
          <w:sz w:val="18"/>
          <w:szCs w:val="18"/>
        </w:rPr>
        <w:t xml:space="preserve"> ONU-Femmes</w:t>
      </w:r>
      <w:r w:rsidR="00BB6A0D" w:rsidRPr="003B5EA4">
        <w:rPr>
          <w:sz w:val="18"/>
          <w:szCs w:val="18"/>
        </w:rPr>
        <w:t> </w:t>
      </w:r>
      <w:r w:rsidRPr="003B5EA4">
        <w:rPr>
          <w:sz w:val="18"/>
          <w:szCs w:val="18"/>
        </w:rPr>
        <w:t xml:space="preserve">; évacuation médicale </w:t>
      </w:r>
      <w:r w:rsidR="00BB6A0D" w:rsidRPr="003B5EA4">
        <w:rPr>
          <w:sz w:val="18"/>
          <w:szCs w:val="18"/>
        </w:rPr>
        <w:t>−</w:t>
      </w:r>
      <w:r w:rsidRPr="003B5EA4">
        <w:rPr>
          <w:sz w:val="18"/>
          <w:szCs w:val="18"/>
        </w:rPr>
        <w:t xml:space="preserve"> UNESCO</w:t>
      </w:r>
      <w:r w:rsidR="00BB6A0D" w:rsidRPr="003B5EA4">
        <w:rPr>
          <w:sz w:val="18"/>
          <w:szCs w:val="18"/>
        </w:rPr>
        <w:t> </w:t>
      </w:r>
      <w:r w:rsidRPr="003B5EA4">
        <w:rPr>
          <w:sz w:val="18"/>
          <w:szCs w:val="18"/>
        </w:rPr>
        <w:t xml:space="preserve">; cas de sécurité médicale et enfants non à charge en lieu et place du voyage de rapatriement </w:t>
      </w:r>
      <w:r w:rsidR="00BB6A0D" w:rsidRPr="003B5EA4">
        <w:rPr>
          <w:sz w:val="18"/>
          <w:szCs w:val="18"/>
        </w:rPr>
        <w:t>−</w:t>
      </w:r>
      <w:r w:rsidRPr="003B5EA4">
        <w:rPr>
          <w:sz w:val="18"/>
          <w:szCs w:val="18"/>
        </w:rPr>
        <w:t xml:space="preserve"> AIEA.</w:t>
      </w:r>
    </w:p>
    <w:p w:rsidR="00CF7BF1" w:rsidRPr="003B5EA4" w:rsidRDefault="00CF7BF1" w:rsidP="00C865FC">
      <w:pPr>
        <w:ind w:left="284" w:firstLine="170"/>
        <w:rPr>
          <w:i/>
          <w:sz w:val="18"/>
          <w:szCs w:val="18"/>
        </w:rPr>
      </w:pPr>
      <w:r w:rsidRPr="003B5EA4">
        <w:rPr>
          <w:i/>
          <w:sz w:val="18"/>
          <w:szCs w:val="18"/>
        </w:rPr>
        <w:t>Abréviations</w:t>
      </w:r>
      <w:r w:rsidRPr="003B5EA4">
        <w:rPr>
          <w:sz w:val="18"/>
          <w:szCs w:val="18"/>
        </w:rPr>
        <w:t> : HQ, siège</w:t>
      </w:r>
      <w:r w:rsidR="00BB6A0D" w:rsidRPr="003B5EA4">
        <w:rPr>
          <w:sz w:val="18"/>
          <w:szCs w:val="18"/>
        </w:rPr>
        <w:t> </w:t>
      </w:r>
      <w:r w:rsidRPr="003B5EA4">
        <w:rPr>
          <w:sz w:val="18"/>
          <w:szCs w:val="18"/>
        </w:rPr>
        <w:t>; TEBCMR, tarif économique de base comportant le moins de restrictions.</w:t>
      </w:r>
    </w:p>
    <w:p w:rsidR="00CF7BF1" w:rsidRPr="003B5EA4" w:rsidRDefault="00CF7BF1" w:rsidP="00C865FC">
      <w:pPr>
        <w:ind w:left="284" w:firstLine="170"/>
        <w:rPr>
          <w:sz w:val="18"/>
          <w:szCs w:val="18"/>
        </w:rPr>
      </w:pPr>
      <w:r w:rsidRPr="003B5EA4">
        <w:rPr>
          <w:i/>
          <w:sz w:val="18"/>
          <w:szCs w:val="18"/>
          <w:vertAlign w:val="superscript"/>
        </w:rPr>
        <w:t>a</w:t>
      </w:r>
      <w:r w:rsidR="001C284B" w:rsidRPr="003B5EA4">
        <w:rPr>
          <w:sz w:val="18"/>
          <w:szCs w:val="18"/>
        </w:rPr>
        <w:t xml:space="preserve">  </w:t>
      </w:r>
      <w:r w:rsidRPr="003B5EA4">
        <w:rPr>
          <w:sz w:val="18"/>
          <w:szCs w:val="18"/>
        </w:rPr>
        <w:t>Le tarif flexible est le tarif en classe économique de l</w:t>
      </w:r>
      <w:r w:rsidR="00762E0A">
        <w:rPr>
          <w:sz w:val="18"/>
          <w:szCs w:val="18"/>
        </w:rPr>
        <w:t>’</w:t>
      </w:r>
      <w:r w:rsidRPr="003B5EA4">
        <w:rPr>
          <w:sz w:val="18"/>
          <w:szCs w:val="18"/>
        </w:rPr>
        <w:t>IATA.</w:t>
      </w:r>
    </w:p>
    <w:p w:rsidR="00CF7BF1" w:rsidRPr="003B5EA4" w:rsidRDefault="00CF7BF1" w:rsidP="00C865FC">
      <w:pPr>
        <w:ind w:left="284" w:firstLine="170"/>
        <w:rPr>
          <w:i/>
          <w:sz w:val="18"/>
          <w:szCs w:val="18"/>
        </w:rPr>
      </w:pPr>
      <w:r w:rsidRPr="003B5EA4">
        <w:rPr>
          <w:i/>
          <w:sz w:val="18"/>
          <w:szCs w:val="18"/>
          <w:vertAlign w:val="superscript"/>
        </w:rPr>
        <w:t>b</w:t>
      </w:r>
      <w:r w:rsidR="001C284B" w:rsidRPr="003B5EA4">
        <w:rPr>
          <w:sz w:val="18"/>
          <w:szCs w:val="18"/>
        </w:rPr>
        <w:t xml:space="preserve">  </w:t>
      </w:r>
      <w:r w:rsidRPr="003B5EA4">
        <w:rPr>
          <w:sz w:val="18"/>
          <w:szCs w:val="18"/>
        </w:rPr>
        <w:t>Géré par le bureau de pays.</w:t>
      </w:r>
    </w:p>
    <w:p w:rsidR="00D15BE7" w:rsidRPr="003B5EA4" w:rsidRDefault="008C5162" w:rsidP="008C5162">
      <w:pPr>
        <w:pStyle w:val="HChG"/>
      </w:pPr>
      <w:r w:rsidRPr="003B5EA4">
        <w:br w:type="page"/>
      </w:r>
      <w:r w:rsidRPr="003B5EA4">
        <w:lastRenderedPageBreak/>
        <w:t>Annexe XI</w:t>
      </w:r>
    </w:p>
    <w:p w:rsidR="008C5162" w:rsidRPr="003B5EA4" w:rsidRDefault="008C5162" w:rsidP="008C5162">
      <w:pPr>
        <w:pStyle w:val="HChG"/>
      </w:pPr>
      <w:r w:rsidRPr="003B5EA4">
        <w:tab/>
      </w:r>
      <w:r w:rsidRPr="003B5EA4">
        <w:tab/>
        <w:t>Avances sur les indemnités journalières de subsistance et les faux frais au départ et à l</w:t>
      </w:r>
      <w:r w:rsidR="00762E0A">
        <w:t>’</w:t>
      </w:r>
      <w:r w:rsidRPr="003B5EA4">
        <w:t>arrivée</w:t>
      </w:r>
    </w:p>
    <w:tbl>
      <w:tblPr>
        <w:tblW w:w="13778" w:type="dxa"/>
        <w:tblInd w:w="284" w:type="dxa"/>
        <w:tblBorders>
          <w:top w:val="single" w:sz="4" w:space="0" w:color="auto"/>
        </w:tblBorders>
        <w:tblLayout w:type="fixed"/>
        <w:tblCellMar>
          <w:left w:w="0" w:type="dxa"/>
          <w:right w:w="0" w:type="dxa"/>
        </w:tblCellMar>
        <w:tblLook w:val="04A0" w:firstRow="1" w:lastRow="0" w:firstColumn="1" w:lastColumn="0" w:noHBand="0" w:noVBand="1"/>
      </w:tblPr>
      <w:tblGrid>
        <w:gridCol w:w="1304"/>
        <w:gridCol w:w="12474"/>
      </w:tblGrid>
      <w:tr w:rsidR="009B00F5" w:rsidRPr="003B5EA4" w:rsidTr="00F167A1">
        <w:trPr>
          <w:trHeight w:val="240"/>
        </w:trPr>
        <w:tc>
          <w:tcPr>
            <w:tcW w:w="1304" w:type="dxa"/>
            <w:tcBorders>
              <w:bottom w:val="nil"/>
            </w:tcBorders>
            <w:shd w:val="clear" w:color="auto" w:fill="auto"/>
          </w:tcPr>
          <w:p w:rsidR="009B00F5" w:rsidRPr="003B5EA4" w:rsidRDefault="009B00F5" w:rsidP="009B00F5">
            <w:pPr>
              <w:suppressAutoHyphens w:val="0"/>
              <w:spacing w:before="40" w:after="120"/>
            </w:pPr>
            <w:r w:rsidRPr="003B5EA4">
              <w:t>AIEA</w:t>
            </w:r>
          </w:p>
        </w:tc>
        <w:tc>
          <w:tcPr>
            <w:tcW w:w="12474" w:type="dxa"/>
            <w:tcBorders>
              <w:bottom w:val="nil"/>
            </w:tcBorders>
            <w:shd w:val="clear" w:color="auto" w:fill="auto"/>
          </w:tcPr>
          <w:p w:rsidR="009B00F5" w:rsidRPr="003B5EA4" w:rsidRDefault="009B00F5" w:rsidP="00E552C7">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w:t>
            </w:r>
            <w:r w:rsidR="003E0552">
              <w:rPr>
                <w:rFonts w:asciiTheme="majorBidi" w:hAnsiTheme="majorBidi" w:cstheme="majorBidi"/>
                <w:bCs/>
              </w:rPr>
              <w:t>l</w:t>
            </w:r>
            <w:r w:rsidRPr="003B5EA4">
              <w:rPr>
                <w:rFonts w:asciiTheme="majorBidi" w:hAnsiTheme="majorBidi" w:cstheme="majorBidi"/>
                <w:bCs/>
              </w:rPr>
              <w:t>a ventilation en pourcentage établie par la CFPI est d</w:t>
            </w:r>
            <w:r w:rsidR="00762E0A">
              <w:rPr>
                <w:rFonts w:asciiTheme="majorBidi" w:hAnsiTheme="majorBidi" w:cstheme="majorBidi"/>
                <w:bCs/>
              </w:rPr>
              <w:t>’</w:t>
            </w:r>
            <w:r w:rsidRPr="003B5EA4">
              <w:rPr>
                <w:rFonts w:asciiTheme="majorBidi" w:hAnsiTheme="majorBidi" w:cstheme="majorBidi"/>
                <w:bCs/>
              </w:rPr>
              <w:t>application</w:t>
            </w:r>
            <w:r w:rsidR="00BF0B8F">
              <w:rPr>
                <w:rFonts w:asciiTheme="majorBidi" w:hAnsiTheme="majorBidi" w:cstheme="majorBidi"/>
                <w:bCs/>
              </w:rPr>
              <w:t> ;</w:t>
            </w:r>
            <w:r w:rsidRPr="003B5EA4">
              <w:rPr>
                <w:rFonts w:asciiTheme="majorBidi" w:hAnsiTheme="majorBidi" w:cstheme="majorBidi"/>
                <w:bCs/>
              </w:rPr>
              <w:t xml:space="preserve"> s</w:t>
            </w:r>
            <w:r w:rsidR="00762E0A">
              <w:rPr>
                <w:rFonts w:asciiTheme="majorBidi" w:hAnsiTheme="majorBidi" w:cstheme="majorBidi"/>
                <w:bCs/>
              </w:rPr>
              <w:t>’</w:t>
            </w:r>
            <w:r w:rsidRPr="003B5EA4">
              <w:rPr>
                <w:rFonts w:asciiTheme="majorBidi" w:hAnsiTheme="majorBidi" w:cstheme="majorBidi"/>
                <w:bCs/>
              </w:rPr>
              <w:t>il n</w:t>
            </w:r>
            <w:r w:rsidR="00762E0A">
              <w:rPr>
                <w:rFonts w:asciiTheme="majorBidi" w:hAnsiTheme="majorBidi" w:cstheme="majorBidi"/>
                <w:bCs/>
              </w:rPr>
              <w:t>’</w:t>
            </w:r>
            <w:r w:rsidRPr="003B5EA4">
              <w:rPr>
                <w:rFonts w:asciiTheme="majorBidi" w:hAnsiTheme="majorBidi" w:cstheme="majorBidi"/>
                <w:bCs/>
              </w:rPr>
              <w:t>existe pas de pourcentage spécifique établi par la CFPI, la répartition se fera comme suit : 50 % pour le logement, 15 % pour le déjeuner, 15 % pour le dîner et 20 % pour les frais accessoires</w:t>
            </w:r>
            <w:r w:rsidR="00BF0B8F">
              <w:rPr>
                <w:rFonts w:asciiTheme="majorBidi" w:hAnsiTheme="majorBidi" w:cstheme="majorBidi"/>
                <w:bCs/>
              </w:rPr>
              <w:t> ;</w:t>
            </w:r>
            <w:r w:rsidRPr="003B5EA4">
              <w:rPr>
                <w:rFonts w:asciiTheme="majorBidi" w:hAnsiTheme="majorBidi" w:cstheme="majorBidi"/>
                <w:bCs/>
              </w:rPr>
              <w:t xml:space="preserve"> une majoration pouvant aller jusqu</w:t>
            </w:r>
            <w:r w:rsidR="00762E0A">
              <w:rPr>
                <w:rFonts w:asciiTheme="majorBidi" w:hAnsiTheme="majorBidi" w:cstheme="majorBidi"/>
                <w:bCs/>
              </w:rPr>
              <w:t>’</w:t>
            </w:r>
            <w:r w:rsidRPr="003B5EA4">
              <w:rPr>
                <w:rFonts w:asciiTheme="majorBidi" w:hAnsiTheme="majorBidi" w:cstheme="majorBidi"/>
                <w:bCs/>
              </w:rPr>
              <w:t>à 30 % peut être demandée si les frais d</w:t>
            </w:r>
            <w:r w:rsidR="00762E0A">
              <w:rPr>
                <w:rFonts w:asciiTheme="majorBidi" w:hAnsiTheme="majorBidi" w:cstheme="majorBidi"/>
                <w:bCs/>
              </w:rPr>
              <w:t>’</w:t>
            </w:r>
            <w:r w:rsidRPr="003B5EA4">
              <w:rPr>
                <w:rFonts w:asciiTheme="majorBidi" w:hAnsiTheme="majorBidi" w:cstheme="majorBidi"/>
                <w:bCs/>
              </w:rPr>
              <w:t xml:space="preserve">hôtel dépassent ceux prévus par la ventilation de la CFPI.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somme forfaitaire : pour toutes les destinations excepté New York : 38 dollars É.-U. pour le fonctionnaire, 13 dollars É.-U. pour chaque membre de sa famille admissible</w:t>
            </w:r>
            <w:r w:rsidR="00BF0B8F">
              <w:rPr>
                <w:rFonts w:asciiTheme="majorBidi" w:hAnsiTheme="majorBidi" w:cstheme="majorBidi"/>
                <w:bCs/>
              </w:rPr>
              <w:t> ;</w:t>
            </w:r>
            <w:r w:rsidRPr="003B5EA4">
              <w:rPr>
                <w:rFonts w:asciiTheme="majorBidi" w:hAnsiTheme="majorBidi" w:cstheme="majorBidi"/>
                <w:bCs/>
              </w:rPr>
              <w:t xml:space="preserve"> pour New York : 63 dollars É.-U. pour le fonctionnaire, 21 dollars É.-U. pour chaque membre de </w:t>
            </w:r>
            <w:r w:rsidR="00E552C7">
              <w:rPr>
                <w:rFonts w:asciiTheme="majorBidi" w:hAnsiTheme="majorBidi" w:cstheme="majorBidi"/>
                <w:bCs/>
              </w:rPr>
              <w:t>s</w:t>
            </w:r>
            <w:r w:rsidRPr="003B5EA4">
              <w:rPr>
                <w:rFonts w:asciiTheme="majorBidi" w:hAnsiTheme="majorBidi" w:cstheme="majorBidi"/>
                <w:bCs/>
              </w:rPr>
              <w:t>a famille admissible</w:t>
            </w:r>
            <w:r w:rsidRPr="003B5EA4">
              <w:t>.</w:t>
            </w:r>
          </w:p>
        </w:tc>
      </w:tr>
      <w:tr w:rsidR="001A3DCE" w:rsidRPr="003B5EA4" w:rsidTr="00F167A1">
        <w:trPr>
          <w:trHeight w:val="240"/>
        </w:trPr>
        <w:tc>
          <w:tcPr>
            <w:tcW w:w="1304" w:type="dxa"/>
            <w:tcBorders>
              <w:top w:val="nil"/>
            </w:tcBorders>
            <w:shd w:val="clear" w:color="auto" w:fill="auto"/>
          </w:tcPr>
          <w:p w:rsidR="001A3DCE" w:rsidRPr="003B5EA4" w:rsidRDefault="001A3DCE" w:rsidP="00D95B8D">
            <w:pPr>
              <w:suppressAutoHyphens w:val="0"/>
              <w:spacing w:before="40" w:after="120"/>
            </w:pPr>
            <w:r w:rsidRPr="003B5EA4">
              <w:t>CCI</w:t>
            </w:r>
            <w:r w:rsidR="00EF2216" w:rsidRPr="003B5EA4">
              <w:t>*</w:t>
            </w:r>
          </w:p>
        </w:tc>
        <w:tc>
          <w:tcPr>
            <w:tcW w:w="12474" w:type="dxa"/>
            <w:tcBorders>
              <w:top w:val="nil"/>
            </w:tcBorders>
            <w:shd w:val="clear" w:color="auto" w:fill="auto"/>
          </w:tcPr>
          <w:p w:rsidR="001A3DCE" w:rsidRPr="003B5EA4" w:rsidRDefault="00184DFC" w:rsidP="00D95B8D">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pour les fonctionnaires</w:t>
            </w:r>
            <w:r w:rsidR="00BF0B8F">
              <w:rPr>
                <w:rFonts w:asciiTheme="majorBidi" w:hAnsiTheme="majorBidi" w:cstheme="majorBidi"/>
                <w:bCs/>
              </w:rPr>
              <w:t> ;</w:t>
            </w:r>
            <w:r w:rsidRPr="003B5EA4">
              <w:rPr>
                <w:rFonts w:asciiTheme="majorBidi" w:hAnsiTheme="majorBidi" w:cstheme="majorBidi"/>
                <w:bCs/>
              </w:rPr>
              <w:t xml:space="preserve"> 75 % pour les non-fonctionnaires (consultants, vacataires et autres).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w:t>
            </w:r>
            <w:r w:rsidRPr="003B5EA4">
              <w:rPr>
                <w:rFonts w:asciiTheme="majorBidi" w:hAnsiTheme="majorBidi" w:cstheme="majorBidi"/>
              </w:rPr>
              <w:t>100 %</w:t>
            </w:r>
            <w:r w:rsidR="001A3DCE" w:rsidRPr="003B5EA4">
              <w:t>.</w:t>
            </w:r>
          </w:p>
        </w:tc>
      </w:tr>
      <w:tr w:rsidR="001A3DCE" w:rsidRPr="003B5EA4" w:rsidTr="00F167A1">
        <w:trPr>
          <w:trHeight w:val="240"/>
        </w:trPr>
        <w:tc>
          <w:tcPr>
            <w:tcW w:w="1304" w:type="dxa"/>
            <w:tcBorders>
              <w:top w:val="nil"/>
            </w:tcBorders>
            <w:shd w:val="clear" w:color="auto" w:fill="auto"/>
          </w:tcPr>
          <w:p w:rsidR="001A3DCE" w:rsidRPr="003B5EA4" w:rsidRDefault="001A3DCE" w:rsidP="00D95B8D">
            <w:pPr>
              <w:suppressAutoHyphens w:val="0"/>
              <w:spacing w:before="40" w:after="120"/>
            </w:pPr>
            <w:r w:rsidRPr="003B5EA4">
              <w:t>FAO</w:t>
            </w:r>
          </w:p>
        </w:tc>
        <w:tc>
          <w:tcPr>
            <w:tcW w:w="12474" w:type="dxa"/>
            <w:tcBorders>
              <w:top w:val="nil"/>
            </w:tcBorders>
            <w:shd w:val="clear" w:color="auto" w:fill="auto"/>
          </w:tcPr>
          <w:p w:rsidR="001A3DCE" w:rsidRPr="003B5EA4" w:rsidRDefault="00184DFC" w:rsidP="0072448A">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w:t>
            </w:r>
            <w:r w:rsidR="0072448A" w:rsidRPr="003B5EA4">
              <w:rPr>
                <w:rFonts w:asciiTheme="majorBidi" w:hAnsiTheme="majorBidi" w:cstheme="majorBidi"/>
                <w:bCs/>
              </w:rPr>
              <w:t>e</w:t>
            </w:r>
            <w:r w:rsidRPr="003B5EA4">
              <w:rPr>
                <w:rFonts w:asciiTheme="majorBidi" w:hAnsiTheme="majorBidi" w:cstheme="majorBidi"/>
                <w:bCs/>
              </w:rPr>
              <w:t xml:space="preserve">n conformité avec les taux établis par la CFPI.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63 dollars É.-U. pour New York, 38 dollars É.-U. ailleurs</w:t>
            </w:r>
            <w:r w:rsidR="00BF0B8F">
              <w:rPr>
                <w:rFonts w:asciiTheme="majorBidi" w:hAnsiTheme="majorBidi" w:cstheme="majorBidi"/>
                <w:bCs/>
              </w:rPr>
              <w:t> ;</w:t>
            </w:r>
            <w:r w:rsidRPr="003B5EA4">
              <w:rPr>
                <w:rFonts w:asciiTheme="majorBidi" w:hAnsiTheme="majorBidi" w:cstheme="majorBidi"/>
                <w:bCs/>
              </w:rPr>
              <w:t xml:space="preserve"> 11 dollars É.-U. si un véhicule de l</w:t>
            </w:r>
            <w:r w:rsidR="00762E0A">
              <w:rPr>
                <w:rFonts w:asciiTheme="majorBidi" w:hAnsiTheme="majorBidi" w:cstheme="majorBidi"/>
                <w:bCs/>
              </w:rPr>
              <w:t>’</w:t>
            </w:r>
            <w:r w:rsidRPr="003B5EA4">
              <w:rPr>
                <w:rFonts w:asciiTheme="majorBidi" w:hAnsiTheme="majorBidi" w:cstheme="majorBidi"/>
                <w:bCs/>
              </w:rPr>
              <w:t>ONU est fourni</w:t>
            </w:r>
            <w:r w:rsidR="001A3DCE" w:rsidRPr="003B5EA4">
              <w:t>.</w:t>
            </w:r>
          </w:p>
        </w:tc>
      </w:tr>
      <w:tr w:rsidR="00F167A1" w:rsidRPr="003B5EA4" w:rsidTr="00F167A1">
        <w:trPr>
          <w:trHeight w:val="240"/>
        </w:trPr>
        <w:tc>
          <w:tcPr>
            <w:tcW w:w="1304" w:type="dxa"/>
            <w:tcBorders>
              <w:top w:val="nil"/>
            </w:tcBorders>
            <w:shd w:val="clear" w:color="auto" w:fill="auto"/>
          </w:tcPr>
          <w:p w:rsidR="00F167A1" w:rsidRPr="003B5EA4" w:rsidRDefault="00F167A1" w:rsidP="00F167A1">
            <w:pPr>
              <w:suppressAutoHyphens w:val="0"/>
              <w:spacing w:before="40" w:after="120"/>
            </w:pPr>
            <w:r w:rsidRPr="003B5EA4">
              <w:t>FNUAP</w:t>
            </w:r>
          </w:p>
        </w:tc>
        <w:tc>
          <w:tcPr>
            <w:tcW w:w="12474" w:type="dxa"/>
            <w:tcBorders>
              <w:top w:val="nil"/>
            </w:tcBorders>
            <w:shd w:val="clear" w:color="auto" w:fill="auto"/>
          </w:tcPr>
          <w:p w:rsidR="00F167A1" w:rsidRPr="003B5EA4" w:rsidRDefault="00F167A1" w:rsidP="00E552C7">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si la durée du déplacement est de moins de 24 heures : 100 % si le déplacement comporte une nuit, 40 % si la mission dure plus de 10 heures, pas d</w:t>
            </w:r>
            <w:r w:rsidR="00762E0A">
              <w:rPr>
                <w:rFonts w:asciiTheme="majorBidi" w:hAnsiTheme="majorBidi" w:cstheme="majorBidi"/>
                <w:bCs/>
              </w:rPr>
              <w:t>’</w:t>
            </w:r>
            <w:r w:rsidRPr="003B5EA4">
              <w:rPr>
                <w:rFonts w:asciiTheme="majorBidi" w:hAnsiTheme="majorBidi" w:cstheme="majorBidi"/>
                <w:bCs/>
              </w:rPr>
              <w:t>indemnité journalière dans les autres cas de figure ; si la durée du déplacement est de plus de 24 heures : 100 % de l</w:t>
            </w:r>
            <w:r w:rsidR="00762E0A">
              <w:rPr>
                <w:rFonts w:asciiTheme="majorBidi" w:hAnsiTheme="majorBidi" w:cstheme="majorBidi"/>
                <w:bCs/>
              </w:rPr>
              <w:t>’</w:t>
            </w:r>
            <w:r w:rsidRPr="003B5EA4">
              <w:rPr>
                <w:rFonts w:asciiTheme="majorBidi" w:hAnsiTheme="majorBidi" w:cstheme="majorBidi"/>
                <w:bCs/>
              </w:rPr>
              <w:t>indemnité journalière de subsistance</w:t>
            </w:r>
            <w:r w:rsidR="00BF0B8F">
              <w:rPr>
                <w:rFonts w:asciiTheme="majorBidi" w:hAnsiTheme="majorBidi" w:cstheme="majorBidi"/>
                <w:bCs/>
              </w:rPr>
              <w:t> ;</w:t>
            </w:r>
            <w:r w:rsidRPr="003B5EA4">
              <w:rPr>
                <w:rFonts w:asciiTheme="majorBidi" w:hAnsiTheme="majorBidi" w:cstheme="majorBidi"/>
                <w:bCs/>
              </w:rPr>
              <w:t xml:space="preserve"> réduction de l</w:t>
            </w:r>
            <w:r w:rsidR="00762E0A">
              <w:rPr>
                <w:rFonts w:asciiTheme="majorBidi" w:hAnsiTheme="majorBidi" w:cstheme="majorBidi"/>
                <w:bCs/>
              </w:rPr>
              <w:t>’</w:t>
            </w:r>
            <w:r w:rsidRPr="003B5EA4">
              <w:rPr>
                <w:rFonts w:asciiTheme="majorBidi" w:hAnsiTheme="majorBidi" w:cstheme="majorBidi"/>
                <w:bCs/>
              </w:rPr>
              <w:t xml:space="preserve">indemnité journalière de subsistance si le logement et les repas sont fournis.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w:t>
            </w:r>
            <w:r w:rsidR="00E552C7">
              <w:rPr>
                <w:rFonts w:asciiTheme="majorBidi" w:hAnsiTheme="majorBidi" w:cstheme="majorBidi"/>
                <w:bCs/>
              </w:rPr>
              <w:t>p</w:t>
            </w:r>
            <w:r w:rsidRPr="003B5EA4">
              <w:rPr>
                <w:rFonts w:asciiTheme="majorBidi" w:hAnsiTheme="majorBidi" w:cstheme="majorBidi"/>
                <w:bCs/>
              </w:rPr>
              <w:t>our les fonctionnaires et non-fonctionnaires : 63 dollars É.-U. pour New York, 38 dollars É.-U. ailleurs</w:t>
            </w:r>
            <w:r w:rsidR="00054102">
              <w:rPr>
                <w:rFonts w:asciiTheme="majorBidi" w:hAnsiTheme="majorBidi" w:cstheme="majorBidi"/>
                <w:bCs/>
              </w:rPr>
              <w:t> </w:t>
            </w:r>
            <w:r w:rsidRPr="003B5EA4">
              <w:rPr>
                <w:rFonts w:asciiTheme="majorBidi" w:hAnsiTheme="majorBidi" w:cstheme="majorBidi"/>
                <w:bCs/>
              </w:rPr>
              <w:t>; membres de la famille : 21 dollars É.</w:t>
            </w:r>
            <w:r w:rsidRPr="003B5EA4">
              <w:rPr>
                <w:rFonts w:asciiTheme="majorBidi" w:hAnsiTheme="majorBidi" w:cstheme="majorBidi"/>
                <w:bCs/>
              </w:rPr>
              <w:noBreakHyphen/>
              <w:t>U. pour New York, 13 dollars É.-U. ailleurs</w:t>
            </w:r>
            <w:r w:rsidRPr="003B5EA4">
              <w:t>.</w:t>
            </w:r>
          </w:p>
        </w:tc>
      </w:tr>
      <w:tr w:rsidR="009B00F5" w:rsidRPr="003B5EA4" w:rsidTr="00F167A1">
        <w:trPr>
          <w:trHeight w:val="240"/>
        </w:trPr>
        <w:tc>
          <w:tcPr>
            <w:tcW w:w="1304" w:type="dxa"/>
            <w:tcBorders>
              <w:top w:val="nil"/>
            </w:tcBorders>
            <w:shd w:val="clear" w:color="auto" w:fill="auto"/>
          </w:tcPr>
          <w:p w:rsidR="009B00F5" w:rsidRPr="003B5EA4" w:rsidRDefault="009B00F5" w:rsidP="009B00F5">
            <w:pPr>
              <w:suppressAutoHyphens w:val="0"/>
              <w:spacing w:before="40" w:after="120"/>
            </w:pPr>
            <w:r w:rsidRPr="003B5EA4">
              <w:t>HCR</w:t>
            </w:r>
          </w:p>
        </w:tc>
        <w:tc>
          <w:tcPr>
            <w:tcW w:w="12474" w:type="dxa"/>
            <w:tcBorders>
              <w:top w:val="nil"/>
            </w:tcBorders>
            <w:shd w:val="clear" w:color="auto" w:fill="auto"/>
          </w:tcPr>
          <w:p w:rsidR="009B00F5" w:rsidRPr="003B5EA4" w:rsidRDefault="009B00F5" w:rsidP="009B00F5">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pas d</w:t>
            </w:r>
            <w:r w:rsidR="00762E0A">
              <w:rPr>
                <w:rFonts w:asciiTheme="majorBidi" w:hAnsiTheme="majorBidi" w:cstheme="majorBidi"/>
                <w:bCs/>
              </w:rPr>
              <w:t>’</w:t>
            </w:r>
            <w:r w:rsidRPr="003B5EA4">
              <w:rPr>
                <w:rFonts w:asciiTheme="majorBidi" w:hAnsiTheme="majorBidi" w:cstheme="majorBidi"/>
                <w:bCs/>
              </w:rPr>
              <w:t>information</w:t>
            </w:r>
            <w:r w:rsidRPr="003B5EA4">
              <w:t xml:space="preserve">. </w:t>
            </w:r>
          </w:p>
        </w:tc>
      </w:tr>
      <w:tr w:rsidR="00F167A1" w:rsidRPr="003B5EA4" w:rsidTr="00F167A1">
        <w:trPr>
          <w:trHeight w:val="240"/>
        </w:trPr>
        <w:tc>
          <w:tcPr>
            <w:tcW w:w="1304" w:type="dxa"/>
            <w:shd w:val="clear" w:color="auto" w:fill="auto"/>
          </w:tcPr>
          <w:p w:rsidR="00F167A1" w:rsidRPr="003B5EA4" w:rsidRDefault="00F167A1" w:rsidP="00F167A1">
            <w:pPr>
              <w:suppressAutoHyphens w:val="0"/>
              <w:spacing w:before="40" w:after="120"/>
            </w:pPr>
            <w:r w:rsidRPr="003B5EA4">
              <w:t>OACI</w:t>
            </w:r>
          </w:p>
        </w:tc>
        <w:tc>
          <w:tcPr>
            <w:tcW w:w="12474" w:type="dxa"/>
            <w:shd w:val="clear" w:color="auto" w:fill="auto"/>
          </w:tcPr>
          <w:p w:rsidR="00F167A1" w:rsidRPr="003B5EA4" w:rsidRDefault="00F167A1" w:rsidP="00F167A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des taux établis par la CFPI.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le membre du personnel recevra une indemnité globale de faux frais au départ et à l</w:t>
            </w:r>
            <w:r w:rsidR="00762E0A">
              <w:rPr>
                <w:rFonts w:asciiTheme="majorBidi" w:hAnsiTheme="majorBidi" w:cstheme="majorBidi"/>
                <w:bCs/>
              </w:rPr>
              <w:t>’</w:t>
            </w:r>
            <w:r w:rsidRPr="003B5EA4">
              <w:rPr>
                <w:rFonts w:asciiTheme="majorBidi" w:hAnsiTheme="majorBidi" w:cstheme="majorBidi"/>
                <w:bCs/>
              </w:rPr>
              <w:t>arrivée suivant un taux déterminé, et chaque membre de sa famille admissible sera payé à un taux réduit</w:t>
            </w:r>
            <w:r w:rsidRPr="003B5EA4">
              <w:t>.</w:t>
            </w:r>
          </w:p>
        </w:tc>
      </w:tr>
      <w:tr w:rsidR="00F167A1" w:rsidRPr="003B5EA4" w:rsidTr="00F167A1">
        <w:trPr>
          <w:trHeight w:val="240"/>
        </w:trPr>
        <w:tc>
          <w:tcPr>
            <w:tcW w:w="1304" w:type="dxa"/>
            <w:shd w:val="clear" w:color="auto" w:fill="auto"/>
          </w:tcPr>
          <w:p w:rsidR="00F167A1" w:rsidRPr="003B5EA4" w:rsidRDefault="00F167A1" w:rsidP="00F167A1">
            <w:pPr>
              <w:suppressAutoHyphens w:val="0"/>
              <w:spacing w:before="40" w:after="120"/>
            </w:pPr>
            <w:r w:rsidRPr="003B5EA4">
              <w:t>OIT</w:t>
            </w:r>
          </w:p>
        </w:tc>
        <w:tc>
          <w:tcPr>
            <w:tcW w:w="12474" w:type="dxa"/>
            <w:shd w:val="clear" w:color="auto" w:fill="auto"/>
          </w:tcPr>
          <w:p w:rsidR="00F167A1" w:rsidRPr="003B5EA4" w:rsidRDefault="00F167A1" w:rsidP="00F167A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les frais de transport et autres dépenses connexes encourus entre le lieu de résidence du fonctionnaire et le lieu de départ ainsi qu</w:t>
            </w:r>
            <w:r w:rsidR="00762E0A">
              <w:rPr>
                <w:rFonts w:asciiTheme="majorBidi" w:hAnsiTheme="majorBidi" w:cstheme="majorBidi"/>
                <w:bCs/>
              </w:rPr>
              <w:t>’</w:t>
            </w:r>
            <w:r w:rsidRPr="003B5EA4">
              <w:rPr>
                <w:rFonts w:asciiTheme="majorBidi" w:hAnsiTheme="majorBidi" w:cstheme="majorBidi"/>
                <w:bCs/>
              </w:rPr>
              <w:t>entre le lieu d</w:t>
            </w:r>
            <w:r w:rsidR="00762E0A">
              <w:rPr>
                <w:rFonts w:asciiTheme="majorBidi" w:hAnsiTheme="majorBidi" w:cstheme="majorBidi"/>
                <w:bCs/>
              </w:rPr>
              <w:t>’</w:t>
            </w:r>
            <w:r w:rsidRPr="003B5EA4">
              <w:rPr>
                <w:rFonts w:asciiTheme="majorBidi" w:hAnsiTheme="majorBidi" w:cstheme="majorBidi"/>
                <w:bCs/>
              </w:rPr>
              <w:t>arrivée et l</w:t>
            </w:r>
            <w:r w:rsidR="00762E0A">
              <w:rPr>
                <w:rFonts w:asciiTheme="majorBidi" w:hAnsiTheme="majorBidi" w:cstheme="majorBidi"/>
                <w:bCs/>
              </w:rPr>
              <w:t>’</w:t>
            </w:r>
            <w:r w:rsidRPr="003B5EA4">
              <w:rPr>
                <w:rFonts w:asciiTheme="majorBidi" w:hAnsiTheme="majorBidi" w:cstheme="majorBidi"/>
                <w:bCs/>
              </w:rPr>
              <w:t>hôtel − et vice versa − seront couverts par la somme forfaitaire pour les frais au départ et à l</w:t>
            </w:r>
            <w:r w:rsidR="00762E0A">
              <w:rPr>
                <w:rFonts w:asciiTheme="majorBidi" w:hAnsiTheme="majorBidi" w:cstheme="majorBidi"/>
                <w:bCs/>
              </w:rPr>
              <w:t>’</w:t>
            </w:r>
            <w:r w:rsidRPr="003B5EA4">
              <w:rPr>
                <w:rFonts w:asciiTheme="majorBidi" w:hAnsiTheme="majorBidi" w:cstheme="majorBidi"/>
                <w:bCs/>
              </w:rPr>
              <w:t>arrivée</w:t>
            </w:r>
            <w:r w:rsidR="00BF0B8F">
              <w:rPr>
                <w:rFonts w:asciiTheme="majorBidi" w:hAnsiTheme="majorBidi" w:cstheme="majorBidi"/>
                <w:bCs/>
              </w:rPr>
              <w:t> ;</w:t>
            </w:r>
            <w:r w:rsidRPr="003B5EA4">
              <w:rPr>
                <w:rFonts w:asciiTheme="majorBidi" w:hAnsiTheme="majorBidi" w:cstheme="majorBidi"/>
                <w:bCs/>
              </w:rPr>
              <w:t xml:space="preserve"> les dépenses effectives ne doivent pas figurer dans la demande de remboursement des frais de voyage</w:t>
            </w:r>
            <w:r w:rsidRPr="003B5EA4">
              <w:t>.</w:t>
            </w:r>
          </w:p>
        </w:tc>
      </w:tr>
      <w:tr w:rsidR="00F167A1" w:rsidRPr="003B5EA4" w:rsidTr="00F167A1">
        <w:trPr>
          <w:trHeight w:val="240"/>
        </w:trPr>
        <w:tc>
          <w:tcPr>
            <w:tcW w:w="1304" w:type="dxa"/>
            <w:tcBorders>
              <w:bottom w:val="nil"/>
            </w:tcBorders>
            <w:shd w:val="clear" w:color="auto" w:fill="auto"/>
          </w:tcPr>
          <w:p w:rsidR="00F167A1" w:rsidRPr="003B5EA4" w:rsidRDefault="00F167A1" w:rsidP="00F167A1">
            <w:pPr>
              <w:suppressAutoHyphens w:val="0"/>
              <w:spacing w:before="40" w:after="120"/>
            </w:pPr>
            <w:r w:rsidRPr="003B5EA4">
              <w:t>OMI</w:t>
            </w:r>
          </w:p>
        </w:tc>
        <w:tc>
          <w:tcPr>
            <w:tcW w:w="12474" w:type="dxa"/>
            <w:tcBorders>
              <w:bottom w:val="nil"/>
            </w:tcBorders>
            <w:shd w:val="clear" w:color="auto" w:fill="auto"/>
          </w:tcPr>
          <w:p w:rsidR="00F167A1" w:rsidRPr="003B5EA4" w:rsidRDefault="00F167A1" w:rsidP="00F167A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90 %.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90 %.</w:t>
            </w:r>
          </w:p>
        </w:tc>
      </w:tr>
      <w:tr w:rsidR="00F167A1" w:rsidRPr="003B5EA4" w:rsidTr="00F167A1">
        <w:trPr>
          <w:trHeight w:val="240"/>
        </w:trPr>
        <w:tc>
          <w:tcPr>
            <w:tcW w:w="1304" w:type="dxa"/>
            <w:tcBorders>
              <w:top w:val="nil"/>
              <w:bottom w:val="nil"/>
            </w:tcBorders>
            <w:shd w:val="clear" w:color="auto" w:fill="auto"/>
          </w:tcPr>
          <w:p w:rsidR="00F167A1" w:rsidRPr="003B5EA4" w:rsidRDefault="00F167A1" w:rsidP="00F167A1">
            <w:pPr>
              <w:suppressAutoHyphens w:val="0"/>
              <w:spacing w:before="40" w:after="120"/>
            </w:pPr>
            <w:r w:rsidRPr="003B5EA4">
              <w:t>OMM</w:t>
            </w:r>
          </w:p>
        </w:tc>
        <w:tc>
          <w:tcPr>
            <w:tcW w:w="12474" w:type="dxa"/>
            <w:tcBorders>
              <w:top w:val="nil"/>
              <w:bottom w:val="nil"/>
            </w:tcBorders>
            <w:shd w:val="clear" w:color="auto" w:fill="auto"/>
          </w:tcPr>
          <w:p w:rsidR="00F167A1" w:rsidRPr="003B5EA4" w:rsidRDefault="00F167A1" w:rsidP="00AD7798">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a) </w:t>
            </w:r>
            <w:r w:rsidR="00C46400">
              <w:rPr>
                <w:rFonts w:asciiTheme="majorBidi" w:hAnsiTheme="majorBidi" w:cstheme="majorBidi"/>
                <w:bCs/>
              </w:rPr>
              <w:t>S</w:t>
            </w:r>
            <w:r w:rsidRPr="003B5EA4">
              <w:rPr>
                <w:rFonts w:asciiTheme="majorBidi" w:hAnsiTheme="majorBidi" w:cstheme="majorBidi"/>
                <w:bCs/>
              </w:rPr>
              <w:t>ecrétaire général : taux standard pour la région, minimum 20 dollars É.-U. ; b) Vice-Secrétaire général et Sous-Secrétaire général, tous grades et personnel surnuméraire : taux standard pour la région ; indemnité journalière de subsistance réduite après 60 jours ; c) membres de la famille du fonctionnaire : règlement du personnel, 171.13 d) ; d) non-fonctionnaires voyageant au nom de l</w:t>
            </w:r>
            <w:r w:rsidR="00762E0A">
              <w:rPr>
                <w:rFonts w:asciiTheme="majorBidi" w:hAnsiTheme="majorBidi" w:cstheme="majorBidi"/>
                <w:bCs/>
              </w:rPr>
              <w:t>’</w:t>
            </w:r>
            <w:r w:rsidRPr="003B5EA4">
              <w:rPr>
                <w:rFonts w:asciiTheme="majorBidi" w:hAnsiTheme="majorBidi" w:cstheme="majorBidi"/>
                <w:bCs/>
              </w:rPr>
              <w:t>OMM : résolution 19 (EC</w:t>
            </w:r>
            <w:r w:rsidRPr="003B5EA4">
              <w:rPr>
                <w:rFonts w:asciiTheme="majorBidi" w:hAnsiTheme="majorBidi" w:cstheme="majorBidi"/>
                <w:bCs/>
              </w:rPr>
              <w:noBreakHyphen/>
              <w:t>XLII), et par</w:t>
            </w:r>
            <w:r w:rsidR="00C46400">
              <w:rPr>
                <w:rFonts w:asciiTheme="majorBidi" w:hAnsiTheme="majorBidi" w:cstheme="majorBidi"/>
                <w:bCs/>
              </w:rPr>
              <w:t>. </w:t>
            </w:r>
            <w:r w:rsidR="00AD7798">
              <w:rPr>
                <w:rFonts w:asciiTheme="majorBidi" w:hAnsiTheme="majorBidi" w:cstheme="majorBidi"/>
                <w:bCs/>
              </w:rPr>
              <w:t>15.4.15 du résumé général</w:t>
            </w:r>
            <w:r w:rsidRPr="003B5EA4">
              <w:rPr>
                <w:rFonts w:asciiTheme="majorBidi" w:hAnsiTheme="majorBidi" w:cstheme="majorBidi"/>
                <w:bCs/>
              </w:rPr>
              <w:t xml:space="preserve"> (EC-XLIV).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w:t>
            </w:r>
            <w:r w:rsidRPr="003B5EA4">
              <w:rPr>
                <w:rFonts w:asciiTheme="majorBidi" w:hAnsiTheme="majorBidi" w:cstheme="majorBidi"/>
                <w:color w:val="252525"/>
              </w:rPr>
              <w:t>ces frais sont réputés couvrir tous les frais de transport entre l</w:t>
            </w:r>
            <w:r w:rsidR="00762E0A">
              <w:rPr>
                <w:rFonts w:asciiTheme="majorBidi" w:hAnsiTheme="majorBidi" w:cstheme="majorBidi"/>
                <w:color w:val="252525"/>
              </w:rPr>
              <w:t>’</w:t>
            </w:r>
            <w:r w:rsidRPr="003B5EA4">
              <w:rPr>
                <w:rFonts w:asciiTheme="majorBidi" w:hAnsiTheme="majorBidi" w:cstheme="majorBidi"/>
                <w:color w:val="252525"/>
              </w:rPr>
              <w:t xml:space="preserve">aéroport </w:t>
            </w:r>
            <w:r w:rsidRPr="003B5EA4">
              <w:rPr>
                <w:rFonts w:ascii="Times" w:hAnsi="Times"/>
              </w:rPr>
              <w:t>ou un autre point d</w:t>
            </w:r>
            <w:r w:rsidR="00762E0A">
              <w:rPr>
                <w:rFonts w:ascii="Times" w:hAnsi="Times"/>
              </w:rPr>
              <w:t>’</w:t>
            </w:r>
            <w:r w:rsidRPr="003B5EA4">
              <w:rPr>
                <w:rFonts w:ascii="Times" w:hAnsi="Times"/>
              </w:rPr>
              <w:t>arrivée ou de départ et l</w:t>
            </w:r>
            <w:r w:rsidR="00762E0A">
              <w:rPr>
                <w:rFonts w:ascii="Times" w:hAnsi="Times"/>
              </w:rPr>
              <w:t>’</w:t>
            </w:r>
            <w:r w:rsidRPr="003B5EA4">
              <w:rPr>
                <w:rFonts w:ascii="Times" w:hAnsi="Times"/>
              </w:rPr>
              <w:t>hôtel ou un autre lieu de résidence</w:t>
            </w:r>
            <w:r w:rsidRPr="003B5EA4">
              <w:rPr>
                <w:rFonts w:asciiTheme="majorBidi" w:hAnsiTheme="majorBidi" w:cstheme="majorBidi"/>
                <w:color w:val="252525"/>
              </w:rPr>
              <w:t xml:space="preserve">, </w:t>
            </w:r>
            <w:r w:rsidR="0055478D">
              <w:rPr>
                <w:rFonts w:asciiTheme="majorBidi" w:hAnsiTheme="majorBidi" w:cstheme="majorBidi"/>
                <w:color w:val="252525"/>
              </w:rPr>
              <w:t>y compris</w:t>
            </w:r>
            <w:r w:rsidRPr="003B5EA4">
              <w:rPr>
                <w:rFonts w:asciiTheme="majorBidi" w:hAnsiTheme="majorBidi" w:cstheme="majorBidi"/>
                <w:color w:val="252525"/>
              </w:rPr>
              <w:t xml:space="preserve"> la prise en charge des bagages</w:t>
            </w:r>
            <w:r w:rsidRPr="003B5EA4">
              <w:rPr>
                <w:rFonts w:asciiTheme="majorBidi" w:hAnsiTheme="majorBidi" w:cstheme="majorBidi"/>
                <w:bCs/>
              </w:rPr>
              <w:t xml:space="preserve"> et autres frais accessoires connexes</w:t>
            </w:r>
            <w:r w:rsidRPr="003B5EA4">
              <w:t>.</w:t>
            </w:r>
          </w:p>
        </w:tc>
      </w:tr>
      <w:tr w:rsidR="00F167A1" w:rsidRPr="003B5EA4" w:rsidTr="00F167A1">
        <w:trPr>
          <w:trHeight w:val="240"/>
        </w:trPr>
        <w:tc>
          <w:tcPr>
            <w:tcW w:w="1304" w:type="dxa"/>
            <w:tcBorders>
              <w:top w:val="nil"/>
              <w:bottom w:val="nil"/>
            </w:tcBorders>
            <w:shd w:val="clear" w:color="auto" w:fill="auto"/>
          </w:tcPr>
          <w:p w:rsidR="00F167A1" w:rsidRPr="003B5EA4" w:rsidRDefault="00F167A1" w:rsidP="00F167A1">
            <w:pPr>
              <w:suppressAutoHyphens w:val="0"/>
              <w:spacing w:before="40" w:after="120"/>
            </w:pPr>
            <w:r w:rsidRPr="003B5EA4">
              <w:lastRenderedPageBreak/>
              <w:t>OMPI</w:t>
            </w:r>
          </w:p>
        </w:tc>
        <w:tc>
          <w:tcPr>
            <w:tcW w:w="12474" w:type="dxa"/>
            <w:tcBorders>
              <w:top w:val="nil"/>
              <w:bottom w:val="nil"/>
            </w:tcBorders>
            <w:shd w:val="clear" w:color="auto" w:fill="auto"/>
          </w:tcPr>
          <w:p w:rsidR="00F167A1" w:rsidRPr="003B5EA4" w:rsidRDefault="00F167A1" w:rsidP="00F167A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somme forfaitaire de 76 dollars É.-U. pour les fonctionnaires et de 26 dollars É.-U. pour chaque personne à charge</w:t>
            </w:r>
            <w:r w:rsidRPr="003B5EA4">
              <w:t>.</w:t>
            </w:r>
          </w:p>
        </w:tc>
      </w:tr>
      <w:tr w:rsidR="00F167A1" w:rsidRPr="003B5EA4" w:rsidTr="00F167A1">
        <w:trPr>
          <w:trHeight w:val="240"/>
        </w:trPr>
        <w:tc>
          <w:tcPr>
            <w:tcW w:w="1304" w:type="dxa"/>
            <w:tcBorders>
              <w:top w:val="nil"/>
            </w:tcBorders>
            <w:shd w:val="clear" w:color="auto" w:fill="auto"/>
          </w:tcPr>
          <w:p w:rsidR="00F167A1" w:rsidRPr="003B5EA4" w:rsidRDefault="00F167A1" w:rsidP="00F167A1">
            <w:pPr>
              <w:suppressAutoHyphens w:val="0"/>
              <w:spacing w:before="40" w:after="120"/>
            </w:pPr>
            <w:r w:rsidRPr="003B5EA4">
              <w:t>OMS</w:t>
            </w:r>
          </w:p>
        </w:tc>
        <w:tc>
          <w:tcPr>
            <w:tcW w:w="12474" w:type="dxa"/>
            <w:tcBorders>
              <w:top w:val="nil"/>
            </w:tcBorders>
            <w:shd w:val="clear" w:color="auto" w:fill="auto"/>
          </w:tcPr>
          <w:p w:rsidR="00F167A1" w:rsidRPr="003B5EA4" w:rsidRDefault="00F167A1" w:rsidP="00F167A1">
            <w:pPr>
              <w:suppressAutoHyphens w:val="0"/>
              <w:spacing w:before="40" w:after="120"/>
            </w:pPr>
            <w:r w:rsidRPr="003B5EA4">
              <w:rPr>
                <w:rFonts w:asciiTheme="majorBidi" w:hAnsiTheme="majorBidi" w:cstheme="majorBidi"/>
                <w:b/>
                <w:bCs/>
              </w:rPr>
              <w:t xml:space="preserve">Indemnité journalière de subsistance : </w:t>
            </w:r>
            <w:r w:rsidRPr="003B5EA4">
              <w:rPr>
                <w:rFonts w:asciiTheme="majorBidi" w:hAnsiTheme="majorBidi" w:cstheme="majorBidi"/>
                <w:bCs/>
              </w:rPr>
              <w:t>100 %</w:t>
            </w:r>
            <w:r w:rsidRPr="003B5EA4">
              <w:rPr>
                <w:rFonts w:asciiTheme="majorBidi" w:hAnsiTheme="majorBidi" w:cstheme="majorBidi"/>
                <w:b/>
                <w:bCs/>
              </w:rPr>
              <w:t xml:space="preserve"> </w:t>
            </w:r>
            <w:r w:rsidRPr="003B5EA4">
              <w:rPr>
                <w:rFonts w:asciiTheme="majorBidi" w:hAnsiTheme="majorBidi" w:cstheme="majorBidi"/>
                <w:bCs/>
              </w:rPr>
              <w:t>(jusqu</w:t>
            </w:r>
            <w:r w:rsidR="00762E0A">
              <w:rPr>
                <w:rFonts w:asciiTheme="majorBidi" w:hAnsiTheme="majorBidi" w:cstheme="majorBidi"/>
                <w:bCs/>
              </w:rPr>
              <w:t>’</w:t>
            </w:r>
            <w:r w:rsidRPr="003B5EA4">
              <w:rPr>
                <w:rFonts w:asciiTheme="majorBidi" w:hAnsiTheme="majorBidi" w:cstheme="majorBidi"/>
                <w:bCs/>
              </w:rPr>
              <w:t>à 30 jours pour New York et 60 jours ailleurs)</w:t>
            </w:r>
            <w:r w:rsidR="00BF0B8F">
              <w:rPr>
                <w:rFonts w:asciiTheme="majorBidi" w:hAnsiTheme="majorBidi" w:cstheme="majorBidi"/>
                <w:bCs/>
              </w:rPr>
              <w:t> ;</w:t>
            </w:r>
            <w:r w:rsidRPr="003B5EA4">
              <w:rPr>
                <w:rFonts w:asciiTheme="majorBidi" w:hAnsiTheme="majorBidi" w:cstheme="majorBidi"/>
                <w:bCs/>
              </w:rPr>
              <w:t xml:space="preserve"> indemnité réduite (après 30 jours pour New York et 60 jours ailleurs).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w:t>
            </w:r>
            <w:r w:rsidRPr="003B5EA4">
              <w:rPr>
                <w:rFonts w:asciiTheme="majorBidi" w:hAnsiTheme="majorBidi" w:cstheme="majorBidi"/>
                <w:bCs/>
              </w:rPr>
              <w:t xml:space="preserve"> 38 dollars É.-U. (aller et retour).</w:t>
            </w:r>
          </w:p>
        </w:tc>
      </w:tr>
      <w:tr w:rsidR="00F167A1" w:rsidRPr="003B5EA4" w:rsidTr="00F167A1">
        <w:trPr>
          <w:trHeight w:val="240"/>
        </w:trPr>
        <w:tc>
          <w:tcPr>
            <w:tcW w:w="1304" w:type="dxa"/>
            <w:tcBorders>
              <w:top w:val="nil"/>
            </w:tcBorders>
            <w:shd w:val="clear" w:color="auto" w:fill="auto"/>
          </w:tcPr>
          <w:p w:rsidR="00F167A1" w:rsidRPr="003B5EA4" w:rsidRDefault="00F167A1" w:rsidP="00F167A1">
            <w:pPr>
              <w:suppressAutoHyphens w:val="0"/>
              <w:spacing w:before="40" w:after="120"/>
            </w:pPr>
            <w:r w:rsidRPr="003B5EA4">
              <w:t>OMT</w:t>
            </w:r>
          </w:p>
        </w:tc>
        <w:tc>
          <w:tcPr>
            <w:tcW w:w="12474" w:type="dxa"/>
            <w:tcBorders>
              <w:top w:val="nil"/>
            </w:tcBorders>
            <w:shd w:val="clear" w:color="auto" w:fill="auto"/>
          </w:tcPr>
          <w:p w:rsidR="00F167A1" w:rsidRPr="003B5EA4" w:rsidRDefault="00F167A1" w:rsidP="00F167A1">
            <w:pPr>
              <w:suppressAutoHyphens w:val="0"/>
              <w:spacing w:before="40" w:after="120"/>
            </w:pPr>
            <w:r w:rsidRPr="003B5EA4">
              <w:rPr>
                <w:rFonts w:asciiTheme="majorBidi" w:hAnsiTheme="majorBidi" w:cstheme="majorBidi"/>
                <w:b/>
                <w:bCs/>
              </w:rPr>
              <w:t>Indemnité journalière de subsistance </w:t>
            </w:r>
            <w:r w:rsidRPr="003B5EA4">
              <w:rPr>
                <w:rFonts w:asciiTheme="majorBidi" w:eastAsiaTheme="minorEastAsia" w:hAnsiTheme="majorBidi" w:cstheme="majorBidi"/>
                <w:b/>
                <w:bCs/>
              </w:rPr>
              <w:t>:</w:t>
            </w:r>
            <w:r w:rsidRPr="003B5EA4">
              <w:rPr>
                <w:rFonts w:asciiTheme="majorBidi" w:eastAsiaTheme="minorEastAsia" w:hAnsiTheme="majorBidi" w:cstheme="majorBidi"/>
                <w:bCs/>
              </w:rPr>
              <w:t xml:space="preserve"> 50 % pour l</w:t>
            </w:r>
            <w:r w:rsidR="00762E0A">
              <w:rPr>
                <w:rFonts w:asciiTheme="majorBidi" w:eastAsiaTheme="minorEastAsia" w:hAnsiTheme="majorBidi" w:cstheme="majorBidi"/>
                <w:bCs/>
              </w:rPr>
              <w:t>’</w:t>
            </w:r>
            <w:r w:rsidRPr="003B5EA4">
              <w:rPr>
                <w:rFonts w:asciiTheme="majorBidi" w:eastAsiaTheme="minorEastAsia" w:hAnsiTheme="majorBidi" w:cstheme="majorBidi"/>
                <w:bCs/>
              </w:rPr>
              <w:t xml:space="preserve">hébergement, 30 % pour les repas, 20 % pour frais divers au lieu de destination de la mission : taxi, bus, train et métro, appels téléphoniques (locaux) et autres dépenses accessoires. </w:t>
            </w:r>
            <w:r w:rsidRPr="003B5EA4">
              <w:rPr>
                <w:rFonts w:asciiTheme="majorBidi" w:eastAsiaTheme="minorEastAsia" w:hAnsiTheme="majorBidi" w:cstheme="majorBidi"/>
                <w:b/>
                <w:bCs/>
              </w:rPr>
              <w:t>Frais au départ et à l</w:t>
            </w:r>
            <w:r w:rsidR="00762E0A">
              <w:rPr>
                <w:rFonts w:asciiTheme="majorBidi" w:eastAsiaTheme="minorEastAsia" w:hAnsiTheme="majorBidi" w:cstheme="majorBidi"/>
                <w:b/>
                <w:bCs/>
              </w:rPr>
              <w:t>’</w:t>
            </w:r>
            <w:r w:rsidRPr="003B5EA4">
              <w:rPr>
                <w:rFonts w:asciiTheme="majorBidi" w:eastAsiaTheme="minorEastAsia" w:hAnsiTheme="majorBidi" w:cstheme="majorBidi"/>
                <w:b/>
                <w:bCs/>
              </w:rPr>
              <w:t>arrivée :</w:t>
            </w:r>
            <w:r w:rsidRPr="003B5EA4">
              <w:rPr>
                <w:rFonts w:asciiTheme="majorBidi" w:eastAsiaTheme="minorEastAsia" w:hAnsiTheme="majorBidi" w:cstheme="majorBidi"/>
                <w:bCs/>
              </w:rPr>
              <w:t xml:space="preserve"> ces frais couvrent le transport entre le point d</w:t>
            </w:r>
            <w:r w:rsidR="00762E0A">
              <w:rPr>
                <w:rFonts w:asciiTheme="majorBidi" w:eastAsiaTheme="minorEastAsia" w:hAnsiTheme="majorBidi" w:cstheme="majorBidi"/>
                <w:bCs/>
              </w:rPr>
              <w:t>’</w:t>
            </w:r>
            <w:r w:rsidRPr="003B5EA4">
              <w:rPr>
                <w:rFonts w:asciiTheme="majorBidi" w:eastAsiaTheme="minorEastAsia" w:hAnsiTheme="majorBidi" w:cstheme="majorBidi"/>
                <w:bCs/>
              </w:rPr>
              <w:t>entrée et l</w:t>
            </w:r>
            <w:r w:rsidR="00762E0A">
              <w:rPr>
                <w:rFonts w:asciiTheme="majorBidi" w:eastAsiaTheme="minorEastAsia" w:hAnsiTheme="majorBidi" w:cstheme="majorBidi"/>
                <w:bCs/>
              </w:rPr>
              <w:t>’</w:t>
            </w:r>
            <w:r w:rsidRPr="003B5EA4">
              <w:rPr>
                <w:rFonts w:asciiTheme="majorBidi" w:eastAsiaTheme="minorEastAsia" w:hAnsiTheme="majorBidi" w:cstheme="majorBidi"/>
                <w:bCs/>
              </w:rPr>
              <w:t>hôtel, en plus de l</w:t>
            </w:r>
            <w:r w:rsidR="00762E0A">
              <w:rPr>
                <w:rFonts w:asciiTheme="majorBidi" w:eastAsiaTheme="minorEastAsia" w:hAnsiTheme="majorBidi" w:cstheme="majorBidi"/>
                <w:bCs/>
              </w:rPr>
              <w:t>’</w:t>
            </w:r>
            <w:r w:rsidRPr="003B5EA4">
              <w:rPr>
                <w:rFonts w:asciiTheme="majorBidi" w:eastAsiaTheme="minorEastAsia" w:hAnsiTheme="majorBidi" w:cstheme="majorBidi"/>
                <w:bCs/>
              </w:rPr>
              <w:t>indemnité journalière de subsistance</w:t>
            </w:r>
            <w:r w:rsidRPr="003B5EA4">
              <w:t>.</w:t>
            </w:r>
          </w:p>
        </w:tc>
      </w:tr>
      <w:tr w:rsidR="009B00F5" w:rsidRPr="003B5EA4" w:rsidTr="00F167A1">
        <w:trPr>
          <w:trHeight w:val="240"/>
        </w:trPr>
        <w:tc>
          <w:tcPr>
            <w:tcW w:w="1304" w:type="dxa"/>
            <w:tcBorders>
              <w:top w:val="nil"/>
            </w:tcBorders>
            <w:shd w:val="clear" w:color="auto" w:fill="auto"/>
          </w:tcPr>
          <w:p w:rsidR="009B00F5" w:rsidRPr="003B5EA4" w:rsidRDefault="009B00F5" w:rsidP="009B00F5">
            <w:pPr>
              <w:suppressAutoHyphens w:val="0"/>
              <w:spacing w:before="40" w:after="120"/>
            </w:pPr>
            <w:r w:rsidRPr="003B5EA4">
              <w:t>ONU</w:t>
            </w:r>
          </w:p>
        </w:tc>
        <w:tc>
          <w:tcPr>
            <w:tcW w:w="12474" w:type="dxa"/>
            <w:tcBorders>
              <w:top w:val="nil"/>
            </w:tcBorders>
            <w:shd w:val="clear" w:color="auto" w:fill="auto"/>
          </w:tcPr>
          <w:p w:rsidR="009B00F5" w:rsidRPr="003B5EA4" w:rsidRDefault="009B00F5" w:rsidP="009B00F5">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100 % des montants calculés et certifiés par l</w:t>
            </w:r>
            <w:r w:rsidR="00762E0A">
              <w:rPr>
                <w:rFonts w:asciiTheme="majorBidi" w:hAnsiTheme="majorBidi" w:cstheme="majorBidi"/>
                <w:bCs/>
              </w:rPr>
              <w:t>’</w:t>
            </w:r>
            <w:r w:rsidRPr="003B5EA4">
              <w:rPr>
                <w:rFonts w:asciiTheme="majorBidi" w:hAnsiTheme="majorBidi" w:cstheme="majorBidi"/>
                <w:bCs/>
              </w:rPr>
              <w:t>agent certificateur compétent, 75 % pour les personnes ne faisant pas partie du personnel, tels les consultants, les vacataires et les membres de comités</w:t>
            </w:r>
            <w:r w:rsidRPr="003B5EA4">
              <w:t>.</w:t>
            </w:r>
          </w:p>
        </w:tc>
      </w:tr>
      <w:tr w:rsidR="00F167A1" w:rsidRPr="003B5EA4" w:rsidTr="00F167A1">
        <w:trPr>
          <w:trHeight w:val="240"/>
        </w:trPr>
        <w:tc>
          <w:tcPr>
            <w:tcW w:w="1304" w:type="dxa"/>
            <w:tcBorders>
              <w:bottom w:val="nil"/>
            </w:tcBorders>
            <w:shd w:val="clear" w:color="auto" w:fill="auto"/>
          </w:tcPr>
          <w:p w:rsidR="00F167A1" w:rsidRPr="003B5EA4" w:rsidRDefault="00F167A1" w:rsidP="00F167A1">
            <w:pPr>
              <w:suppressAutoHyphens w:val="0"/>
              <w:spacing w:before="40" w:after="120"/>
            </w:pPr>
            <w:r w:rsidRPr="003B5EA4">
              <w:t>ONU-Femmes</w:t>
            </w:r>
          </w:p>
        </w:tc>
        <w:tc>
          <w:tcPr>
            <w:tcW w:w="12474" w:type="dxa"/>
            <w:tcBorders>
              <w:bottom w:val="nil"/>
            </w:tcBorders>
            <w:shd w:val="clear" w:color="auto" w:fill="auto"/>
          </w:tcPr>
          <w:p w:rsidR="00F167A1" w:rsidRPr="003B5EA4" w:rsidRDefault="00F167A1" w:rsidP="00F167A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par nuit hors du lieu de résidence</w:t>
            </w:r>
            <w:r w:rsidR="00BF0B8F">
              <w:rPr>
                <w:rFonts w:asciiTheme="majorBidi" w:hAnsiTheme="majorBidi" w:cstheme="majorBidi"/>
                <w:bCs/>
              </w:rPr>
              <w:t> ;</w:t>
            </w:r>
            <w:r w:rsidRPr="003B5EA4">
              <w:rPr>
                <w:rFonts w:asciiTheme="majorBidi" w:hAnsiTheme="majorBidi" w:cstheme="majorBidi"/>
                <w:bCs/>
              </w:rPr>
              <w:t xml:space="preserve"> 40 % pour les déplacements de plus de 10 heures et de moins de 24 heures</w:t>
            </w:r>
            <w:r w:rsidR="00BF0B8F">
              <w:rPr>
                <w:rFonts w:asciiTheme="majorBidi" w:hAnsiTheme="majorBidi" w:cstheme="majorBidi"/>
                <w:bCs/>
              </w:rPr>
              <w:t> ;</w:t>
            </w:r>
            <w:r w:rsidRPr="003B5EA4">
              <w:rPr>
                <w:rFonts w:asciiTheme="majorBidi" w:hAnsiTheme="majorBidi" w:cstheme="majorBidi"/>
                <w:bCs/>
              </w:rPr>
              <w:t xml:space="preserve"> 0 % si le déplacement est de moins de 10 heures</w:t>
            </w:r>
            <w:r w:rsidRPr="003B5EA4">
              <w:t xml:space="preserve">.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somme forfaitaire : New York : 63 dollars É.-U. ; ailleurs : 38 dollars É.-U. ; si un véhicule de l</w:t>
            </w:r>
            <w:r w:rsidR="00762E0A">
              <w:rPr>
                <w:rFonts w:asciiTheme="majorBidi" w:hAnsiTheme="majorBidi" w:cstheme="majorBidi"/>
                <w:bCs/>
              </w:rPr>
              <w:t>’</w:t>
            </w:r>
            <w:r w:rsidRPr="003B5EA4">
              <w:rPr>
                <w:rFonts w:asciiTheme="majorBidi" w:hAnsiTheme="majorBidi" w:cstheme="majorBidi"/>
                <w:bCs/>
              </w:rPr>
              <w:t>ONU ou d</w:t>
            </w:r>
            <w:r w:rsidR="00762E0A">
              <w:rPr>
                <w:rFonts w:asciiTheme="majorBidi" w:hAnsiTheme="majorBidi" w:cstheme="majorBidi"/>
                <w:bCs/>
              </w:rPr>
              <w:t>’</w:t>
            </w:r>
            <w:r w:rsidRPr="003B5EA4">
              <w:rPr>
                <w:rFonts w:asciiTheme="majorBidi" w:hAnsiTheme="majorBidi" w:cstheme="majorBidi"/>
                <w:bCs/>
              </w:rPr>
              <w:t>un gouvernement ou un autre moyen de transport est fourni : 11 dollars É.-U.</w:t>
            </w:r>
          </w:p>
        </w:tc>
      </w:tr>
      <w:tr w:rsidR="00003D31" w:rsidRPr="003B5EA4" w:rsidTr="00F167A1">
        <w:trPr>
          <w:trHeight w:val="240"/>
        </w:trPr>
        <w:tc>
          <w:tcPr>
            <w:tcW w:w="1304" w:type="dxa"/>
            <w:tcBorders>
              <w:bottom w:val="nil"/>
            </w:tcBorders>
            <w:shd w:val="clear" w:color="auto" w:fill="auto"/>
          </w:tcPr>
          <w:p w:rsidR="00003D31" w:rsidRPr="003B5EA4" w:rsidRDefault="00003D31" w:rsidP="00003D31">
            <w:pPr>
              <w:suppressAutoHyphens w:val="0"/>
              <w:spacing w:before="40" w:after="120"/>
            </w:pPr>
            <w:r w:rsidRPr="003B5EA4">
              <w:t>ONUDI</w:t>
            </w:r>
          </w:p>
        </w:tc>
        <w:tc>
          <w:tcPr>
            <w:tcW w:w="12474" w:type="dxa"/>
            <w:tcBorders>
              <w:bottom w:val="nil"/>
            </w:tcBorders>
            <w:shd w:val="clear" w:color="auto" w:fill="auto"/>
          </w:tcPr>
          <w:p w:rsidR="00003D31" w:rsidRPr="003B5EA4" w:rsidRDefault="00003D31" w:rsidP="00FC3E1D">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
              </w:rPr>
              <w:t>:</w:t>
            </w:r>
            <w:r w:rsidRPr="003B5EA4">
              <w:rPr>
                <w:rFonts w:asciiTheme="majorBidi" w:hAnsiTheme="majorBidi" w:cstheme="majorBidi"/>
              </w:rPr>
              <w:t xml:space="preserve"> 50 % pour l</w:t>
            </w:r>
            <w:r w:rsidR="00762E0A">
              <w:rPr>
                <w:rFonts w:asciiTheme="majorBidi" w:hAnsiTheme="majorBidi" w:cstheme="majorBidi"/>
              </w:rPr>
              <w:t>’</w:t>
            </w:r>
            <w:r w:rsidRPr="003B5EA4">
              <w:rPr>
                <w:rFonts w:asciiTheme="majorBidi" w:hAnsiTheme="majorBidi" w:cstheme="majorBidi"/>
              </w:rPr>
              <w:t>hébergement, 10 % par repas (petit</w:t>
            </w:r>
            <w:r w:rsidR="00FC3E1D">
              <w:rPr>
                <w:rFonts w:asciiTheme="majorBidi" w:hAnsiTheme="majorBidi" w:cstheme="majorBidi"/>
              </w:rPr>
              <w:t>-</w:t>
            </w:r>
            <w:r w:rsidRPr="003B5EA4">
              <w:rPr>
                <w:rFonts w:asciiTheme="majorBidi" w:hAnsiTheme="majorBidi" w:cstheme="majorBidi"/>
              </w:rPr>
              <w:t xml:space="preserve">déjeuner, déjeuner et dîner), 20 % pour frais divers. </w:t>
            </w:r>
            <w:r w:rsidRPr="003B5EA4">
              <w:rPr>
                <w:rFonts w:asciiTheme="majorBidi" w:hAnsiTheme="majorBidi" w:cstheme="majorBidi"/>
                <w:b/>
              </w:rPr>
              <w:t>Frais au départ et à l</w:t>
            </w:r>
            <w:r w:rsidR="00762E0A">
              <w:rPr>
                <w:rFonts w:asciiTheme="majorBidi" w:hAnsiTheme="majorBidi" w:cstheme="majorBidi"/>
                <w:b/>
              </w:rPr>
              <w:t>’</w:t>
            </w:r>
            <w:r w:rsidRPr="003B5EA4">
              <w:rPr>
                <w:rFonts w:asciiTheme="majorBidi" w:hAnsiTheme="majorBidi" w:cstheme="majorBidi"/>
                <w:b/>
              </w:rPr>
              <w:t>arrivée :</w:t>
            </w:r>
            <w:r w:rsidRPr="003B5EA4">
              <w:rPr>
                <w:rFonts w:asciiTheme="majorBidi" w:hAnsiTheme="majorBidi" w:cstheme="majorBidi"/>
              </w:rPr>
              <w:t xml:space="preserve"> </w:t>
            </w:r>
            <w:r w:rsidRPr="003B5EA4">
              <w:rPr>
                <w:rFonts w:asciiTheme="majorBidi" w:hAnsiTheme="majorBidi" w:cstheme="majorBidi"/>
                <w:color w:val="252525"/>
              </w:rPr>
              <w:t>ces frais sont réputés comprendre tous les frais de transport entre l</w:t>
            </w:r>
            <w:r w:rsidR="00762E0A">
              <w:rPr>
                <w:rFonts w:asciiTheme="majorBidi" w:hAnsiTheme="majorBidi" w:cstheme="majorBidi"/>
                <w:color w:val="252525"/>
              </w:rPr>
              <w:t>’</w:t>
            </w:r>
            <w:r w:rsidRPr="003B5EA4">
              <w:rPr>
                <w:rFonts w:asciiTheme="majorBidi" w:hAnsiTheme="majorBidi" w:cstheme="majorBidi"/>
                <w:color w:val="252525"/>
              </w:rPr>
              <w:t xml:space="preserve">aéroport </w:t>
            </w:r>
            <w:r w:rsidRPr="003B5EA4">
              <w:rPr>
                <w:rFonts w:ascii="Times" w:hAnsi="Times"/>
              </w:rPr>
              <w:t>ou un autre point d</w:t>
            </w:r>
            <w:r w:rsidR="00762E0A">
              <w:rPr>
                <w:rFonts w:ascii="Times" w:hAnsi="Times"/>
              </w:rPr>
              <w:t>’</w:t>
            </w:r>
            <w:r w:rsidRPr="003B5EA4">
              <w:rPr>
                <w:rFonts w:ascii="Times" w:hAnsi="Times"/>
              </w:rPr>
              <w:t>arrivée ou de départ et l</w:t>
            </w:r>
            <w:r w:rsidR="00762E0A">
              <w:rPr>
                <w:rFonts w:ascii="Times" w:hAnsi="Times"/>
              </w:rPr>
              <w:t>’</w:t>
            </w:r>
            <w:r w:rsidRPr="003B5EA4">
              <w:rPr>
                <w:rFonts w:ascii="Times" w:hAnsi="Times"/>
              </w:rPr>
              <w:t>hôtel ou un autre lieu de résidence</w:t>
            </w:r>
            <w:r w:rsidRPr="003B5EA4">
              <w:rPr>
                <w:rFonts w:asciiTheme="majorBidi" w:hAnsiTheme="majorBidi" w:cstheme="majorBidi"/>
                <w:color w:val="252525"/>
              </w:rPr>
              <w:t xml:space="preserve">, </w:t>
            </w:r>
            <w:r w:rsidR="0055478D">
              <w:rPr>
                <w:rFonts w:asciiTheme="majorBidi" w:hAnsiTheme="majorBidi" w:cstheme="majorBidi"/>
                <w:color w:val="252525"/>
              </w:rPr>
              <w:t>y compris</w:t>
            </w:r>
            <w:r w:rsidRPr="003B5EA4">
              <w:rPr>
                <w:rFonts w:asciiTheme="majorBidi" w:hAnsiTheme="majorBidi" w:cstheme="majorBidi"/>
                <w:color w:val="252525"/>
              </w:rPr>
              <w:t xml:space="preserve"> la prise en charge des bagages accompagnés et autres frais accessoires, excepté les dépenses mentionnées au titre des frais divers.</w:t>
            </w:r>
          </w:p>
        </w:tc>
      </w:tr>
      <w:tr w:rsidR="00003D31" w:rsidRPr="003B5EA4" w:rsidTr="00F167A1">
        <w:trPr>
          <w:trHeight w:val="240"/>
        </w:trPr>
        <w:tc>
          <w:tcPr>
            <w:tcW w:w="1304" w:type="dxa"/>
            <w:shd w:val="clear" w:color="auto" w:fill="auto"/>
          </w:tcPr>
          <w:p w:rsidR="00003D31" w:rsidRPr="003B5EA4" w:rsidRDefault="00003D31" w:rsidP="00003D31">
            <w:pPr>
              <w:suppressAutoHyphens w:val="0"/>
              <w:spacing w:before="40" w:after="120"/>
            </w:pPr>
            <w:r w:rsidRPr="003B5EA4">
              <w:t>ONUSIDA</w:t>
            </w:r>
          </w:p>
        </w:tc>
        <w:tc>
          <w:tcPr>
            <w:tcW w:w="12474" w:type="dxa"/>
            <w:shd w:val="clear" w:color="auto" w:fill="auto"/>
          </w:tcPr>
          <w:p w:rsidR="00003D31" w:rsidRPr="003B5EA4" w:rsidRDefault="00003D31" w:rsidP="00003D3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pour un voyage de plus de 10 heures en un jour, une indemnité de subsistance spéciale équivalant à 50 % de l</w:t>
            </w:r>
            <w:r w:rsidR="00762E0A">
              <w:rPr>
                <w:rFonts w:asciiTheme="majorBidi" w:hAnsiTheme="majorBidi" w:cstheme="majorBidi"/>
                <w:bCs/>
              </w:rPr>
              <w:t>’</w:t>
            </w:r>
            <w:r w:rsidRPr="003B5EA4">
              <w:rPr>
                <w:rFonts w:asciiTheme="majorBidi" w:hAnsiTheme="majorBidi" w:cstheme="majorBidi"/>
                <w:bCs/>
              </w:rPr>
              <w:t>indemnité journalière normale sera payée</w:t>
            </w:r>
            <w:r w:rsidRPr="003B5EA4">
              <w:t>.</w:t>
            </w:r>
          </w:p>
        </w:tc>
      </w:tr>
      <w:tr w:rsidR="00003D31" w:rsidRPr="003B5EA4" w:rsidTr="00F167A1">
        <w:trPr>
          <w:trHeight w:val="240"/>
        </w:trPr>
        <w:tc>
          <w:tcPr>
            <w:tcW w:w="1304" w:type="dxa"/>
            <w:tcBorders>
              <w:bottom w:val="nil"/>
            </w:tcBorders>
            <w:shd w:val="clear" w:color="auto" w:fill="auto"/>
          </w:tcPr>
          <w:p w:rsidR="00003D31" w:rsidRPr="003B5EA4" w:rsidRDefault="00003D31" w:rsidP="00003D31">
            <w:pPr>
              <w:suppressAutoHyphens w:val="0"/>
              <w:spacing w:before="40" w:after="120"/>
            </w:pPr>
            <w:r w:rsidRPr="003B5EA4">
              <w:t>PNUD</w:t>
            </w:r>
          </w:p>
        </w:tc>
        <w:tc>
          <w:tcPr>
            <w:tcW w:w="12474" w:type="dxa"/>
            <w:tcBorders>
              <w:bottom w:val="nil"/>
            </w:tcBorders>
            <w:shd w:val="clear" w:color="auto" w:fill="auto"/>
          </w:tcPr>
          <w:p w:rsidR="00003D31" w:rsidRPr="003B5EA4" w:rsidRDefault="00003D31" w:rsidP="00003D3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si la durée du déplacement est de moins de 24 heures : 100 % si le déplacement comporte une nuit, 40 % si la mission dure plus de 10 heures, pas d</w:t>
            </w:r>
            <w:r w:rsidR="00762E0A">
              <w:rPr>
                <w:rFonts w:asciiTheme="majorBidi" w:hAnsiTheme="majorBidi" w:cstheme="majorBidi"/>
                <w:bCs/>
              </w:rPr>
              <w:t>’</w:t>
            </w:r>
            <w:r w:rsidRPr="003B5EA4">
              <w:rPr>
                <w:rFonts w:asciiTheme="majorBidi" w:hAnsiTheme="majorBidi" w:cstheme="majorBidi"/>
                <w:bCs/>
              </w:rPr>
              <w:t>indemnité journalière dans les autres cas de figure</w:t>
            </w:r>
            <w:r w:rsidR="00BF0B8F">
              <w:rPr>
                <w:rFonts w:asciiTheme="majorBidi" w:hAnsiTheme="majorBidi" w:cstheme="majorBidi"/>
                <w:bCs/>
              </w:rPr>
              <w:t> ;</w:t>
            </w:r>
            <w:r w:rsidRPr="003B5EA4">
              <w:rPr>
                <w:rFonts w:asciiTheme="majorBidi" w:hAnsiTheme="majorBidi" w:cstheme="majorBidi"/>
                <w:bCs/>
              </w:rPr>
              <w:t xml:space="preserve"> si la durée du déplacement est de plus de 24 heures : 100 % de l</w:t>
            </w:r>
            <w:r w:rsidR="00762E0A">
              <w:rPr>
                <w:rFonts w:asciiTheme="majorBidi" w:hAnsiTheme="majorBidi" w:cstheme="majorBidi"/>
                <w:bCs/>
              </w:rPr>
              <w:t>’</w:t>
            </w:r>
            <w:r w:rsidRPr="003B5EA4">
              <w:rPr>
                <w:rFonts w:asciiTheme="majorBidi" w:hAnsiTheme="majorBidi" w:cstheme="majorBidi"/>
                <w:bCs/>
              </w:rPr>
              <w:t>indemnité journalière de subsistance ; réduction de l</w:t>
            </w:r>
            <w:r w:rsidR="00762E0A">
              <w:rPr>
                <w:rFonts w:asciiTheme="majorBidi" w:hAnsiTheme="majorBidi" w:cstheme="majorBidi"/>
                <w:bCs/>
              </w:rPr>
              <w:t>’</w:t>
            </w:r>
            <w:r w:rsidRPr="003B5EA4">
              <w:rPr>
                <w:rFonts w:asciiTheme="majorBidi" w:hAnsiTheme="majorBidi" w:cstheme="majorBidi"/>
                <w:bCs/>
              </w:rPr>
              <w:t xml:space="preserve">indemnité journalière de subsistance si le logement et les repas sont fournis.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pour les fonctionnaires et non-fonctionnaires : 63 dollars É.-U. pour New York, 38 dollars É.-U. ailleurs ; membres de la famille : 21 dollars É.</w:t>
            </w:r>
            <w:r w:rsidRPr="003B5EA4">
              <w:rPr>
                <w:rFonts w:asciiTheme="majorBidi" w:hAnsiTheme="majorBidi" w:cstheme="majorBidi"/>
                <w:bCs/>
              </w:rPr>
              <w:noBreakHyphen/>
              <w:t>U. pour New York, 13 dollars É.-U. ailleurs ; si un véhicule (du gouvernement ou autre) est fourni ou si le transport est pris en charge, aucun frais au départ et à l</w:t>
            </w:r>
            <w:r w:rsidR="00762E0A">
              <w:rPr>
                <w:rFonts w:asciiTheme="majorBidi" w:hAnsiTheme="majorBidi" w:cstheme="majorBidi"/>
                <w:bCs/>
              </w:rPr>
              <w:t>’</w:t>
            </w:r>
            <w:r w:rsidRPr="003B5EA4">
              <w:rPr>
                <w:rFonts w:asciiTheme="majorBidi" w:hAnsiTheme="majorBidi" w:cstheme="majorBidi"/>
                <w:bCs/>
              </w:rPr>
              <w:t>arrivée ne seront versés</w:t>
            </w:r>
            <w:r w:rsidRPr="003B5EA4">
              <w:t>.</w:t>
            </w:r>
          </w:p>
        </w:tc>
      </w:tr>
      <w:tr w:rsidR="00003D31" w:rsidRPr="003B5EA4" w:rsidTr="00F167A1">
        <w:trPr>
          <w:trHeight w:val="240"/>
        </w:trPr>
        <w:tc>
          <w:tcPr>
            <w:tcW w:w="1304" w:type="dxa"/>
            <w:tcBorders>
              <w:top w:val="nil"/>
              <w:bottom w:val="nil"/>
            </w:tcBorders>
            <w:shd w:val="clear" w:color="auto" w:fill="auto"/>
          </w:tcPr>
          <w:p w:rsidR="00003D31" w:rsidRPr="003B5EA4" w:rsidRDefault="00003D31" w:rsidP="00003D31">
            <w:pPr>
              <w:suppressAutoHyphens w:val="0"/>
              <w:spacing w:before="40" w:after="120"/>
            </w:pPr>
            <w:r w:rsidRPr="003B5EA4">
              <w:t>PNUE</w:t>
            </w:r>
          </w:p>
        </w:tc>
        <w:tc>
          <w:tcPr>
            <w:tcW w:w="12474" w:type="dxa"/>
            <w:tcBorders>
              <w:top w:val="nil"/>
              <w:bottom w:val="nil"/>
            </w:tcBorders>
            <w:shd w:val="clear" w:color="auto" w:fill="auto"/>
          </w:tcPr>
          <w:p w:rsidR="00003D31" w:rsidRPr="003B5EA4" w:rsidRDefault="00003D31" w:rsidP="00003D3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40 % pour un déplacement de 10 heures ou plus ; 40 % supplémentaires pour un sous-secrétaire général et au</w:t>
            </w:r>
            <w:r w:rsidRPr="003B5EA4">
              <w:rPr>
                <w:rFonts w:asciiTheme="majorBidi" w:hAnsiTheme="majorBidi" w:cstheme="majorBidi"/>
                <w:bCs/>
              </w:rPr>
              <w:noBreakHyphen/>
              <w:t>dessus ; 15 % supplémentaires pour le grade de directeur</w:t>
            </w:r>
            <w:r w:rsidR="00BF0B8F">
              <w:rPr>
                <w:rFonts w:asciiTheme="majorBidi" w:hAnsiTheme="majorBidi" w:cstheme="majorBidi"/>
                <w:bCs/>
              </w:rPr>
              <w:t> ;</w:t>
            </w:r>
            <w:r w:rsidRPr="003B5EA4">
              <w:rPr>
                <w:rFonts w:asciiTheme="majorBidi" w:hAnsiTheme="majorBidi" w:cstheme="majorBidi"/>
                <w:bCs/>
              </w:rPr>
              <w:t xml:space="preserve"> pas d</w:t>
            </w:r>
            <w:r w:rsidR="00762E0A">
              <w:rPr>
                <w:rFonts w:asciiTheme="majorBidi" w:hAnsiTheme="majorBidi" w:cstheme="majorBidi"/>
                <w:bCs/>
              </w:rPr>
              <w:t>’</w:t>
            </w:r>
            <w:r w:rsidRPr="003B5EA4">
              <w:rPr>
                <w:rFonts w:asciiTheme="majorBidi" w:hAnsiTheme="majorBidi" w:cstheme="majorBidi"/>
                <w:bCs/>
              </w:rPr>
              <w:t>indemnité journalière de subsistance pour les congés dans les foyers, les visites familiales et les voyages au titre des études. Lorsque le logement et les repas sont fournis par l</w:t>
            </w:r>
            <w:r w:rsidR="00762E0A">
              <w:rPr>
                <w:rFonts w:asciiTheme="majorBidi" w:hAnsiTheme="majorBidi" w:cstheme="majorBidi"/>
                <w:bCs/>
              </w:rPr>
              <w:t>’</w:t>
            </w:r>
            <w:r w:rsidRPr="003B5EA4">
              <w:rPr>
                <w:rFonts w:asciiTheme="majorBidi" w:hAnsiTheme="majorBidi" w:cstheme="majorBidi"/>
                <w:bCs/>
              </w:rPr>
              <w:t>ONU, un gouvernement ou un organisme apparenté, l</w:t>
            </w:r>
            <w:r w:rsidR="00762E0A">
              <w:rPr>
                <w:rFonts w:asciiTheme="majorBidi" w:hAnsiTheme="majorBidi" w:cstheme="majorBidi"/>
                <w:bCs/>
              </w:rPr>
              <w:t>’</w:t>
            </w:r>
            <w:r w:rsidRPr="003B5EA4">
              <w:rPr>
                <w:rFonts w:asciiTheme="majorBidi" w:hAnsiTheme="majorBidi" w:cstheme="majorBidi"/>
                <w:bCs/>
              </w:rPr>
              <w:t>indemnité journalière de subsistance sera calculée comme suit : 50 % si seul le logement est fourni, 70 % si seuls les repas sont fournis ; 20 % si le logement et les repas sont fournis.</w:t>
            </w:r>
            <w:r w:rsidRPr="003B5EA4">
              <w:t xml:space="preserve">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w:t>
            </w:r>
            <w:r w:rsidRPr="003B5EA4">
              <w:rPr>
                <w:rFonts w:asciiTheme="majorBidi" w:hAnsiTheme="majorBidi" w:cstheme="majorBidi"/>
                <w:bCs/>
              </w:rPr>
              <w:t xml:space="preserve"> le remboursement pour chaque déplacement effectué pour rejoindre ou quitter l</w:t>
            </w:r>
            <w:r w:rsidR="00762E0A">
              <w:rPr>
                <w:rFonts w:asciiTheme="majorBidi" w:hAnsiTheme="majorBidi" w:cstheme="majorBidi"/>
                <w:bCs/>
              </w:rPr>
              <w:t>’</w:t>
            </w:r>
            <w:r w:rsidRPr="003B5EA4">
              <w:rPr>
                <w:rFonts w:asciiTheme="majorBidi" w:hAnsiTheme="majorBidi" w:cstheme="majorBidi"/>
                <w:bCs/>
              </w:rPr>
              <w:t>aéroport ou d</w:t>
            </w:r>
            <w:r w:rsidR="00762E0A">
              <w:rPr>
                <w:rFonts w:asciiTheme="majorBidi" w:hAnsiTheme="majorBidi" w:cstheme="majorBidi"/>
                <w:bCs/>
              </w:rPr>
              <w:t>’</w:t>
            </w:r>
            <w:r w:rsidRPr="003B5EA4">
              <w:rPr>
                <w:rFonts w:asciiTheme="majorBidi" w:hAnsiTheme="majorBidi" w:cstheme="majorBidi"/>
                <w:bCs/>
              </w:rPr>
              <w:t>autres lieux de départ ou d</w:t>
            </w:r>
            <w:r w:rsidR="00762E0A">
              <w:rPr>
                <w:rFonts w:asciiTheme="majorBidi" w:hAnsiTheme="majorBidi" w:cstheme="majorBidi"/>
                <w:bCs/>
              </w:rPr>
              <w:t>’</w:t>
            </w:r>
            <w:r w:rsidRPr="003B5EA4">
              <w:rPr>
                <w:rFonts w:asciiTheme="majorBidi" w:hAnsiTheme="majorBidi" w:cstheme="majorBidi"/>
                <w:bCs/>
              </w:rPr>
              <w:t>arrivée est de 30 dollars É.-U. pour le fonctionnaire et 10 dollars É.-U. pour chaque membre de sa famille, excepté pour New York, où les montants sont respectivement de 50 et 17 dollars É.-U.</w:t>
            </w:r>
          </w:p>
        </w:tc>
      </w:tr>
      <w:tr w:rsidR="00292261" w:rsidRPr="003B5EA4" w:rsidTr="0090055D">
        <w:trPr>
          <w:cantSplit/>
          <w:trHeight w:val="240"/>
        </w:trPr>
        <w:tc>
          <w:tcPr>
            <w:tcW w:w="1304" w:type="dxa"/>
            <w:tcBorders>
              <w:top w:val="nil"/>
            </w:tcBorders>
            <w:shd w:val="clear" w:color="auto" w:fill="auto"/>
          </w:tcPr>
          <w:p w:rsidR="00292261" w:rsidRPr="003B5EA4" w:rsidRDefault="00292261" w:rsidP="00292261">
            <w:pPr>
              <w:suppressAutoHyphens w:val="0"/>
              <w:spacing w:before="40" w:after="120"/>
            </w:pPr>
            <w:r w:rsidRPr="003B5EA4">
              <w:lastRenderedPageBreak/>
              <w:t>UIT</w:t>
            </w:r>
          </w:p>
        </w:tc>
        <w:tc>
          <w:tcPr>
            <w:tcW w:w="12474" w:type="dxa"/>
            <w:tcBorders>
              <w:top w:val="nil"/>
            </w:tcBorders>
            <w:shd w:val="clear" w:color="auto" w:fill="auto"/>
          </w:tcPr>
          <w:p w:rsidR="00292261" w:rsidRPr="003B5EA4" w:rsidRDefault="00292261" w:rsidP="00826F5F">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somme forfaitaire</w:t>
            </w:r>
            <w:r w:rsidR="00BF0B8F">
              <w:rPr>
                <w:rFonts w:asciiTheme="majorBidi" w:hAnsiTheme="majorBidi" w:cstheme="majorBidi"/>
                <w:bCs/>
              </w:rPr>
              <w:t> ;</w:t>
            </w:r>
            <w:r w:rsidRPr="003B5EA4">
              <w:rPr>
                <w:rFonts w:asciiTheme="majorBidi" w:hAnsiTheme="majorBidi" w:cstheme="majorBidi"/>
                <w:bCs/>
              </w:rPr>
              <w:t xml:space="preserve"> les montants sont déterminés conformément à la disposition 7.1.12 du règlement du personnel et se présentent comme suit : pour toutes les destinations excepté New York : 30 dollars É.-U. pour les fonctionnaires, </w:t>
            </w:r>
            <w:r w:rsidRPr="003B5EA4">
              <w:rPr>
                <w:rFonts w:asciiTheme="majorBidi" w:hAnsiTheme="majorBidi" w:cstheme="majorBidi"/>
              </w:rPr>
              <w:t>10 dollars É.-U. pour chaque personne à charge autorisée à voyager aux frais de l</w:t>
            </w:r>
            <w:r w:rsidR="00762E0A">
              <w:rPr>
                <w:rFonts w:asciiTheme="majorBidi" w:hAnsiTheme="majorBidi" w:cstheme="majorBidi"/>
              </w:rPr>
              <w:t>’</w:t>
            </w:r>
            <w:r w:rsidR="00826F5F">
              <w:rPr>
                <w:rFonts w:asciiTheme="majorBidi" w:hAnsiTheme="majorBidi" w:cstheme="majorBidi"/>
              </w:rPr>
              <w:t>UIT </w:t>
            </w:r>
            <w:r w:rsidRPr="003B5EA4">
              <w:rPr>
                <w:rFonts w:asciiTheme="majorBidi" w:hAnsiTheme="majorBidi" w:cstheme="majorBidi"/>
              </w:rPr>
              <w:t>;</w:t>
            </w:r>
            <w:r w:rsidRPr="003B5EA4">
              <w:rPr>
                <w:rFonts w:asciiTheme="majorBidi" w:hAnsiTheme="majorBidi" w:cstheme="majorBidi"/>
                <w:bCs/>
              </w:rPr>
              <w:t xml:space="preserve"> pour </w:t>
            </w:r>
            <w:r w:rsidRPr="003B5EA4">
              <w:rPr>
                <w:rFonts w:asciiTheme="majorBidi" w:hAnsiTheme="majorBidi" w:cstheme="majorBidi"/>
                <w:color w:val="000000"/>
              </w:rPr>
              <w:t>New York : 50 dollars É.-U. pour les fonctionnaires,</w:t>
            </w:r>
            <w:r w:rsidRPr="003B5EA4">
              <w:rPr>
                <w:rFonts w:asciiTheme="majorBidi" w:hAnsiTheme="majorBidi" w:cstheme="majorBidi"/>
                <w:bCs/>
              </w:rPr>
              <w:t xml:space="preserve"> </w:t>
            </w:r>
            <w:r w:rsidRPr="003B5EA4">
              <w:rPr>
                <w:rFonts w:asciiTheme="majorBidi" w:hAnsiTheme="majorBidi" w:cstheme="majorBidi"/>
                <w:color w:val="000000"/>
              </w:rPr>
              <w:t xml:space="preserve">17 dollars É.-U. </w:t>
            </w:r>
            <w:r w:rsidRPr="003B5EA4">
              <w:rPr>
                <w:rFonts w:asciiTheme="majorBidi" w:hAnsiTheme="majorBidi" w:cstheme="majorBidi"/>
              </w:rPr>
              <w:t>pour chaque personne à charge autorisée à voyager aux frais de l</w:t>
            </w:r>
            <w:r w:rsidR="00762E0A">
              <w:rPr>
                <w:rFonts w:asciiTheme="majorBidi" w:hAnsiTheme="majorBidi" w:cstheme="majorBidi"/>
              </w:rPr>
              <w:t>’</w:t>
            </w:r>
            <w:r w:rsidR="00826F5F">
              <w:rPr>
                <w:rFonts w:asciiTheme="majorBidi" w:hAnsiTheme="majorBidi" w:cstheme="majorBidi"/>
              </w:rPr>
              <w:t>UIT</w:t>
            </w:r>
            <w:r w:rsidRPr="003B5EA4">
              <w:t>.</w:t>
            </w:r>
          </w:p>
        </w:tc>
      </w:tr>
      <w:tr w:rsidR="00003D31" w:rsidRPr="003B5EA4" w:rsidTr="00F167A1">
        <w:trPr>
          <w:trHeight w:val="240"/>
        </w:trPr>
        <w:tc>
          <w:tcPr>
            <w:tcW w:w="1304" w:type="dxa"/>
            <w:tcBorders>
              <w:top w:val="nil"/>
            </w:tcBorders>
            <w:shd w:val="clear" w:color="auto" w:fill="auto"/>
          </w:tcPr>
          <w:p w:rsidR="00003D31" w:rsidRPr="003B5EA4" w:rsidRDefault="00003D31" w:rsidP="00003D31">
            <w:pPr>
              <w:keepNext/>
              <w:keepLines/>
              <w:suppressAutoHyphens w:val="0"/>
              <w:spacing w:before="40" w:after="120"/>
            </w:pPr>
            <w:r w:rsidRPr="003B5EA4">
              <w:t>UNESCO</w:t>
            </w:r>
          </w:p>
        </w:tc>
        <w:tc>
          <w:tcPr>
            <w:tcW w:w="12474" w:type="dxa"/>
            <w:tcBorders>
              <w:top w:val="nil"/>
            </w:tcBorders>
            <w:shd w:val="clear" w:color="auto" w:fill="auto"/>
          </w:tcPr>
          <w:p w:rsidR="00003D31" w:rsidRPr="003B5EA4" w:rsidRDefault="00003D31" w:rsidP="006C6A2F">
            <w:pPr>
              <w:keepNext/>
              <w:keepLines/>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
              </w:rPr>
              <w:t>:</w:t>
            </w:r>
            <w:r w:rsidRPr="003B5EA4">
              <w:rPr>
                <w:rFonts w:asciiTheme="majorBidi" w:hAnsiTheme="majorBidi" w:cstheme="majorBidi"/>
              </w:rPr>
              <w:t xml:space="preserve"> les taux d</w:t>
            </w:r>
            <w:r w:rsidR="00762E0A">
              <w:rPr>
                <w:rFonts w:asciiTheme="majorBidi" w:hAnsiTheme="majorBidi" w:cstheme="majorBidi"/>
              </w:rPr>
              <w:t>’</w:t>
            </w:r>
            <w:r w:rsidRPr="003B5EA4">
              <w:rPr>
                <w:rFonts w:asciiTheme="majorBidi" w:hAnsiTheme="majorBidi" w:cstheme="majorBidi"/>
              </w:rPr>
              <w:t>indemnité et le pourcentage réservés au logement sont visés dans le manuel administratif (appendice, 15.2A) ; l</w:t>
            </w:r>
            <w:r w:rsidR="00762E0A">
              <w:rPr>
                <w:rFonts w:asciiTheme="majorBidi" w:hAnsiTheme="majorBidi" w:cstheme="majorBidi"/>
              </w:rPr>
              <w:t>’</w:t>
            </w:r>
            <w:r w:rsidRPr="003B5EA4">
              <w:rPr>
                <w:rFonts w:asciiTheme="majorBidi" w:hAnsiTheme="majorBidi" w:cstheme="majorBidi"/>
              </w:rPr>
              <w:t>UNESCO rembourse les coûts supplémentaires d</w:t>
            </w:r>
            <w:r w:rsidR="00762E0A">
              <w:rPr>
                <w:rFonts w:asciiTheme="majorBidi" w:hAnsiTheme="majorBidi" w:cstheme="majorBidi"/>
              </w:rPr>
              <w:t>’</w:t>
            </w:r>
            <w:r w:rsidRPr="003B5EA4">
              <w:rPr>
                <w:rFonts w:asciiTheme="majorBidi" w:hAnsiTheme="majorBidi" w:cstheme="majorBidi"/>
              </w:rPr>
              <w:t>hébergement jusqu</w:t>
            </w:r>
            <w:r w:rsidR="00762E0A">
              <w:rPr>
                <w:rFonts w:asciiTheme="majorBidi" w:hAnsiTheme="majorBidi" w:cstheme="majorBidi"/>
              </w:rPr>
              <w:t>’</w:t>
            </w:r>
            <w:r w:rsidRPr="003B5EA4">
              <w:rPr>
                <w:rFonts w:asciiTheme="majorBidi" w:hAnsiTheme="majorBidi" w:cstheme="majorBidi"/>
              </w:rPr>
              <w:t>à un montant équivalent à 50 % de l</w:t>
            </w:r>
            <w:r w:rsidR="00762E0A">
              <w:rPr>
                <w:rFonts w:asciiTheme="majorBidi" w:hAnsiTheme="majorBidi" w:cstheme="majorBidi"/>
              </w:rPr>
              <w:t>’</w:t>
            </w:r>
            <w:r w:rsidRPr="003B5EA4">
              <w:rPr>
                <w:rFonts w:asciiTheme="majorBidi" w:hAnsiTheme="majorBidi" w:cstheme="majorBidi"/>
                <w:bCs/>
              </w:rPr>
              <w:t>indemnité journalière de subsistance</w:t>
            </w:r>
            <w:r w:rsidRPr="003B5EA4">
              <w:rPr>
                <w:rFonts w:asciiTheme="majorBidi" w:hAnsiTheme="majorBidi" w:cstheme="majorBidi"/>
              </w:rPr>
              <w:t xml:space="preserve">. </w:t>
            </w:r>
            <w:r w:rsidRPr="003B5EA4">
              <w:rPr>
                <w:rFonts w:asciiTheme="majorBidi" w:hAnsiTheme="majorBidi" w:cstheme="majorBidi"/>
                <w:b/>
              </w:rPr>
              <w:t>Frais au départ et à l</w:t>
            </w:r>
            <w:r w:rsidR="00762E0A">
              <w:rPr>
                <w:rFonts w:asciiTheme="majorBidi" w:hAnsiTheme="majorBidi" w:cstheme="majorBidi"/>
                <w:b/>
              </w:rPr>
              <w:t>’</w:t>
            </w:r>
            <w:r w:rsidRPr="003B5EA4">
              <w:rPr>
                <w:rFonts w:asciiTheme="majorBidi" w:hAnsiTheme="majorBidi" w:cstheme="majorBidi"/>
                <w:b/>
              </w:rPr>
              <w:t>arrivée :</w:t>
            </w:r>
            <w:r w:rsidRPr="003B5EA4">
              <w:rPr>
                <w:rFonts w:asciiTheme="majorBidi" w:hAnsiTheme="majorBidi" w:cstheme="majorBidi"/>
              </w:rPr>
              <w:t xml:space="preserve"> </w:t>
            </w:r>
            <w:r w:rsidR="006C6A2F">
              <w:rPr>
                <w:rFonts w:asciiTheme="majorBidi" w:hAnsiTheme="majorBidi" w:cstheme="majorBidi"/>
              </w:rPr>
              <w:t>c</w:t>
            </w:r>
            <w:r w:rsidRPr="003B5EA4">
              <w:rPr>
                <w:rFonts w:asciiTheme="majorBidi" w:hAnsiTheme="majorBidi" w:cstheme="majorBidi"/>
              </w:rPr>
              <w:t>es frais sont couverts sauf si le transfert est offert gratuitement au voyageur</w:t>
            </w:r>
            <w:r w:rsidRPr="003B5EA4">
              <w:t>.</w:t>
            </w:r>
          </w:p>
        </w:tc>
      </w:tr>
      <w:tr w:rsidR="00003D31" w:rsidRPr="003B5EA4" w:rsidTr="00F167A1">
        <w:trPr>
          <w:trHeight w:val="240"/>
        </w:trPr>
        <w:tc>
          <w:tcPr>
            <w:tcW w:w="1304" w:type="dxa"/>
            <w:shd w:val="clear" w:color="auto" w:fill="auto"/>
          </w:tcPr>
          <w:p w:rsidR="00003D31" w:rsidRPr="003B5EA4" w:rsidRDefault="00003D31" w:rsidP="00003D31">
            <w:pPr>
              <w:suppressAutoHyphens w:val="0"/>
              <w:spacing w:before="40" w:after="120"/>
            </w:pPr>
            <w:r w:rsidRPr="003B5EA4">
              <w:t>UNICEF</w:t>
            </w:r>
          </w:p>
        </w:tc>
        <w:tc>
          <w:tcPr>
            <w:tcW w:w="12474" w:type="dxa"/>
            <w:shd w:val="clear" w:color="auto" w:fill="auto"/>
          </w:tcPr>
          <w:p w:rsidR="00003D31" w:rsidRPr="003B5EA4" w:rsidRDefault="00003D31" w:rsidP="00003D3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100 %.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pas d</w:t>
            </w:r>
            <w:r w:rsidR="00762E0A">
              <w:rPr>
                <w:rFonts w:asciiTheme="majorBidi" w:hAnsiTheme="majorBidi" w:cstheme="majorBidi"/>
                <w:bCs/>
              </w:rPr>
              <w:t>’</w:t>
            </w:r>
            <w:r w:rsidRPr="003B5EA4">
              <w:rPr>
                <w:rFonts w:asciiTheme="majorBidi" w:hAnsiTheme="majorBidi" w:cstheme="majorBidi"/>
                <w:bCs/>
              </w:rPr>
              <w:t>information</w:t>
            </w:r>
            <w:r w:rsidRPr="003B5EA4">
              <w:t>.</w:t>
            </w:r>
          </w:p>
        </w:tc>
      </w:tr>
      <w:tr w:rsidR="00003D31" w:rsidRPr="003B5EA4" w:rsidTr="00F167A1">
        <w:trPr>
          <w:trHeight w:val="240"/>
        </w:trPr>
        <w:tc>
          <w:tcPr>
            <w:tcW w:w="1304" w:type="dxa"/>
            <w:tcBorders>
              <w:bottom w:val="nil"/>
            </w:tcBorders>
            <w:shd w:val="clear" w:color="auto" w:fill="auto"/>
          </w:tcPr>
          <w:p w:rsidR="00003D31" w:rsidRPr="003B5EA4" w:rsidRDefault="00003D31" w:rsidP="00003D31">
            <w:pPr>
              <w:suppressAutoHyphens w:val="0"/>
              <w:spacing w:before="40" w:after="120"/>
            </w:pPr>
            <w:r w:rsidRPr="003B5EA4">
              <w:t>UNOPS</w:t>
            </w:r>
          </w:p>
        </w:tc>
        <w:tc>
          <w:tcPr>
            <w:tcW w:w="12474" w:type="dxa"/>
            <w:tcBorders>
              <w:bottom w:val="nil"/>
            </w:tcBorders>
            <w:shd w:val="clear" w:color="auto" w:fill="auto"/>
          </w:tcPr>
          <w:p w:rsidR="00003D31" w:rsidRPr="003B5EA4" w:rsidRDefault="00003D31" w:rsidP="00003D31">
            <w:pPr>
              <w:suppressAutoHyphens w:val="0"/>
              <w:spacing w:before="40" w:after="120"/>
            </w:pPr>
            <w:r w:rsidRPr="003B5EA4">
              <w:rPr>
                <w:rFonts w:asciiTheme="majorBidi" w:hAnsiTheme="majorBidi" w:cstheme="majorBidi"/>
                <w:b/>
                <w:bCs/>
              </w:rPr>
              <w:t>Indemnité journalière de subsistance :</w:t>
            </w:r>
            <w:r w:rsidRPr="003B5EA4">
              <w:t xml:space="preserve"> </w:t>
            </w:r>
            <w:r w:rsidRPr="003B5EA4">
              <w:rPr>
                <w:rFonts w:asciiTheme="majorBidi" w:hAnsiTheme="majorBidi" w:cstheme="majorBidi"/>
                <w:bCs/>
              </w:rPr>
              <w:t>si la durée du déplacement est de moins de 24 heures : 100 % si le déplacement comporte une nuit, 40 % si la mission dure plus de 10 heures, pas d</w:t>
            </w:r>
            <w:r w:rsidR="00762E0A">
              <w:rPr>
                <w:rFonts w:asciiTheme="majorBidi" w:hAnsiTheme="majorBidi" w:cstheme="majorBidi"/>
                <w:bCs/>
              </w:rPr>
              <w:t>’</w:t>
            </w:r>
            <w:r w:rsidRPr="003B5EA4">
              <w:rPr>
                <w:rFonts w:asciiTheme="majorBidi" w:hAnsiTheme="majorBidi" w:cstheme="majorBidi"/>
                <w:bCs/>
              </w:rPr>
              <w:t>indemnité journalière dans les autres cas de figure</w:t>
            </w:r>
            <w:r w:rsidR="00BF0B8F">
              <w:rPr>
                <w:rFonts w:asciiTheme="majorBidi" w:hAnsiTheme="majorBidi" w:cstheme="majorBidi"/>
                <w:bCs/>
              </w:rPr>
              <w:t> ;</w:t>
            </w:r>
            <w:r w:rsidRPr="003B5EA4">
              <w:rPr>
                <w:rFonts w:asciiTheme="majorBidi" w:hAnsiTheme="majorBidi" w:cstheme="majorBidi"/>
                <w:bCs/>
              </w:rPr>
              <w:t xml:space="preserve"> si la durée du déplacement est de plus de 24 heures : 100 % de l</w:t>
            </w:r>
            <w:r w:rsidR="00762E0A">
              <w:rPr>
                <w:rFonts w:asciiTheme="majorBidi" w:hAnsiTheme="majorBidi" w:cstheme="majorBidi"/>
                <w:bCs/>
              </w:rPr>
              <w:t>’</w:t>
            </w:r>
            <w:r w:rsidRPr="003B5EA4">
              <w:rPr>
                <w:rFonts w:asciiTheme="majorBidi" w:hAnsiTheme="majorBidi" w:cstheme="majorBidi"/>
                <w:bCs/>
              </w:rPr>
              <w:t>indemnité journalière de subsistance</w:t>
            </w:r>
            <w:r w:rsidR="00BF0B8F">
              <w:rPr>
                <w:rFonts w:asciiTheme="majorBidi" w:hAnsiTheme="majorBidi" w:cstheme="majorBidi"/>
                <w:bCs/>
              </w:rPr>
              <w:t> ;</w:t>
            </w:r>
            <w:r w:rsidRPr="003B5EA4">
              <w:rPr>
                <w:rFonts w:asciiTheme="majorBidi" w:hAnsiTheme="majorBidi" w:cstheme="majorBidi"/>
                <w:bCs/>
              </w:rPr>
              <w:t xml:space="preserve"> réduction de l</w:t>
            </w:r>
            <w:r w:rsidR="00762E0A">
              <w:rPr>
                <w:rFonts w:asciiTheme="majorBidi" w:hAnsiTheme="majorBidi" w:cstheme="majorBidi"/>
                <w:bCs/>
              </w:rPr>
              <w:t>’</w:t>
            </w:r>
            <w:r w:rsidRPr="003B5EA4">
              <w:rPr>
                <w:rFonts w:asciiTheme="majorBidi" w:hAnsiTheme="majorBidi" w:cstheme="majorBidi"/>
                <w:bCs/>
              </w:rPr>
              <w:t xml:space="preserve">indemnité journalière de subsistance si le logement et les repas sont fournis.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63 dollars É.-U. pour New York, 38 dollars É.-U. ailleurs</w:t>
            </w:r>
            <w:r w:rsidR="00BF0B8F">
              <w:rPr>
                <w:rFonts w:asciiTheme="majorBidi" w:hAnsiTheme="majorBidi" w:cstheme="majorBidi"/>
                <w:bCs/>
              </w:rPr>
              <w:t> ;</w:t>
            </w:r>
            <w:r w:rsidRPr="003B5EA4">
              <w:rPr>
                <w:rFonts w:asciiTheme="majorBidi" w:hAnsiTheme="majorBidi" w:cstheme="majorBidi"/>
                <w:bCs/>
              </w:rPr>
              <w:t xml:space="preserve"> 11 dollars É.-U. si un véhicule de l</w:t>
            </w:r>
            <w:r w:rsidR="00762E0A">
              <w:rPr>
                <w:rFonts w:asciiTheme="majorBidi" w:hAnsiTheme="majorBidi" w:cstheme="majorBidi"/>
                <w:bCs/>
              </w:rPr>
              <w:t>’</w:t>
            </w:r>
            <w:r w:rsidRPr="003B5EA4">
              <w:rPr>
                <w:rFonts w:asciiTheme="majorBidi" w:hAnsiTheme="majorBidi" w:cstheme="majorBidi"/>
                <w:bCs/>
              </w:rPr>
              <w:t>ONU est fourni</w:t>
            </w:r>
            <w:r w:rsidR="00BF0B8F">
              <w:rPr>
                <w:rFonts w:asciiTheme="majorBidi" w:hAnsiTheme="majorBidi" w:cstheme="majorBidi"/>
                <w:bCs/>
              </w:rPr>
              <w:t> ;</w:t>
            </w:r>
            <w:r w:rsidRPr="003B5EA4">
              <w:rPr>
                <w:rFonts w:asciiTheme="majorBidi" w:hAnsiTheme="majorBidi" w:cstheme="majorBidi"/>
                <w:bCs/>
              </w:rPr>
              <w:t xml:space="preserve"> dépenses effectivement encourues si leur montant dépasse d</w:t>
            </w:r>
            <w:r w:rsidR="00762E0A">
              <w:rPr>
                <w:rFonts w:asciiTheme="majorBidi" w:hAnsiTheme="majorBidi" w:cstheme="majorBidi"/>
                <w:bCs/>
              </w:rPr>
              <w:t>’</w:t>
            </w:r>
            <w:r w:rsidRPr="003B5EA4">
              <w:rPr>
                <w:rFonts w:asciiTheme="majorBidi" w:hAnsiTheme="majorBidi" w:cstheme="majorBidi"/>
                <w:bCs/>
              </w:rPr>
              <w:t>au moins 10 dollars É.-U. les montants visés ci-dessus.</w:t>
            </w:r>
          </w:p>
        </w:tc>
      </w:tr>
      <w:tr w:rsidR="00003D31" w:rsidRPr="003B5EA4" w:rsidTr="00F167A1">
        <w:trPr>
          <w:trHeight w:val="240"/>
        </w:trPr>
        <w:tc>
          <w:tcPr>
            <w:tcW w:w="1304" w:type="dxa"/>
            <w:tcBorders>
              <w:bottom w:val="nil"/>
            </w:tcBorders>
            <w:shd w:val="clear" w:color="auto" w:fill="auto"/>
          </w:tcPr>
          <w:p w:rsidR="00003D31" w:rsidRPr="003B5EA4" w:rsidRDefault="00003D31" w:rsidP="00003D31">
            <w:pPr>
              <w:suppressAutoHyphens w:val="0"/>
              <w:spacing w:before="40" w:after="120"/>
            </w:pPr>
            <w:r w:rsidRPr="003B5EA4">
              <w:t>UNRWA</w:t>
            </w:r>
          </w:p>
        </w:tc>
        <w:tc>
          <w:tcPr>
            <w:tcW w:w="12474" w:type="dxa"/>
            <w:tcBorders>
              <w:bottom w:val="nil"/>
            </w:tcBorders>
            <w:shd w:val="clear" w:color="auto" w:fill="auto"/>
          </w:tcPr>
          <w:p w:rsidR="00003D31" w:rsidRPr="003B5EA4" w:rsidRDefault="00003D31" w:rsidP="006C6A2F">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50 % de l</w:t>
            </w:r>
            <w:r w:rsidR="00762E0A">
              <w:rPr>
                <w:rFonts w:asciiTheme="majorBidi" w:hAnsiTheme="majorBidi" w:cstheme="majorBidi"/>
                <w:bCs/>
              </w:rPr>
              <w:t>’</w:t>
            </w:r>
            <w:r w:rsidRPr="003B5EA4">
              <w:rPr>
                <w:rFonts w:asciiTheme="majorBidi" w:hAnsiTheme="majorBidi" w:cstheme="majorBidi"/>
                <w:bCs/>
              </w:rPr>
              <w:t>hébergement, 10 % par repas (</w:t>
            </w:r>
            <w:r w:rsidRPr="003B5EA4">
              <w:rPr>
                <w:rFonts w:asciiTheme="majorBidi" w:hAnsiTheme="majorBidi" w:cstheme="majorBidi"/>
              </w:rPr>
              <w:t>petit</w:t>
            </w:r>
            <w:r w:rsidR="00FC3E1D">
              <w:rPr>
                <w:rFonts w:asciiTheme="majorBidi" w:hAnsiTheme="majorBidi" w:cstheme="majorBidi"/>
              </w:rPr>
              <w:t>-</w:t>
            </w:r>
            <w:r w:rsidRPr="003B5EA4">
              <w:rPr>
                <w:rFonts w:asciiTheme="majorBidi" w:hAnsiTheme="majorBidi" w:cstheme="majorBidi"/>
              </w:rPr>
              <w:t>déjeuner, déjeuner et dîner</w:t>
            </w:r>
            <w:r w:rsidRPr="003B5EA4">
              <w:rPr>
                <w:rFonts w:asciiTheme="majorBidi" w:hAnsiTheme="majorBidi" w:cstheme="majorBidi"/>
                <w:bCs/>
              </w:rPr>
              <w:t xml:space="preserve">), 20 % pour frais divers (comme prévu par </w:t>
            </w:r>
            <w:r w:rsidR="006C6A2F">
              <w:rPr>
                <w:rFonts w:asciiTheme="majorBidi" w:hAnsiTheme="majorBidi" w:cstheme="majorBidi"/>
                <w:bCs/>
              </w:rPr>
              <w:t xml:space="preserve">l’instruction administrative </w:t>
            </w:r>
            <w:r w:rsidRPr="003B5EA4">
              <w:rPr>
                <w:rFonts w:asciiTheme="majorBidi" w:hAnsiTheme="majorBidi" w:cstheme="majorBidi"/>
                <w:bCs/>
              </w:rPr>
              <w:t>ASI 1/2016 par. 6.4) ; pour les déplacements d</w:t>
            </w:r>
            <w:r w:rsidR="00762E0A">
              <w:rPr>
                <w:rFonts w:asciiTheme="majorBidi" w:hAnsiTheme="majorBidi" w:cstheme="majorBidi"/>
                <w:bCs/>
              </w:rPr>
              <w:t>’</w:t>
            </w:r>
            <w:r w:rsidRPr="003B5EA4">
              <w:rPr>
                <w:rFonts w:asciiTheme="majorBidi" w:hAnsiTheme="majorBidi" w:cstheme="majorBidi"/>
                <w:bCs/>
              </w:rPr>
              <w:t>une journée dans la zone d</w:t>
            </w:r>
            <w:r w:rsidR="00762E0A">
              <w:rPr>
                <w:rFonts w:asciiTheme="majorBidi" w:hAnsiTheme="majorBidi" w:cstheme="majorBidi"/>
                <w:bCs/>
              </w:rPr>
              <w:t>’</w:t>
            </w:r>
            <w:r w:rsidRPr="003B5EA4">
              <w:rPr>
                <w:rFonts w:asciiTheme="majorBidi" w:hAnsiTheme="majorBidi" w:cstheme="majorBidi"/>
                <w:bCs/>
              </w:rPr>
              <w:t>opérations, sans nuit hors du lieu d</w:t>
            </w:r>
            <w:r w:rsidR="00762E0A">
              <w:rPr>
                <w:rFonts w:asciiTheme="majorBidi" w:hAnsiTheme="majorBidi" w:cstheme="majorBidi"/>
                <w:bCs/>
              </w:rPr>
              <w:t>’</w:t>
            </w:r>
            <w:r w:rsidRPr="003B5EA4">
              <w:rPr>
                <w:rFonts w:asciiTheme="majorBidi" w:hAnsiTheme="majorBidi" w:cstheme="majorBidi"/>
                <w:bCs/>
              </w:rPr>
              <w:t>affectation, pas d</w:t>
            </w:r>
            <w:r w:rsidR="00762E0A">
              <w:rPr>
                <w:rFonts w:asciiTheme="majorBidi" w:hAnsiTheme="majorBidi" w:cstheme="majorBidi"/>
                <w:bCs/>
              </w:rPr>
              <w:t>’</w:t>
            </w:r>
            <w:r w:rsidRPr="003B5EA4">
              <w:rPr>
                <w:rFonts w:asciiTheme="majorBidi" w:hAnsiTheme="majorBidi" w:cstheme="majorBidi"/>
                <w:bCs/>
              </w:rPr>
              <w:t xml:space="preserve">indemnité journalière de subsistance pour le personnel international ; indemnité de repas pour le personnel local. </w:t>
            </w:r>
            <w:r w:rsidRPr="006165E2">
              <w:rPr>
                <w:rFonts w:asciiTheme="majorBidi" w:hAnsiTheme="majorBidi" w:cstheme="majorBidi"/>
                <w:b/>
                <w:bCs/>
              </w:rPr>
              <w:t>Frais au départ et à l</w:t>
            </w:r>
            <w:r w:rsidR="00762E0A" w:rsidRPr="006165E2">
              <w:rPr>
                <w:rFonts w:asciiTheme="majorBidi" w:hAnsiTheme="majorBidi" w:cstheme="majorBidi"/>
                <w:b/>
                <w:bCs/>
              </w:rPr>
              <w:t>’</w:t>
            </w:r>
            <w:r w:rsidRPr="006165E2">
              <w:rPr>
                <w:rFonts w:asciiTheme="majorBidi" w:hAnsiTheme="majorBidi" w:cstheme="majorBidi"/>
                <w:b/>
                <w:bCs/>
              </w:rPr>
              <w:t>arrivée :</w:t>
            </w:r>
            <w:r w:rsidRPr="003B5EA4">
              <w:rPr>
                <w:rFonts w:asciiTheme="majorBidi" w:hAnsiTheme="majorBidi" w:cstheme="majorBidi"/>
                <w:bCs/>
              </w:rPr>
              <w:t xml:space="preserve"> </w:t>
            </w:r>
            <w:r w:rsidR="006C6A2F">
              <w:rPr>
                <w:rFonts w:asciiTheme="majorBidi" w:hAnsiTheme="majorBidi" w:cstheme="majorBidi"/>
                <w:bCs/>
              </w:rPr>
              <w:t>p</w:t>
            </w:r>
            <w:r w:rsidRPr="003B5EA4">
              <w:rPr>
                <w:rFonts w:asciiTheme="majorBidi" w:hAnsiTheme="majorBidi" w:cstheme="majorBidi"/>
                <w:bCs/>
              </w:rPr>
              <w:t>our les fonctionnaires et non-fonctionnaires : 63 dollars É.-U. pour New York, 38 dollars É.-U. ailleurs, 11 dollars É.-U. si le transport est fourni ; somme forfaitaire pour les déplacements par voie terrestre à l</w:t>
            </w:r>
            <w:r w:rsidR="00762E0A">
              <w:rPr>
                <w:rFonts w:asciiTheme="majorBidi" w:hAnsiTheme="majorBidi" w:cstheme="majorBidi"/>
                <w:bCs/>
              </w:rPr>
              <w:t>’</w:t>
            </w:r>
            <w:r w:rsidRPr="003B5EA4">
              <w:rPr>
                <w:rFonts w:asciiTheme="majorBidi" w:hAnsiTheme="majorBidi" w:cstheme="majorBidi"/>
                <w:bCs/>
              </w:rPr>
              <w:t>intérieur de la zone d</w:t>
            </w:r>
            <w:r w:rsidR="00762E0A">
              <w:rPr>
                <w:rFonts w:asciiTheme="majorBidi" w:hAnsiTheme="majorBidi" w:cstheme="majorBidi"/>
                <w:bCs/>
              </w:rPr>
              <w:t>’</w:t>
            </w:r>
            <w:r w:rsidRPr="003B5EA4">
              <w:rPr>
                <w:rFonts w:asciiTheme="majorBidi" w:hAnsiTheme="majorBidi" w:cstheme="majorBidi"/>
                <w:bCs/>
              </w:rPr>
              <w:t>opérations de l</w:t>
            </w:r>
            <w:r w:rsidR="00762E0A">
              <w:rPr>
                <w:rFonts w:asciiTheme="majorBidi" w:hAnsiTheme="majorBidi" w:cstheme="majorBidi"/>
                <w:bCs/>
              </w:rPr>
              <w:t>’</w:t>
            </w:r>
            <w:r w:rsidRPr="003B5EA4">
              <w:rPr>
                <w:rFonts w:asciiTheme="majorBidi" w:hAnsiTheme="majorBidi" w:cstheme="majorBidi"/>
                <w:bCs/>
              </w:rPr>
              <w:t xml:space="preserve"> UNRWA : pont (pour les déplacements entre Gaza et Amman − pour le personnel en poste à Gaza) : 145 dollars É.-U. ; pont (pour les déplacements entre la Cisjordanie et Amman) : 80 dollars É.-U. ; Rafah (pour les déplacements routiers à destination et au départ du Caire) : 160 dollars É.-U.</w:t>
            </w:r>
          </w:p>
        </w:tc>
      </w:tr>
      <w:tr w:rsidR="00003D31" w:rsidRPr="003B5EA4" w:rsidTr="00F167A1">
        <w:trPr>
          <w:trHeight w:val="240"/>
        </w:trPr>
        <w:tc>
          <w:tcPr>
            <w:tcW w:w="1304" w:type="dxa"/>
            <w:tcBorders>
              <w:top w:val="nil"/>
              <w:bottom w:val="single" w:sz="12" w:space="0" w:color="auto"/>
            </w:tcBorders>
            <w:shd w:val="clear" w:color="auto" w:fill="auto"/>
          </w:tcPr>
          <w:p w:rsidR="00003D31" w:rsidRPr="003B5EA4" w:rsidRDefault="00003D31" w:rsidP="00003D31">
            <w:pPr>
              <w:suppressAutoHyphens w:val="0"/>
              <w:spacing w:before="40" w:after="120"/>
            </w:pPr>
            <w:r w:rsidRPr="003B5EA4">
              <w:t>UPU</w:t>
            </w:r>
          </w:p>
        </w:tc>
        <w:tc>
          <w:tcPr>
            <w:tcW w:w="12474" w:type="dxa"/>
            <w:tcBorders>
              <w:top w:val="nil"/>
              <w:bottom w:val="single" w:sz="12" w:space="0" w:color="auto"/>
            </w:tcBorders>
            <w:shd w:val="clear" w:color="auto" w:fill="auto"/>
          </w:tcPr>
          <w:p w:rsidR="00003D31" w:rsidRPr="003B5EA4" w:rsidRDefault="00003D31" w:rsidP="00003D31">
            <w:pPr>
              <w:suppressAutoHyphens w:val="0"/>
              <w:spacing w:before="40" w:after="120"/>
            </w:pPr>
            <w:r w:rsidRPr="003B5EA4">
              <w:rPr>
                <w:rFonts w:asciiTheme="majorBidi" w:hAnsiTheme="majorBidi" w:cstheme="majorBidi"/>
                <w:b/>
                <w:bCs/>
              </w:rPr>
              <w:t>Indemnité journalière de subsistance :</w:t>
            </w:r>
            <w:r w:rsidRPr="003B5EA4">
              <w:rPr>
                <w:rFonts w:asciiTheme="majorBidi" w:hAnsiTheme="majorBidi" w:cstheme="majorBidi"/>
                <w:bCs/>
              </w:rPr>
              <w:t xml:space="preserve"> en conformité avec les taux de la CFPI. </w:t>
            </w:r>
            <w:r w:rsidRPr="003B5EA4">
              <w:rPr>
                <w:rFonts w:asciiTheme="majorBidi" w:hAnsiTheme="majorBidi" w:cstheme="majorBidi"/>
                <w:b/>
                <w:bCs/>
              </w:rPr>
              <w:t>Frais au départ et à l</w:t>
            </w:r>
            <w:r w:rsidR="00762E0A">
              <w:rPr>
                <w:rFonts w:asciiTheme="majorBidi" w:hAnsiTheme="majorBidi" w:cstheme="majorBidi"/>
                <w:b/>
                <w:bCs/>
              </w:rPr>
              <w:t>’</w:t>
            </w:r>
            <w:r w:rsidRPr="003B5EA4">
              <w:rPr>
                <w:rFonts w:asciiTheme="majorBidi" w:hAnsiTheme="majorBidi" w:cstheme="majorBidi"/>
                <w:b/>
                <w:bCs/>
              </w:rPr>
              <w:t>arrivée :</w:t>
            </w:r>
            <w:r w:rsidRPr="003B5EA4">
              <w:rPr>
                <w:rFonts w:asciiTheme="majorBidi" w:hAnsiTheme="majorBidi" w:cstheme="majorBidi"/>
                <w:bCs/>
              </w:rPr>
              <w:t xml:space="preserve"> 100 %.</w:t>
            </w:r>
          </w:p>
        </w:tc>
      </w:tr>
    </w:tbl>
    <w:p w:rsidR="007041E2" w:rsidRPr="003B5EA4" w:rsidRDefault="007041E2" w:rsidP="007041E2">
      <w:pPr>
        <w:spacing w:before="120"/>
        <w:ind w:left="284" w:right="284" w:firstLine="170"/>
        <w:rPr>
          <w:sz w:val="18"/>
          <w:szCs w:val="18"/>
        </w:rPr>
      </w:pPr>
      <w:r w:rsidRPr="003B5EA4">
        <w:rPr>
          <w:i/>
          <w:sz w:val="18"/>
          <w:szCs w:val="18"/>
        </w:rPr>
        <w:t>Source</w:t>
      </w:r>
      <w:r w:rsidRPr="003B5EA4">
        <w:rPr>
          <w:sz w:val="18"/>
          <w:szCs w:val="18"/>
        </w:rPr>
        <w:t xml:space="preserve"> : </w:t>
      </w:r>
      <w:r w:rsidR="00030FEC">
        <w:rPr>
          <w:sz w:val="18"/>
          <w:szCs w:val="18"/>
        </w:rPr>
        <w:t>Documents sur les p</w:t>
      </w:r>
      <w:r w:rsidRPr="003B5EA4">
        <w:rPr>
          <w:sz w:val="18"/>
          <w:szCs w:val="18"/>
        </w:rPr>
        <w:t xml:space="preserve">olitiques des </w:t>
      </w:r>
      <w:r w:rsidR="00923AEC">
        <w:rPr>
          <w:sz w:val="18"/>
          <w:szCs w:val="18"/>
        </w:rPr>
        <w:t>organismes</w:t>
      </w:r>
      <w:r w:rsidRPr="003B5EA4">
        <w:rPr>
          <w:sz w:val="18"/>
          <w:szCs w:val="18"/>
        </w:rPr>
        <w:t>.</w:t>
      </w:r>
    </w:p>
    <w:p w:rsidR="000B5170" w:rsidRDefault="007041E2" w:rsidP="007041E2">
      <w:pPr>
        <w:ind w:left="284" w:right="284" w:firstLine="170"/>
        <w:rPr>
          <w:sz w:val="18"/>
          <w:szCs w:val="18"/>
        </w:rPr>
      </w:pPr>
      <w:r w:rsidRPr="003B5EA4">
        <w:rPr>
          <w:i/>
          <w:sz w:val="18"/>
          <w:szCs w:val="18"/>
        </w:rPr>
        <w:t>Note</w:t>
      </w:r>
      <w:r w:rsidRPr="003B5EA4">
        <w:rPr>
          <w:sz w:val="18"/>
          <w:szCs w:val="18"/>
        </w:rPr>
        <w:t xml:space="preserve"> : </w:t>
      </w:r>
      <w:r w:rsidR="009122D6">
        <w:rPr>
          <w:sz w:val="18"/>
          <w:szCs w:val="18"/>
        </w:rPr>
        <w:t xml:space="preserve">Aucune </w:t>
      </w:r>
      <w:r w:rsidRPr="003B5EA4">
        <w:rPr>
          <w:sz w:val="18"/>
          <w:szCs w:val="18"/>
        </w:rPr>
        <w:t>information</w:t>
      </w:r>
      <w:r w:rsidR="00030FEC">
        <w:rPr>
          <w:sz w:val="18"/>
          <w:szCs w:val="18"/>
        </w:rPr>
        <w:t xml:space="preserve"> disponible</w:t>
      </w:r>
      <w:r w:rsidRPr="003B5EA4">
        <w:rPr>
          <w:sz w:val="18"/>
          <w:szCs w:val="18"/>
        </w:rPr>
        <w:t xml:space="preserve"> pour la CNUCED, l</w:t>
      </w:r>
      <w:r w:rsidR="00762E0A">
        <w:rPr>
          <w:sz w:val="18"/>
          <w:szCs w:val="18"/>
        </w:rPr>
        <w:t>’</w:t>
      </w:r>
      <w:r w:rsidRPr="003B5EA4">
        <w:rPr>
          <w:sz w:val="18"/>
          <w:szCs w:val="18"/>
        </w:rPr>
        <w:t>OMS, ONU-Habitat, l</w:t>
      </w:r>
      <w:r w:rsidR="00762E0A">
        <w:rPr>
          <w:sz w:val="18"/>
          <w:szCs w:val="18"/>
        </w:rPr>
        <w:t>’</w:t>
      </w:r>
      <w:r w:rsidRPr="003B5EA4">
        <w:rPr>
          <w:sz w:val="18"/>
          <w:szCs w:val="18"/>
        </w:rPr>
        <w:t>ONUDC et le PAM.</w:t>
      </w:r>
    </w:p>
    <w:p w:rsidR="009A0D93" w:rsidRDefault="009A0D93" w:rsidP="007041E2">
      <w:pPr>
        <w:ind w:left="284" w:right="284" w:firstLine="170"/>
        <w:rPr>
          <w:sz w:val="18"/>
          <w:szCs w:val="18"/>
        </w:rPr>
      </w:pPr>
    </w:p>
    <w:p w:rsidR="009A0D93" w:rsidRPr="003B5EA4" w:rsidRDefault="009A0D93" w:rsidP="007041E2">
      <w:pPr>
        <w:ind w:left="284" w:right="284" w:firstLine="170"/>
        <w:rPr>
          <w:sz w:val="18"/>
          <w:szCs w:val="18"/>
        </w:rPr>
        <w:sectPr w:rsidR="009A0D93" w:rsidRPr="003B5EA4" w:rsidSect="002A5753">
          <w:headerReference w:type="even" r:id="rId48"/>
          <w:headerReference w:type="default" r:id="rId49"/>
          <w:footerReference w:type="even" r:id="rId50"/>
          <w:footerReference w:type="default" r:id="rId51"/>
          <w:endnotePr>
            <w:numFmt w:val="decimal"/>
          </w:endnotePr>
          <w:pgSz w:w="16838" w:h="11906" w:orient="landscape" w:code="9"/>
          <w:pgMar w:top="1134" w:right="1417" w:bottom="1134" w:left="1134" w:header="567" w:footer="567" w:gutter="0"/>
          <w:cols w:space="708"/>
          <w:docGrid w:linePitch="360"/>
        </w:sectPr>
      </w:pPr>
    </w:p>
    <w:p w:rsidR="000B5170" w:rsidRPr="003B5EA4" w:rsidRDefault="00E678F6" w:rsidP="00E678F6">
      <w:pPr>
        <w:pStyle w:val="HChG"/>
      </w:pPr>
      <w:r w:rsidRPr="003B5EA4">
        <w:lastRenderedPageBreak/>
        <w:t>Annexe XII</w:t>
      </w:r>
    </w:p>
    <w:p w:rsidR="00E678F6" w:rsidRPr="003B5EA4" w:rsidRDefault="00E678F6" w:rsidP="00E678F6">
      <w:pPr>
        <w:pStyle w:val="HChG"/>
      </w:pPr>
      <w:r w:rsidRPr="003B5EA4">
        <w:tab/>
      </w:r>
      <w:r w:rsidRPr="003B5EA4">
        <w:tab/>
        <w:t>Escales et périodes de repos</w:t>
      </w:r>
    </w:p>
    <w:tbl>
      <w:tblPr>
        <w:tblW w:w="9637" w:type="dxa"/>
        <w:tblBorders>
          <w:top w:val="single" w:sz="4" w:space="0" w:color="auto"/>
        </w:tblBorders>
        <w:tblLayout w:type="fixed"/>
        <w:tblCellMar>
          <w:left w:w="0" w:type="dxa"/>
          <w:right w:w="0" w:type="dxa"/>
        </w:tblCellMar>
        <w:tblLook w:val="04A0" w:firstRow="1" w:lastRow="0" w:firstColumn="1" w:lastColumn="0" w:noHBand="0" w:noVBand="1"/>
      </w:tblPr>
      <w:tblGrid>
        <w:gridCol w:w="1701"/>
        <w:gridCol w:w="2552"/>
        <w:gridCol w:w="1843"/>
        <w:gridCol w:w="708"/>
        <w:gridCol w:w="2833"/>
      </w:tblGrid>
      <w:tr w:rsidR="00E4308E" w:rsidRPr="003B5EA4" w:rsidTr="00B47843">
        <w:trPr>
          <w:trHeight w:val="240"/>
          <w:tblHeader/>
        </w:trPr>
        <w:tc>
          <w:tcPr>
            <w:tcW w:w="1701" w:type="dxa"/>
            <w:tcBorders>
              <w:top w:val="single" w:sz="4" w:space="0" w:color="auto"/>
              <w:bottom w:val="single" w:sz="12" w:space="0" w:color="auto"/>
            </w:tcBorders>
            <w:shd w:val="clear" w:color="auto" w:fill="auto"/>
            <w:noWrap/>
            <w:vAlign w:val="bottom"/>
            <w:hideMark/>
          </w:tcPr>
          <w:p w:rsidR="00E4308E" w:rsidRPr="003B5EA4" w:rsidRDefault="00A95746" w:rsidP="009612B8">
            <w:pPr>
              <w:suppressAutoHyphens w:val="0"/>
              <w:spacing w:before="80" w:after="80" w:line="200" w:lineRule="exact"/>
              <w:rPr>
                <w:i/>
                <w:sz w:val="16"/>
              </w:rPr>
            </w:pPr>
            <w:r w:rsidRPr="003B5EA4">
              <w:rPr>
                <w:i/>
                <w:sz w:val="16"/>
              </w:rPr>
              <w:t>Organisme</w:t>
            </w:r>
          </w:p>
        </w:tc>
        <w:tc>
          <w:tcPr>
            <w:tcW w:w="2552" w:type="dxa"/>
            <w:tcBorders>
              <w:top w:val="single" w:sz="4" w:space="0" w:color="auto"/>
              <w:bottom w:val="single" w:sz="12" w:space="0" w:color="auto"/>
            </w:tcBorders>
            <w:shd w:val="clear" w:color="auto" w:fill="auto"/>
            <w:noWrap/>
            <w:vAlign w:val="bottom"/>
            <w:hideMark/>
          </w:tcPr>
          <w:p w:rsidR="00E4308E" w:rsidRPr="003B5EA4" w:rsidRDefault="00A95746" w:rsidP="009612B8">
            <w:pPr>
              <w:suppressAutoHyphens w:val="0"/>
              <w:spacing w:before="80" w:after="80" w:line="200" w:lineRule="exact"/>
              <w:rPr>
                <w:i/>
                <w:sz w:val="16"/>
              </w:rPr>
            </w:pPr>
            <w:r w:rsidRPr="003B5EA4">
              <w:rPr>
                <w:i/>
                <w:sz w:val="16"/>
              </w:rPr>
              <w:t>Durée du voyage</w:t>
            </w:r>
          </w:p>
        </w:tc>
        <w:tc>
          <w:tcPr>
            <w:tcW w:w="1843" w:type="dxa"/>
            <w:tcBorders>
              <w:top w:val="single" w:sz="4" w:space="0" w:color="auto"/>
              <w:bottom w:val="single" w:sz="12" w:space="0" w:color="auto"/>
            </w:tcBorders>
            <w:shd w:val="clear" w:color="auto" w:fill="auto"/>
            <w:noWrap/>
            <w:vAlign w:val="bottom"/>
            <w:hideMark/>
          </w:tcPr>
          <w:p w:rsidR="00E4308E" w:rsidRPr="003B5EA4" w:rsidRDefault="00A95746" w:rsidP="009612B8">
            <w:pPr>
              <w:suppressAutoHyphens w:val="0"/>
              <w:spacing w:before="80" w:after="80" w:line="200" w:lineRule="exact"/>
              <w:rPr>
                <w:i/>
                <w:sz w:val="16"/>
              </w:rPr>
            </w:pPr>
            <w:r w:rsidRPr="003B5EA4">
              <w:rPr>
                <w:i/>
                <w:sz w:val="16"/>
              </w:rPr>
              <w:t>Escales</w:t>
            </w:r>
          </w:p>
        </w:tc>
        <w:tc>
          <w:tcPr>
            <w:tcW w:w="708" w:type="dxa"/>
            <w:tcBorders>
              <w:top w:val="single" w:sz="4" w:space="0" w:color="auto"/>
              <w:bottom w:val="single" w:sz="12" w:space="0" w:color="auto"/>
            </w:tcBorders>
            <w:shd w:val="clear" w:color="auto" w:fill="auto"/>
            <w:noWrap/>
            <w:vAlign w:val="bottom"/>
            <w:hideMark/>
          </w:tcPr>
          <w:p w:rsidR="00E4308E" w:rsidRPr="003B5EA4" w:rsidRDefault="00A95746" w:rsidP="009612B8">
            <w:pPr>
              <w:suppressAutoHyphens w:val="0"/>
              <w:spacing w:before="80" w:after="80" w:line="200" w:lineRule="exact"/>
              <w:rPr>
                <w:i/>
                <w:sz w:val="16"/>
              </w:rPr>
            </w:pPr>
            <w:r w:rsidRPr="003B5EA4">
              <w:rPr>
                <w:i/>
                <w:sz w:val="16"/>
              </w:rPr>
              <w:t>et/ou</w:t>
            </w:r>
          </w:p>
        </w:tc>
        <w:tc>
          <w:tcPr>
            <w:tcW w:w="2833" w:type="dxa"/>
            <w:tcBorders>
              <w:top w:val="single" w:sz="4" w:space="0" w:color="auto"/>
              <w:bottom w:val="single" w:sz="12" w:space="0" w:color="auto"/>
            </w:tcBorders>
            <w:shd w:val="clear" w:color="auto" w:fill="auto"/>
            <w:tcMar>
              <w:right w:w="28" w:type="dxa"/>
            </w:tcMar>
            <w:vAlign w:val="bottom"/>
            <w:hideMark/>
          </w:tcPr>
          <w:p w:rsidR="00E4308E" w:rsidRPr="003B5EA4" w:rsidRDefault="00A95746" w:rsidP="009612B8">
            <w:pPr>
              <w:suppressAutoHyphens w:val="0"/>
              <w:spacing w:before="80" w:after="80" w:line="200" w:lineRule="exact"/>
              <w:rPr>
                <w:i/>
                <w:sz w:val="16"/>
              </w:rPr>
            </w:pPr>
            <w:r w:rsidRPr="003B5EA4">
              <w:rPr>
                <w:bCs/>
                <w:i/>
                <w:sz w:val="16"/>
              </w:rPr>
              <w:t>Période de repos à l</w:t>
            </w:r>
            <w:r w:rsidR="00762E0A">
              <w:rPr>
                <w:bCs/>
                <w:i/>
                <w:sz w:val="16"/>
              </w:rPr>
              <w:t>’</w:t>
            </w:r>
            <w:r w:rsidRPr="003B5EA4">
              <w:rPr>
                <w:bCs/>
                <w:i/>
                <w:sz w:val="16"/>
              </w:rPr>
              <w:t>arrivée</w:t>
            </w:r>
          </w:p>
        </w:tc>
      </w:tr>
      <w:tr w:rsidR="00E4308E" w:rsidRPr="003B5EA4" w:rsidTr="00B47843">
        <w:trPr>
          <w:trHeight w:hRule="exact" w:val="113"/>
          <w:tblHeader/>
        </w:trPr>
        <w:tc>
          <w:tcPr>
            <w:tcW w:w="1701" w:type="dxa"/>
            <w:tcBorders>
              <w:top w:val="single" w:sz="12" w:space="0" w:color="auto"/>
              <w:bottom w:val="nil"/>
            </w:tcBorders>
            <w:shd w:val="clear" w:color="auto" w:fill="auto"/>
            <w:noWrap/>
          </w:tcPr>
          <w:p w:rsidR="00E4308E" w:rsidRPr="003B5EA4" w:rsidRDefault="00E4308E" w:rsidP="009612B8">
            <w:pPr>
              <w:suppressAutoHyphens w:val="0"/>
              <w:spacing w:before="40" w:after="120"/>
            </w:pPr>
          </w:p>
        </w:tc>
        <w:tc>
          <w:tcPr>
            <w:tcW w:w="2552" w:type="dxa"/>
            <w:tcBorders>
              <w:top w:val="single" w:sz="12" w:space="0" w:color="auto"/>
              <w:bottom w:val="nil"/>
            </w:tcBorders>
            <w:shd w:val="clear" w:color="auto" w:fill="auto"/>
            <w:noWrap/>
          </w:tcPr>
          <w:p w:rsidR="00E4308E" w:rsidRPr="003B5EA4" w:rsidRDefault="00E4308E" w:rsidP="009612B8">
            <w:pPr>
              <w:suppressAutoHyphens w:val="0"/>
              <w:spacing w:before="40" w:after="120"/>
            </w:pPr>
          </w:p>
        </w:tc>
        <w:tc>
          <w:tcPr>
            <w:tcW w:w="1843" w:type="dxa"/>
            <w:tcBorders>
              <w:top w:val="single" w:sz="12" w:space="0" w:color="auto"/>
              <w:bottom w:val="nil"/>
            </w:tcBorders>
            <w:shd w:val="clear" w:color="auto" w:fill="auto"/>
            <w:noWrap/>
          </w:tcPr>
          <w:p w:rsidR="00E4308E" w:rsidRPr="003B5EA4" w:rsidRDefault="00E4308E" w:rsidP="009612B8">
            <w:pPr>
              <w:suppressAutoHyphens w:val="0"/>
              <w:spacing w:before="40" w:after="120"/>
            </w:pPr>
          </w:p>
        </w:tc>
        <w:tc>
          <w:tcPr>
            <w:tcW w:w="708" w:type="dxa"/>
            <w:tcBorders>
              <w:top w:val="single" w:sz="12" w:space="0" w:color="auto"/>
              <w:bottom w:val="nil"/>
            </w:tcBorders>
            <w:shd w:val="clear" w:color="auto" w:fill="auto"/>
            <w:noWrap/>
          </w:tcPr>
          <w:p w:rsidR="00E4308E" w:rsidRPr="003B5EA4" w:rsidRDefault="00E4308E" w:rsidP="009612B8">
            <w:pPr>
              <w:suppressAutoHyphens w:val="0"/>
              <w:spacing w:before="40" w:after="120"/>
            </w:pPr>
          </w:p>
        </w:tc>
        <w:tc>
          <w:tcPr>
            <w:tcW w:w="2833" w:type="dxa"/>
            <w:tcBorders>
              <w:top w:val="single" w:sz="12" w:space="0" w:color="auto"/>
              <w:bottom w:val="nil"/>
            </w:tcBorders>
            <w:shd w:val="clear" w:color="auto" w:fill="auto"/>
            <w:noWrap/>
            <w:tcMar>
              <w:right w:w="28" w:type="dxa"/>
            </w:tcMar>
          </w:tcPr>
          <w:p w:rsidR="00E4308E" w:rsidRPr="003B5EA4" w:rsidRDefault="00E4308E" w:rsidP="009612B8">
            <w:pPr>
              <w:suppressAutoHyphens w:val="0"/>
              <w:spacing w:before="40" w:after="120"/>
            </w:pPr>
          </w:p>
        </w:tc>
      </w:tr>
      <w:tr w:rsidR="00847D81" w:rsidRPr="003B5EA4" w:rsidTr="00B47843">
        <w:trPr>
          <w:trHeight w:val="240"/>
        </w:trPr>
        <w:tc>
          <w:tcPr>
            <w:tcW w:w="1701" w:type="dxa"/>
            <w:vMerge w:val="restart"/>
            <w:tcBorders>
              <w:top w:val="nil"/>
            </w:tcBorders>
            <w:shd w:val="clear" w:color="auto" w:fill="auto"/>
            <w:noWrap/>
          </w:tcPr>
          <w:p w:rsidR="00847D81" w:rsidRPr="003B5EA4" w:rsidRDefault="00847D81" w:rsidP="00B47843">
            <w:pPr>
              <w:suppressAutoHyphens w:val="0"/>
              <w:spacing w:before="40" w:after="120"/>
            </w:pPr>
            <w:r w:rsidRPr="003B5EA4">
              <w:t>AIEA</w:t>
            </w:r>
          </w:p>
        </w:tc>
        <w:tc>
          <w:tcPr>
            <w:tcW w:w="2552" w:type="dxa"/>
            <w:tcBorders>
              <w:top w:val="nil"/>
            </w:tcBorders>
            <w:shd w:val="clear" w:color="auto" w:fill="auto"/>
            <w:noWrap/>
          </w:tcPr>
          <w:p w:rsidR="00847D81" w:rsidRPr="003B5EA4" w:rsidRDefault="00847D81" w:rsidP="00B47843">
            <w:pPr>
              <w:suppressAutoHyphens w:val="0"/>
              <w:spacing w:before="40" w:after="120"/>
            </w:pPr>
            <w:r w:rsidRPr="003B5EA4">
              <w:t>De 6 à 12 heures</w:t>
            </w:r>
          </w:p>
        </w:tc>
        <w:tc>
          <w:tcPr>
            <w:tcW w:w="1843" w:type="dxa"/>
            <w:tcBorders>
              <w:top w:val="nil"/>
            </w:tcBorders>
            <w:shd w:val="clear" w:color="auto" w:fill="auto"/>
            <w:noWrap/>
          </w:tcPr>
          <w:p w:rsidR="00847D81" w:rsidRPr="003B5EA4" w:rsidRDefault="00847D81" w:rsidP="00B47843">
            <w:pPr>
              <w:suppressAutoHyphens w:val="0"/>
              <w:spacing w:before="40" w:after="120"/>
            </w:pPr>
            <w:r w:rsidRPr="003B5EA4">
              <w:t>Pas d</w:t>
            </w:r>
            <w:r>
              <w:t>’</w:t>
            </w:r>
            <w:r w:rsidRPr="003B5EA4">
              <w:t>escale</w:t>
            </w:r>
          </w:p>
        </w:tc>
        <w:tc>
          <w:tcPr>
            <w:tcW w:w="708" w:type="dxa"/>
            <w:tcBorders>
              <w:top w:val="nil"/>
            </w:tcBorders>
            <w:shd w:val="clear" w:color="auto" w:fill="auto"/>
            <w:noWrap/>
          </w:tcPr>
          <w:p w:rsidR="00847D81" w:rsidRPr="003B5EA4" w:rsidRDefault="00847D81" w:rsidP="00B47843">
            <w:pPr>
              <w:suppressAutoHyphens w:val="0"/>
              <w:spacing w:before="40" w:after="120"/>
            </w:pPr>
          </w:p>
        </w:tc>
        <w:tc>
          <w:tcPr>
            <w:tcW w:w="2833" w:type="dxa"/>
            <w:tcBorders>
              <w:top w:val="nil"/>
            </w:tcBorders>
            <w:shd w:val="clear" w:color="auto" w:fill="auto"/>
            <w:noWrap/>
            <w:tcMar>
              <w:right w:w="28" w:type="dxa"/>
            </w:tcMar>
          </w:tcPr>
          <w:p w:rsidR="00847D81" w:rsidRPr="003B5EA4" w:rsidRDefault="00847D81" w:rsidP="00B47843">
            <w:pPr>
              <w:suppressAutoHyphens w:val="0"/>
              <w:spacing w:before="40" w:after="120"/>
            </w:pPr>
            <w:r w:rsidRPr="003B5EA4">
              <w:rPr>
                <w:color w:val="000000"/>
              </w:rPr>
              <w:t xml:space="preserve">Commencer le service le jour </w:t>
            </w:r>
            <w:r w:rsidRPr="003B5EA4">
              <w:rPr>
                <w:color w:val="000000"/>
              </w:rPr>
              <w:br/>
              <w:t>de l</w:t>
            </w:r>
            <w:r>
              <w:rPr>
                <w:color w:val="000000"/>
              </w:rPr>
              <w:t>’</w:t>
            </w:r>
            <w:r w:rsidRPr="003B5EA4">
              <w:rPr>
                <w:color w:val="000000"/>
              </w:rPr>
              <w:t>arrivée n</w:t>
            </w:r>
            <w:r>
              <w:rPr>
                <w:color w:val="000000"/>
              </w:rPr>
              <w:t>’</w:t>
            </w:r>
            <w:r w:rsidRPr="003B5EA4">
              <w:rPr>
                <w:color w:val="000000"/>
              </w:rPr>
              <w:t>est pas requis</w:t>
            </w:r>
          </w:p>
        </w:tc>
      </w:tr>
      <w:tr w:rsidR="00847D81" w:rsidRPr="003B5EA4" w:rsidTr="00D24B87">
        <w:trPr>
          <w:trHeight w:val="240"/>
        </w:trPr>
        <w:tc>
          <w:tcPr>
            <w:tcW w:w="1701" w:type="dxa"/>
            <w:vMerge/>
            <w:shd w:val="clear" w:color="auto" w:fill="auto"/>
            <w:noWrap/>
          </w:tcPr>
          <w:p w:rsidR="00847D81" w:rsidRPr="003B5EA4" w:rsidRDefault="00847D81" w:rsidP="00B47843">
            <w:pPr>
              <w:suppressAutoHyphens w:val="0"/>
              <w:spacing w:before="40" w:after="120"/>
            </w:pPr>
          </w:p>
        </w:tc>
        <w:tc>
          <w:tcPr>
            <w:tcW w:w="2552" w:type="dxa"/>
            <w:tcBorders>
              <w:top w:val="nil"/>
            </w:tcBorders>
            <w:shd w:val="clear" w:color="auto" w:fill="auto"/>
            <w:noWrap/>
          </w:tcPr>
          <w:p w:rsidR="00847D81" w:rsidRPr="003B5EA4" w:rsidRDefault="00847D81" w:rsidP="00B47843">
            <w:pPr>
              <w:suppressAutoHyphens w:val="0"/>
              <w:spacing w:before="40" w:after="120"/>
            </w:pPr>
            <w:r>
              <w:t>Plus de 12 heures</w:t>
            </w:r>
          </w:p>
        </w:tc>
        <w:tc>
          <w:tcPr>
            <w:tcW w:w="1843" w:type="dxa"/>
            <w:tcBorders>
              <w:top w:val="nil"/>
            </w:tcBorders>
            <w:shd w:val="clear" w:color="auto" w:fill="auto"/>
            <w:noWrap/>
          </w:tcPr>
          <w:p w:rsidR="00847D81" w:rsidRPr="003B5EA4" w:rsidRDefault="00847D81" w:rsidP="00B47843">
            <w:pPr>
              <w:suppressAutoHyphens w:val="0"/>
              <w:spacing w:before="40" w:after="120"/>
            </w:pPr>
            <w:r w:rsidRPr="003B5EA4">
              <w:t>Pas d</w:t>
            </w:r>
            <w:r>
              <w:t>’</w:t>
            </w:r>
            <w:r w:rsidRPr="003B5EA4">
              <w:t>escale</w:t>
            </w:r>
          </w:p>
        </w:tc>
        <w:tc>
          <w:tcPr>
            <w:tcW w:w="708" w:type="dxa"/>
            <w:tcBorders>
              <w:top w:val="nil"/>
            </w:tcBorders>
            <w:shd w:val="clear" w:color="auto" w:fill="auto"/>
            <w:noWrap/>
          </w:tcPr>
          <w:p w:rsidR="00847D81" w:rsidRPr="003B5EA4" w:rsidRDefault="00847D81" w:rsidP="00B47843">
            <w:pPr>
              <w:suppressAutoHyphens w:val="0"/>
              <w:spacing w:before="40" w:after="120"/>
            </w:pPr>
          </w:p>
        </w:tc>
        <w:tc>
          <w:tcPr>
            <w:tcW w:w="2833" w:type="dxa"/>
            <w:tcBorders>
              <w:top w:val="nil"/>
            </w:tcBorders>
            <w:shd w:val="clear" w:color="auto" w:fill="auto"/>
            <w:noWrap/>
            <w:tcMar>
              <w:right w:w="28" w:type="dxa"/>
            </w:tcMar>
          </w:tcPr>
          <w:p w:rsidR="00847D81" w:rsidRPr="003B5EA4" w:rsidRDefault="00BB3DD4" w:rsidP="00B47843">
            <w:pPr>
              <w:suppressAutoHyphens w:val="0"/>
              <w:spacing w:before="40" w:after="120"/>
              <w:rPr>
                <w:color w:val="000000"/>
              </w:rPr>
            </w:pPr>
            <w:r>
              <w:rPr>
                <w:color w:val="000000"/>
              </w:rPr>
              <w:t>24 heures</w:t>
            </w:r>
          </w:p>
        </w:tc>
      </w:tr>
      <w:tr w:rsidR="00601596" w:rsidRPr="003B5EA4" w:rsidTr="00B47843">
        <w:trPr>
          <w:trHeight w:val="240"/>
        </w:trPr>
        <w:tc>
          <w:tcPr>
            <w:tcW w:w="1701" w:type="dxa"/>
            <w:tcBorders>
              <w:top w:val="nil"/>
            </w:tcBorders>
            <w:shd w:val="clear" w:color="auto" w:fill="auto"/>
            <w:noWrap/>
          </w:tcPr>
          <w:p w:rsidR="00601596" w:rsidRPr="003B5EA4" w:rsidRDefault="00601596" w:rsidP="00601596">
            <w:pPr>
              <w:suppressAutoHyphens w:val="0"/>
              <w:spacing w:before="40" w:after="120"/>
            </w:pPr>
            <w:r w:rsidRPr="003B5EA4">
              <w:t>CCI*</w:t>
            </w:r>
          </w:p>
        </w:tc>
        <w:tc>
          <w:tcPr>
            <w:tcW w:w="2552" w:type="dxa"/>
            <w:tcBorders>
              <w:top w:val="nil"/>
            </w:tcBorders>
            <w:shd w:val="clear" w:color="auto" w:fill="auto"/>
            <w:noWrap/>
          </w:tcPr>
          <w:p w:rsidR="00601596" w:rsidRPr="003B5EA4" w:rsidRDefault="00601596" w:rsidP="00601596">
            <w:pPr>
              <w:suppressAutoHyphens w:val="0"/>
              <w:spacing w:before="40" w:after="120"/>
            </w:pPr>
            <w:r w:rsidRPr="003B5EA4">
              <w:t>Plus de 6 heures</w:t>
            </w:r>
          </w:p>
        </w:tc>
        <w:tc>
          <w:tcPr>
            <w:tcW w:w="1843" w:type="dxa"/>
            <w:tcBorders>
              <w:top w:val="nil"/>
            </w:tcBorders>
            <w:shd w:val="clear" w:color="auto" w:fill="auto"/>
            <w:noWrap/>
          </w:tcPr>
          <w:p w:rsidR="00601596" w:rsidRPr="003B5EA4" w:rsidRDefault="00601596" w:rsidP="00601596">
            <w:pPr>
              <w:suppressAutoHyphens w:val="0"/>
              <w:spacing w:before="40" w:after="120"/>
            </w:pPr>
            <w:r w:rsidRPr="003B5EA4">
              <w:t>Pas d</w:t>
            </w:r>
            <w:r w:rsidR="00762E0A">
              <w:t>’</w:t>
            </w:r>
            <w:r w:rsidRPr="003B5EA4">
              <w:t>escale</w:t>
            </w:r>
          </w:p>
        </w:tc>
        <w:tc>
          <w:tcPr>
            <w:tcW w:w="708" w:type="dxa"/>
            <w:tcBorders>
              <w:top w:val="nil"/>
            </w:tcBorders>
            <w:shd w:val="clear" w:color="auto" w:fill="auto"/>
            <w:noWrap/>
          </w:tcPr>
          <w:p w:rsidR="00601596" w:rsidRPr="003B5EA4" w:rsidRDefault="00601596" w:rsidP="00601596">
            <w:pPr>
              <w:suppressAutoHyphens w:val="0"/>
              <w:spacing w:before="40" w:after="120"/>
            </w:pPr>
          </w:p>
        </w:tc>
        <w:tc>
          <w:tcPr>
            <w:tcW w:w="2833" w:type="dxa"/>
            <w:tcBorders>
              <w:top w:val="nil"/>
            </w:tcBorders>
            <w:shd w:val="clear" w:color="auto" w:fill="auto"/>
            <w:noWrap/>
            <w:tcMar>
              <w:right w:w="28" w:type="dxa"/>
            </w:tcMar>
          </w:tcPr>
          <w:p w:rsidR="00601596" w:rsidRPr="003B5EA4" w:rsidRDefault="00601596" w:rsidP="00601596">
            <w:pPr>
              <w:suppressAutoHyphens w:val="0"/>
              <w:spacing w:before="40" w:after="120"/>
            </w:pPr>
            <w:r w:rsidRPr="003B5EA4">
              <w:t>12 heures</w:t>
            </w:r>
            <w:r w:rsidRPr="003B5EA4">
              <w:rPr>
                <w:i/>
                <w:sz w:val="18"/>
                <w:vertAlign w:val="superscript"/>
              </w:rPr>
              <w:t>b</w:t>
            </w:r>
          </w:p>
        </w:tc>
      </w:tr>
      <w:tr w:rsidR="00186AC9" w:rsidRPr="003B5EA4" w:rsidTr="00B47843">
        <w:trPr>
          <w:trHeight w:val="240"/>
        </w:trPr>
        <w:tc>
          <w:tcPr>
            <w:tcW w:w="1701" w:type="dxa"/>
            <w:tcBorders>
              <w:top w:val="nil"/>
            </w:tcBorders>
            <w:shd w:val="clear" w:color="auto" w:fill="auto"/>
            <w:noWrap/>
          </w:tcPr>
          <w:p w:rsidR="00186AC9" w:rsidRPr="003B5EA4" w:rsidRDefault="00186AC9" w:rsidP="00186AC9">
            <w:pPr>
              <w:suppressAutoHyphens w:val="0"/>
              <w:spacing w:before="40" w:after="120"/>
            </w:pPr>
            <w:r w:rsidRPr="003B5EA4">
              <w:t>CNUCED</w:t>
            </w:r>
          </w:p>
        </w:tc>
        <w:tc>
          <w:tcPr>
            <w:tcW w:w="2552" w:type="dxa"/>
            <w:tcBorders>
              <w:top w:val="nil"/>
            </w:tcBorders>
            <w:shd w:val="clear" w:color="auto" w:fill="auto"/>
            <w:noWrap/>
          </w:tcPr>
          <w:p w:rsidR="00186AC9" w:rsidRPr="003B5EA4" w:rsidRDefault="00186AC9" w:rsidP="00186AC9">
            <w:pPr>
              <w:suppressAutoHyphens w:val="0"/>
              <w:spacing w:before="40" w:after="120"/>
            </w:pPr>
            <w:r w:rsidRPr="003B5EA4">
              <w:t>Plus de 6 heures</w:t>
            </w:r>
          </w:p>
        </w:tc>
        <w:tc>
          <w:tcPr>
            <w:tcW w:w="1843" w:type="dxa"/>
            <w:tcBorders>
              <w:top w:val="nil"/>
            </w:tcBorders>
            <w:shd w:val="clear" w:color="auto" w:fill="auto"/>
            <w:noWrap/>
          </w:tcPr>
          <w:p w:rsidR="00186AC9" w:rsidRPr="003B5EA4" w:rsidRDefault="00186AC9" w:rsidP="00186AC9">
            <w:pPr>
              <w:suppressAutoHyphens w:val="0"/>
              <w:spacing w:before="40" w:after="120"/>
            </w:pPr>
            <w:r w:rsidRPr="003B5EA4">
              <w:t>Pas d</w:t>
            </w:r>
            <w:r w:rsidR="00762E0A">
              <w:t>’</w:t>
            </w:r>
            <w:r w:rsidRPr="003B5EA4">
              <w:t>escale</w:t>
            </w:r>
          </w:p>
        </w:tc>
        <w:tc>
          <w:tcPr>
            <w:tcW w:w="708" w:type="dxa"/>
            <w:tcBorders>
              <w:top w:val="nil"/>
            </w:tcBorders>
            <w:shd w:val="clear" w:color="auto" w:fill="auto"/>
            <w:noWrap/>
          </w:tcPr>
          <w:p w:rsidR="00186AC9" w:rsidRPr="003B5EA4" w:rsidRDefault="00186AC9" w:rsidP="00186AC9">
            <w:pPr>
              <w:suppressAutoHyphens w:val="0"/>
              <w:spacing w:before="40" w:after="120"/>
            </w:pPr>
          </w:p>
        </w:tc>
        <w:tc>
          <w:tcPr>
            <w:tcW w:w="2833" w:type="dxa"/>
            <w:tcBorders>
              <w:top w:val="nil"/>
            </w:tcBorders>
            <w:shd w:val="clear" w:color="auto" w:fill="auto"/>
            <w:noWrap/>
            <w:tcMar>
              <w:right w:w="28" w:type="dxa"/>
            </w:tcMar>
          </w:tcPr>
          <w:p w:rsidR="00186AC9" w:rsidRPr="003B5EA4" w:rsidRDefault="00186AC9" w:rsidP="00186AC9">
            <w:pPr>
              <w:suppressAutoHyphens w:val="0"/>
              <w:spacing w:before="40" w:after="120"/>
            </w:pPr>
            <w:r w:rsidRPr="003B5EA4">
              <w:t>12 heures</w:t>
            </w:r>
            <w:r w:rsidRPr="003B5EA4">
              <w:rPr>
                <w:i/>
                <w:sz w:val="18"/>
                <w:vertAlign w:val="superscript"/>
              </w:rPr>
              <w:t>b</w:t>
            </w:r>
          </w:p>
        </w:tc>
      </w:tr>
      <w:tr w:rsidR="00E4308E" w:rsidRPr="003B5EA4" w:rsidTr="00B47843">
        <w:trPr>
          <w:trHeight w:val="240"/>
        </w:trPr>
        <w:tc>
          <w:tcPr>
            <w:tcW w:w="1701" w:type="dxa"/>
            <w:vMerge w:val="restart"/>
            <w:tcBorders>
              <w:top w:val="nil"/>
            </w:tcBorders>
            <w:shd w:val="clear" w:color="auto" w:fill="auto"/>
            <w:noWrap/>
            <w:hideMark/>
          </w:tcPr>
          <w:p w:rsidR="00E4308E" w:rsidRPr="003B5EA4" w:rsidRDefault="00E4308E" w:rsidP="009612B8">
            <w:pPr>
              <w:suppressAutoHyphens w:val="0"/>
              <w:spacing w:before="40" w:after="120"/>
            </w:pPr>
            <w:r w:rsidRPr="003B5EA4">
              <w:t>FAO</w:t>
            </w:r>
          </w:p>
        </w:tc>
        <w:tc>
          <w:tcPr>
            <w:tcW w:w="2552" w:type="dxa"/>
            <w:tcBorders>
              <w:top w:val="nil"/>
            </w:tcBorders>
            <w:shd w:val="clear" w:color="auto" w:fill="auto"/>
            <w:noWrap/>
            <w:hideMark/>
          </w:tcPr>
          <w:p w:rsidR="00E4308E" w:rsidRPr="003B5EA4" w:rsidRDefault="00E4308E" w:rsidP="009612B8">
            <w:pPr>
              <w:suppressAutoHyphens w:val="0"/>
              <w:spacing w:before="40" w:after="120"/>
            </w:pPr>
            <w:r w:rsidRPr="003B5EA4">
              <w:t xml:space="preserve">De 6 </w:t>
            </w:r>
            <w:r w:rsidR="00F253A3" w:rsidRPr="003B5EA4">
              <w:t>à</w:t>
            </w:r>
            <w:r w:rsidRPr="003B5EA4">
              <w:t xml:space="preserve"> 10 </w:t>
            </w:r>
            <w:r w:rsidR="0008476B" w:rsidRPr="003B5EA4">
              <w:t>heures</w:t>
            </w:r>
          </w:p>
        </w:tc>
        <w:tc>
          <w:tcPr>
            <w:tcW w:w="1843" w:type="dxa"/>
            <w:tcBorders>
              <w:top w:val="nil"/>
            </w:tcBorders>
            <w:shd w:val="clear" w:color="auto" w:fill="auto"/>
            <w:noWrap/>
            <w:hideMark/>
          </w:tcPr>
          <w:p w:rsidR="00E4308E" w:rsidRPr="003B5EA4" w:rsidRDefault="00A1019A" w:rsidP="009612B8">
            <w:pPr>
              <w:suppressAutoHyphens w:val="0"/>
              <w:spacing w:before="40" w:after="120"/>
            </w:pPr>
            <w:r w:rsidRPr="003B5EA4">
              <w:t>Pas d</w:t>
            </w:r>
            <w:r w:rsidR="00762E0A">
              <w:t>’</w:t>
            </w:r>
            <w:r w:rsidRPr="003B5EA4">
              <w:t>escale</w:t>
            </w:r>
          </w:p>
        </w:tc>
        <w:tc>
          <w:tcPr>
            <w:tcW w:w="708" w:type="dxa"/>
            <w:tcBorders>
              <w:top w:val="nil"/>
            </w:tcBorders>
            <w:shd w:val="clear" w:color="auto" w:fill="auto"/>
            <w:noWrap/>
            <w:hideMark/>
          </w:tcPr>
          <w:p w:rsidR="00E4308E" w:rsidRPr="003B5EA4" w:rsidRDefault="00E4308E" w:rsidP="009612B8">
            <w:pPr>
              <w:suppressAutoHyphens w:val="0"/>
              <w:spacing w:before="40" w:after="120"/>
            </w:pPr>
          </w:p>
        </w:tc>
        <w:tc>
          <w:tcPr>
            <w:tcW w:w="2833" w:type="dxa"/>
            <w:tcBorders>
              <w:top w:val="nil"/>
            </w:tcBorders>
            <w:shd w:val="clear" w:color="auto" w:fill="auto"/>
            <w:noWrap/>
            <w:tcMar>
              <w:right w:w="28" w:type="dxa"/>
            </w:tcMar>
            <w:hideMark/>
          </w:tcPr>
          <w:p w:rsidR="00E4308E" w:rsidRPr="003B5EA4" w:rsidRDefault="00E4308E" w:rsidP="006E49B3">
            <w:pPr>
              <w:suppressAutoHyphens w:val="0"/>
              <w:spacing w:before="40" w:after="120"/>
            </w:pPr>
            <w:r w:rsidRPr="003B5EA4">
              <w:t xml:space="preserve">12 </w:t>
            </w:r>
            <w:r w:rsidR="006E49B3" w:rsidRPr="003B5EA4">
              <w:t>heures</w:t>
            </w:r>
          </w:p>
        </w:tc>
      </w:tr>
      <w:tr w:rsidR="00E4308E" w:rsidRPr="003B5EA4" w:rsidTr="00B47843">
        <w:trPr>
          <w:trHeight w:val="240"/>
        </w:trPr>
        <w:tc>
          <w:tcPr>
            <w:tcW w:w="1701" w:type="dxa"/>
            <w:vMerge/>
            <w:shd w:val="clear" w:color="auto" w:fill="auto"/>
            <w:hideMark/>
          </w:tcPr>
          <w:p w:rsidR="00E4308E" w:rsidRPr="003B5EA4" w:rsidRDefault="00E4308E" w:rsidP="009612B8">
            <w:pPr>
              <w:suppressAutoHyphens w:val="0"/>
              <w:spacing w:before="40" w:after="120"/>
            </w:pPr>
          </w:p>
        </w:tc>
        <w:tc>
          <w:tcPr>
            <w:tcW w:w="2552" w:type="dxa"/>
            <w:shd w:val="clear" w:color="auto" w:fill="auto"/>
            <w:noWrap/>
            <w:hideMark/>
          </w:tcPr>
          <w:p w:rsidR="00E4308E" w:rsidRPr="003B5EA4" w:rsidRDefault="00E4308E" w:rsidP="006E49B3">
            <w:pPr>
              <w:suppressAutoHyphens w:val="0"/>
              <w:spacing w:before="40" w:after="120"/>
            </w:pPr>
            <w:r w:rsidRPr="003B5EA4">
              <w:t xml:space="preserve">De 10 </w:t>
            </w:r>
            <w:r w:rsidR="00F253A3" w:rsidRPr="003B5EA4">
              <w:t>à</w:t>
            </w:r>
            <w:r w:rsidRPr="003B5EA4">
              <w:t xml:space="preserve"> 18 h</w:t>
            </w:r>
            <w:r w:rsidR="006E49B3" w:rsidRPr="003B5EA4">
              <w:t>eures</w:t>
            </w:r>
            <w:r w:rsidR="006E49B3" w:rsidRPr="003B5EA4">
              <w:rPr>
                <w:i/>
                <w:sz w:val="18"/>
                <w:vertAlign w:val="superscript"/>
              </w:rPr>
              <w:t xml:space="preserve"> </w:t>
            </w:r>
            <w:r w:rsidRPr="003B5EA4">
              <w:rPr>
                <w:i/>
                <w:sz w:val="18"/>
                <w:vertAlign w:val="superscript"/>
              </w:rPr>
              <w:t>a</w:t>
            </w:r>
          </w:p>
        </w:tc>
        <w:tc>
          <w:tcPr>
            <w:tcW w:w="1843" w:type="dxa"/>
            <w:shd w:val="clear" w:color="auto" w:fill="auto"/>
            <w:noWrap/>
            <w:hideMark/>
          </w:tcPr>
          <w:p w:rsidR="00E4308E" w:rsidRPr="003B5EA4" w:rsidRDefault="00A1019A" w:rsidP="009612B8">
            <w:pPr>
              <w:suppressAutoHyphens w:val="0"/>
              <w:spacing w:before="40" w:after="120"/>
            </w:pPr>
            <w:r w:rsidRPr="003B5EA4">
              <w:t>Pas d</w:t>
            </w:r>
            <w:r w:rsidR="00762E0A">
              <w:t>’</w:t>
            </w:r>
            <w:r w:rsidRPr="003B5EA4">
              <w:t>escale</w:t>
            </w:r>
          </w:p>
        </w:tc>
        <w:tc>
          <w:tcPr>
            <w:tcW w:w="708" w:type="dxa"/>
            <w:shd w:val="clear" w:color="auto" w:fill="auto"/>
            <w:noWrap/>
            <w:hideMark/>
          </w:tcPr>
          <w:p w:rsidR="00E4308E" w:rsidRPr="003B5EA4" w:rsidRDefault="00E4308E" w:rsidP="009612B8">
            <w:pPr>
              <w:suppressAutoHyphens w:val="0"/>
              <w:spacing w:before="40" w:after="120"/>
            </w:pPr>
          </w:p>
        </w:tc>
        <w:tc>
          <w:tcPr>
            <w:tcW w:w="2833" w:type="dxa"/>
            <w:shd w:val="clear" w:color="auto" w:fill="auto"/>
            <w:noWrap/>
            <w:tcMar>
              <w:right w:w="28" w:type="dxa"/>
            </w:tcMar>
            <w:hideMark/>
          </w:tcPr>
          <w:p w:rsidR="00E4308E" w:rsidRPr="003B5EA4" w:rsidRDefault="00E4308E" w:rsidP="009612B8">
            <w:pPr>
              <w:suppressAutoHyphens w:val="0"/>
              <w:spacing w:before="40" w:after="120"/>
            </w:pPr>
            <w:r w:rsidRPr="003B5EA4">
              <w:t xml:space="preserve">24 </w:t>
            </w:r>
            <w:r w:rsidR="006E49B3" w:rsidRPr="003B5EA4">
              <w:t>heures</w:t>
            </w:r>
          </w:p>
        </w:tc>
      </w:tr>
      <w:tr w:rsidR="00E4308E" w:rsidRPr="003B5EA4" w:rsidTr="00B47843">
        <w:trPr>
          <w:trHeight w:val="240"/>
        </w:trPr>
        <w:tc>
          <w:tcPr>
            <w:tcW w:w="1701" w:type="dxa"/>
            <w:vMerge/>
            <w:shd w:val="clear" w:color="auto" w:fill="auto"/>
            <w:hideMark/>
          </w:tcPr>
          <w:p w:rsidR="00E4308E" w:rsidRPr="003B5EA4" w:rsidRDefault="00E4308E" w:rsidP="009612B8">
            <w:pPr>
              <w:suppressAutoHyphens w:val="0"/>
              <w:spacing w:before="40" w:after="120"/>
            </w:pPr>
          </w:p>
        </w:tc>
        <w:tc>
          <w:tcPr>
            <w:tcW w:w="2552" w:type="dxa"/>
            <w:vMerge w:val="restart"/>
            <w:shd w:val="clear" w:color="auto" w:fill="auto"/>
            <w:noWrap/>
            <w:hideMark/>
          </w:tcPr>
          <w:p w:rsidR="00E4308E" w:rsidRPr="003B5EA4" w:rsidRDefault="006E49B3" w:rsidP="006E49B3">
            <w:pPr>
              <w:suppressAutoHyphens w:val="0"/>
              <w:spacing w:before="40" w:after="120"/>
            </w:pPr>
            <w:r w:rsidRPr="003B5EA4">
              <w:t>Plus</w:t>
            </w:r>
            <w:r w:rsidR="00E4308E" w:rsidRPr="003B5EA4">
              <w:t xml:space="preserve"> de 18 h</w:t>
            </w:r>
            <w:r w:rsidRPr="003B5EA4">
              <w:t>eures</w:t>
            </w:r>
          </w:p>
        </w:tc>
        <w:tc>
          <w:tcPr>
            <w:tcW w:w="1843" w:type="dxa"/>
            <w:shd w:val="clear" w:color="auto" w:fill="auto"/>
            <w:noWrap/>
            <w:hideMark/>
          </w:tcPr>
          <w:p w:rsidR="00E4308E" w:rsidRPr="003B5EA4" w:rsidRDefault="00706311" w:rsidP="009612B8">
            <w:pPr>
              <w:suppressAutoHyphens w:val="0"/>
              <w:spacing w:before="40" w:after="120"/>
            </w:pPr>
            <w:r w:rsidRPr="003B5EA4">
              <w:t>Deux escales</w:t>
            </w:r>
          </w:p>
        </w:tc>
        <w:tc>
          <w:tcPr>
            <w:tcW w:w="708" w:type="dxa"/>
            <w:shd w:val="clear" w:color="auto" w:fill="auto"/>
            <w:noWrap/>
            <w:hideMark/>
          </w:tcPr>
          <w:p w:rsidR="00E4308E" w:rsidRPr="003B5EA4" w:rsidRDefault="00A1019A" w:rsidP="009612B8">
            <w:pPr>
              <w:suppressAutoHyphens w:val="0"/>
              <w:spacing w:before="40" w:after="120"/>
            </w:pPr>
            <w:r w:rsidRPr="003B5EA4">
              <w:t>et</w:t>
            </w:r>
          </w:p>
        </w:tc>
        <w:tc>
          <w:tcPr>
            <w:tcW w:w="2833" w:type="dxa"/>
            <w:shd w:val="clear" w:color="auto" w:fill="auto"/>
            <w:noWrap/>
            <w:tcMar>
              <w:right w:w="28" w:type="dxa"/>
            </w:tcMar>
            <w:hideMark/>
          </w:tcPr>
          <w:p w:rsidR="00E4308E" w:rsidRPr="003B5EA4" w:rsidRDefault="00706311" w:rsidP="009612B8">
            <w:pPr>
              <w:suppressAutoHyphens w:val="0"/>
              <w:spacing w:before="40" w:after="120"/>
            </w:pPr>
            <w:r w:rsidRPr="003B5EA4">
              <w:t>Pas de période de repos</w:t>
            </w:r>
          </w:p>
        </w:tc>
      </w:tr>
      <w:tr w:rsidR="00E4308E" w:rsidRPr="003B5EA4" w:rsidTr="00B47843">
        <w:trPr>
          <w:trHeight w:val="240"/>
        </w:trPr>
        <w:tc>
          <w:tcPr>
            <w:tcW w:w="1701" w:type="dxa"/>
            <w:vMerge/>
            <w:shd w:val="clear" w:color="auto" w:fill="auto"/>
            <w:hideMark/>
          </w:tcPr>
          <w:p w:rsidR="00E4308E" w:rsidRPr="003B5EA4" w:rsidRDefault="00E4308E" w:rsidP="009612B8">
            <w:pPr>
              <w:suppressAutoHyphens w:val="0"/>
              <w:spacing w:before="40" w:after="120"/>
            </w:pPr>
          </w:p>
        </w:tc>
        <w:tc>
          <w:tcPr>
            <w:tcW w:w="2552" w:type="dxa"/>
            <w:vMerge/>
            <w:shd w:val="clear" w:color="auto" w:fill="auto"/>
            <w:hideMark/>
          </w:tcPr>
          <w:p w:rsidR="00E4308E" w:rsidRPr="003B5EA4" w:rsidRDefault="00E4308E" w:rsidP="009612B8">
            <w:pPr>
              <w:suppressAutoHyphens w:val="0"/>
              <w:spacing w:before="40" w:after="120"/>
            </w:pPr>
          </w:p>
        </w:tc>
        <w:tc>
          <w:tcPr>
            <w:tcW w:w="1843" w:type="dxa"/>
            <w:shd w:val="clear" w:color="auto" w:fill="auto"/>
            <w:noWrap/>
            <w:hideMark/>
          </w:tcPr>
          <w:p w:rsidR="00E4308E" w:rsidRPr="003B5EA4" w:rsidRDefault="00706311" w:rsidP="009612B8">
            <w:pPr>
              <w:suppressAutoHyphens w:val="0"/>
              <w:spacing w:before="40" w:after="120"/>
            </w:pPr>
            <w:r w:rsidRPr="003B5EA4">
              <w:t>ou une escale</w:t>
            </w:r>
          </w:p>
        </w:tc>
        <w:tc>
          <w:tcPr>
            <w:tcW w:w="708" w:type="dxa"/>
            <w:shd w:val="clear" w:color="auto" w:fill="auto"/>
            <w:noWrap/>
            <w:hideMark/>
          </w:tcPr>
          <w:p w:rsidR="00E4308E" w:rsidRPr="003B5EA4" w:rsidRDefault="00A1019A" w:rsidP="009612B8">
            <w:pPr>
              <w:suppressAutoHyphens w:val="0"/>
              <w:spacing w:before="40" w:after="120"/>
            </w:pPr>
            <w:r w:rsidRPr="003B5EA4">
              <w:t>et</w:t>
            </w:r>
          </w:p>
        </w:tc>
        <w:tc>
          <w:tcPr>
            <w:tcW w:w="2833" w:type="dxa"/>
            <w:shd w:val="clear" w:color="auto" w:fill="auto"/>
            <w:noWrap/>
            <w:tcMar>
              <w:right w:w="28" w:type="dxa"/>
            </w:tcMar>
            <w:hideMark/>
          </w:tcPr>
          <w:p w:rsidR="00E4308E" w:rsidRPr="003B5EA4" w:rsidRDefault="00E4308E" w:rsidP="009612B8">
            <w:pPr>
              <w:suppressAutoHyphens w:val="0"/>
              <w:spacing w:before="40" w:after="120"/>
            </w:pPr>
            <w:r w:rsidRPr="003B5EA4">
              <w:t xml:space="preserve">24 </w:t>
            </w:r>
            <w:r w:rsidR="009612B8" w:rsidRPr="003B5EA4">
              <w:t>heures</w:t>
            </w:r>
          </w:p>
        </w:tc>
      </w:tr>
      <w:tr w:rsidR="00601596" w:rsidRPr="003B5EA4" w:rsidTr="00B47843">
        <w:trPr>
          <w:trHeight w:val="240"/>
        </w:trPr>
        <w:tc>
          <w:tcPr>
            <w:tcW w:w="1701" w:type="dxa"/>
            <w:shd w:val="clear" w:color="auto" w:fill="auto"/>
          </w:tcPr>
          <w:p w:rsidR="00601596" w:rsidRPr="003B5EA4" w:rsidRDefault="00601596" w:rsidP="00601596">
            <w:pPr>
              <w:suppressAutoHyphens w:val="0"/>
              <w:spacing w:before="40" w:after="120"/>
            </w:pPr>
            <w:r w:rsidRPr="003B5EA4">
              <w:t>HCR</w:t>
            </w:r>
          </w:p>
        </w:tc>
        <w:tc>
          <w:tcPr>
            <w:tcW w:w="2552" w:type="dxa"/>
            <w:shd w:val="clear" w:color="auto" w:fill="auto"/>
          </w:tcPr>
          <w:p w:rsidR="00601596" w:rsidRPr="003B5EA4" w:rsidRDefault="00601596" w:rsidP="00601596">
            <w:pPr>
              <w:suppressAutoHyphens w:val="0"/>
              <w:spacing w:before="40" w:after="120"/>
            </w:pPr>
            <w:r w:rsidRPr="003B5EA4">
              <w:t>Plus de 6 heures</w:t>
            </w:r>
          </w:p>
        </w:tc>
        <w:tc>
          <w:tcPr>
            <w:tcW w:w="1843" w:type="dxa"/>
            <w:shd w:val="clear" w:color="auto" w:fill="auto"/>
            <w:noWrap/>
          </w:tcPr>
          <w:p w:rsidR="00601596" w:rsidRPr="003B5EA4" w:rsidRDefault="00601596" w:rsidP="00601596">
            <w:pPr>
              <w:suppressAutoHyphens w:val="0"/>
              <w:spacing w:before="40" w:after="120"/>
            </w:pPr>
            <w:r w:rsidRPr="003B5EA4">
              <w:t>Pas d</w:t>
            </w:r>
            <w:r w:rsidR="00762E0A">
              <w:t>’</w:t>
            </w:r>
            <w:r w:rsidRPr="003B5EA4">
              <w:t>escale</w:t>
            </w:r>
          </w:p>
        </w:tc>
        <w:tc>
          <w:tcPr>
            <w:tcW w:w="708" w:type="dxa"/>
            <w:shd w:val="clear" w:color="auto" w:fill="auto"/>
            <w:noWrap/>
          </w:tcPr>
          <w:p w:rsidR="00601596" w:rsidRPr="003B5EA4" w:rsidRDefault="00601596" w:rsidP="00601596">
            <w:pPr>
              <w:suppressAutoHyphens w:val="0"/>
              <w:spacing w:before="40" w:after="120"/>
            </w:pPr>
          </w:p>
        </w:tc>
        <w:tc>
          <w:tcPr>
            <w:tcW w:w="2833" w:type="dxa"/>
            <w:shd w:val="clear" w:color="auto" w:fill="auto"/>
            <w:noWrap/>
            <w:tcMar>
              <w:right w:w="28" w:type="dxa"/>
            </w:tcMar>
          </w:tcPr>
          <w:p w:rsidR="00601596" w:rsidRPr="003B5EA4" w:rsidRDefault="00601596" w:rsidP="00601596">
            <w:pPr>
              <w:suppressAutoHyphens w:val="0"/>
              <w:spacing w:before="40" w:after="120"/>
            </w:pPr>
            <w:r w:rsidRPr="003B5EA4">
              <w:t>12 heures</w:t>
            </w:r>
            <w:r w:rsidRPr="003B5EA4">
              <w:rPr>
                <w:i/>
                <w:sz w:val="18"/>
                <w:vertAlign w:val="superscript"/>
              </w:rPr>
              <w:t>b</w:t>
            </w:r>
          </w:p>
        </w:tc>
      </w:tr>
      <w:tr w:rsidR="004D05AD" w:rsidRPr="003B5EA4" w:rsidTr="00B47843">
        <w:trPr>
          <w:trHeight w:val="240"/>
        </w:trPr>
        <w:tc>
          <w:tcPr>
            <w:tcW w:w="1701" w:type="dxa"/>
            <w:vMerge w:val="restart"/>
            <w:shd w:val="clear" w:color="auto" w:fill="auto"/>
          </w:tcPr>
          <w:p w:rsidR="004D05AD" w:rsidRPr="003B5EA4" w:rsidRDefault="004D05AD" w:rsidP="00946656">
            <w:pPr>
              <w:suppressAutoHyphens w:val="0"/>
              <w:spacing w:before="40" w:after="120"/>
            </w:pPr>
            <w:r w:rsidRPr="003B5EA4">
              <w:t>OACI</w:t>
            </w:r>
          </w:p>
        </w:tc>
        <w:tc>
          <w:tcPr>
            <w:tcW w:w="2552" w:type="dxa"/>
            <w:shd w:val="clear" w:color="auto" w:fill="auto"/>
          </w:tcPr>
          <w:p w:rsidR="004D05AD" w:rsidRPr="003B5EA4" w:rsidRDefault="004D05AD" w:rsidP="00946656">
            <w:pPr>
              <w:suppressAutoHyphens w:val="0"/>
              <w:spacing w:before="40" w:after="120"/>
            </w:pPr>
            <w:r w:rsidRPr="003B5EA4">
              <w:t xml:space="preserve">De 6 </w:t>
            </w:r>
            <w:r w:rsidR="00F253A3" w:rsidRPr="003B5EA4">
              <w:t>à</w:t>
            </w:r>
            <w:r w:rsidRPr="003B5EA4">
              <w:t xml:space="preserve"> 10 heures</w:t>
            </w:r>
          </w:p>
        </w:tc>
        <w:tc>
          <w:tcPr>
            <w:tcW w:w="1843" w:type="dxa"/>
            <w:shd w:val="clear" w:color="auto" w:fill="auto"/>
            <w:noWrap/>
          </w:tcPr>
          <w:p w:rsidR="004D05AD" w:rsidRPr="003B5EA4" w:rsidRDefault="004D05AD" w:rsidP="00946656">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46656">
            <w:pPr>
              <w:suppressAutoHyphens w:val="0"/>
              <w:spacing w:before="40" w:after="120"/>
            </w:pPr>
          </w:p>
        </w:tc>
        <w:tc>
          <w:tcPr>
            <w:tcW w:w="2833" w:type="dxa"/>
            <w:shd w:val="clear" w:color="auto" w:fill="auto"/>
            <w:noWrap/>
            <w:tcMar>
              <w:right w:w="28" w:type="dxa"/>
            </w:tcMar>
          </w:tcPr>
          <w:p w:rsidR="004D05AD" w:rsidRPr="003B5EA4" w:rsidRDefault="004D05AD" w:rsidP="00946656">
            <w:pPr>
              <w:suppressAutoHyphens w:val="0"/>
              <w:spacing w:before="40" w:after="120"/>
            </w:pPr>
            <w:r w:rsidRPr="003B5EA4">
              <w:t>12 heures</w:t>
            </w:r>
          </w:p>
        </w:tc>
      </w:tr>
      <w:tr w:rsidR="004D05AD" w:rsidRPr="003B5EA4" w:rsidTr="00B47843">
        <w:trPr>
          <w:trHeight w:val="240"/>
        </w:trPr>
        <w:tc>
          <w:tcPr>
            <w:tcW w:w="1701" w:type="dxa"/>
            <w:vMerge/>
            <w:shd w:val="clear" w:color="auto" w:fill="auto"/>
          </w:tcPr>
          <w:p w:rsidR="004D05AD" w:rsidRPr="003B5EA4" w:rsidRDefault="004D05AD" w:rsidP="00946656">
            <w:pPr>
              <w:suppressAutoHyphens w:val="0"/>
              <w:spacing w:before="40" w:after="120"/>
            </w:pPr>
          </w:p>
        </w:tc>
        <w:tc>
          <w:tcPr>
            <w:tcW w:w="2552" w:type="dxa"/>
            <w:shd w:val="clear" w:color="auto" w:fill="auto"/>
          </w:tcPr>
          <w:p w:rsidR="004D05AD" w:rsidRPr="003B5EA4" w:rsidRDefault="004D05AD" w:rsidP="00946656">
            <w:pPr>
              <w:suppressAutoHyphens w:val="0"/>
              <w:spacing w:before="40" w:after="120"/>
            </w:pPr>
            <w:r w:rsidRPr="003B5EA4">
              <w:t>Plus de 10 heures</w:t>
            </w:r>
          </w:p>
        </w:tc>
        <w:tc>
          <w:tcPr>
            <w:tcW w:w="1843" w:type="dxa"/>
            <w:shd w:val="clear" w:color="auto" w:fill="auto"/>
            <w:noWrap/>
          </w:tcPr>
          <w:p w:rsidR="004D05AD" w:rsidRPr="003B5EA4" w:rsidRDefault="004D05AD" w:rsidP="00946656">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46656">
            <w:pPr>
              <w:suppressAutoHyphens w:val="0"/>
              <w:spacing w:before="40" w:after="120"/>
            </w:pPr>
          </w:p>
        </w:tc>
        <w:tc>
          <w:tcPr>
            <w:tcW w:w="2833" w:type="dxa"/>
            <w:shd w:val="clear" w:color="auto" w:fill="auto"/>
            <w:noWrap/>
            <w:tcMar>
              <w:right w:w="28" w:type="dxa"/>
            </w:tcMar>
          </w:tcPr>
          <w:p w:rsidR="004D05AD" w:rsidRPr="003B5EA4" w:rsidRDefault="004D05AD" w:rsidP="00946656">
            <w:pPr>
              <w:suppressAutoHyphens w:val="0"/>
              <w:spacing w:before="40" w:after="120"/>
            </w:pPr>
            <w:r w:rsidRPr="003B5EA4">
              <w:t>24 heures</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OIT</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F253A3" w:rsidRPr="003B5EA4">
              <w:t>à</w:t>
            </w:r>
            <w:r w:rsidRPr="003B5EA4">
              <w:t xml:space="preserve"> 10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r w:rsidRPr="003B5EA4">
              <w:rPr>
                <w:i/>
                <w:sz w:val="18"/>
                <w:vertAlign w:val="superscript"/>
              </w:rPr>
              <w:t>c</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10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371B41">
            <w:pPr>
              <w:suppressAutoHyphens w:val="0"/>
              <w:spacing w:before="40" w:after="120"/>
            </w:pPr>
            <w:r w:rsidRPr="003B5EA4">
              <w:t>Jusqu</w:t>
            </w:r>
            <w:r w:rsidR="00762E0A">
              <w:t>’</w:t>
            </w:r>
            <w:r w:rsidRPr="003B5EA4">
              <w:t>à 5 heures</w:t>
            </w:r>
            <w:r w:rsidRPr="003B5EA4">
              <w:rPr>
                <w:i/>
                <w:sz w:val="18"/>
                <w:vertAlign w:val="superscript"/>
              </w:rPr>
              <w:t xml:space="preserve"> </w:t>
            </w:r>
            <w:r w:rsidRPr="003B5EA4">
              <w:t>(de nuit)</w:t>
            </w:r>
            <w:r w:rsidRPr="003B5EA4">
              <w:rPr>
                <w:i/>
                <w:sz w:val="18"/>
                <w:vertAlign w:val="superscript"/>
              </w:rPr>
              <w:t>b</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5 heures</w:t>
            </w:r>
            <w:r w:rsidRPr="003B5EA4">
              <w:rPr>
                <w:i/>
                <w:sz w:val="18"/>
                <w:vertAlign w:val="superscript"/>
              </w:rPr>
              <w:t xml:space="preserve"> </w:t>
            </w:r>
            <w:r w:rsidRPr="003B5EA4">
              <w:t>(de nuit)</w:t>
            </w:r>
            <w:r w:rsidRPr="003B5EA4">
              <w:rPr>
                <w:i/>
                <w:sz w:val="18"/>
                <w:vertAlign w:val="superscript"/>
              </w:rPr>
              <w:t>b</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OMI</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08476B">
            <w:pPr>
              <w:suppressAutoHyphens w:val="0"/>
              <w:spacing w:before="40" w:after="120"/>
            </w:pPr>
            <w:r w:rsidRPr="003B5EA4">
              <w:t xml:space="preserve">De 10 </w:t>
            </w:r>
            <w:r w:rsidR="006E0191" w:rsidRPr="003B5EA4">
              <w:t>à</w:t>
            </w:r>
            <w:r w:rsidRPr="003B5EA4">
              <w:t xml:space="preserve"> 16 heures</w:t>
            </w:r>
            <w:r w:rsidRPr="003B5EA4">
              <w:rPr>
                <w:i/>
                <w:sz w:val="18"/>
                <w:vertAlign w:val="superscript"/>
              </w:rPr>
              <w:t>a</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ou</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08476B">
            <w:pPr>
              <w:suppressAutoHyphens w:val="0"/>
              <w:spacing w:before="40" w:after="120"/>
            </w:pPr>
            <w:r w:rsidRPr="003B5EA4">
              <w:t>Plus de 16 heures</w:t>
            </w:r>
            <w:r w:rsidRPr="003B5EA4">
              <w:rPr>
                <w:i/>
                <w:sz w:val="18"/>
                <w:vertAlign w:val="superscript"/>
              </w:rPr>
              <w:t>a</w:t>
            </w:r>
          </w:p>
        </w:tc>
        <w:tc>
          <w:tcPr>
            <w:tcW w:w="1843" w:type="dxa"/>
            <w:shd w:val="clear" w:color="auto" w:fill="auto"/>
            <w:noWrap/>
          </w:tcPr>
          <w:p w:rsidR="004D05AD" w:rsidRPr="003B5EA4" w:rsidRDefault="004D05AD" w:rsidP="009612B8">
            <w:pPr>
              <w:suppressAutoHyphens w:val="0"/>
              <w:spacing w:before="40" w:after="120"/>
            </w:pPr>
            <w:r w:rsidRPr="003B5EA4">
              <w:t>Deux escales</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295AE1">
            <w:pPr>
              <w:suppressAutoHyphens w:val="0"/>
              <w:spacing w:before="40" w:after="120"/>
            </w:pPr>
            <w:r w:rsidRPr="003B5EA4">
              <w:t>ou une 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E4308E" w:rsidRPr="003B5EA4" w:rsidTr="00B47843">
        <w:trPr>
          <w:trHeight w:val="240"/>
        </w:trPr>
        <w:tc>
          <w:tcPr>
            <w:tcW w:w="1701" w:type="dxa"/>
            <w:shd w:val="clear" w:color="auto" w:fill="auto"/>
            <w:noWrap/>
          </w:tcPr>
          <w:p w:rsidR="00E4308E" w:rsidRPr="003B5EA4" w:rsidRDefault="00E4308E" w:rsidP="009612B8">
            <w:pPr>
              <w:suppressAutoHyphens w:val="0"/>
              <w:spacing w:before="40" w:after="120"/>
            </w:pPr>
            <w:r w:rsidRPr="003B5EA4">
              <w:t>OMM</w:t>
            </w:r>
          </w:p>
        </w:tc>
        <w:tc>
          <w:tcPr>
            <w:tcW w:w="2552" w:type="dxa"/>
            <w:shd w:val="clear" w:color="auto" w:fill="auto"/>
            <w:noWrap/>
          </w:tcPr>
          <w:p w:rsidR="00E4308E" w:rsidRPr="003B5EA4" w:rsidRDefault="00760ED5" w:rsidP="009612B8">
            <w:pPr>
              <w:suppressAutoHyphens w:val="0"/>
              <w:spacing w:before="40" w:after="120"/>
            </w:pPr>
            <w:r w:rsidRPr="003B5EA4">
              <w:t xml:space="preserve">Plus </w:t>
            </w:r>
            <w:r w:rsidR="00E4308E" w:rsidRPr="003B5EA4">
              <w:t xml:space="preserve">de 6 </w:t>
            </w:r>
            <w:r w:rsidR="0008476B" w:rsidRPr="003B5EA4">
              <w:t>heures</w:t>
            </w:r>
          </w:p>
        </w:tc>
        <w:tc>
          <w:tcPr>
            <w:tcW w:w="1843" w:type="dxa"/>
            <w:shd w:val="clear" w:color="auto" w:fill="auto"/>
            <w:noWrap/>
          </w:tcPr>
          <w:p w:rsidR="00E4308E" w:rsidRPr="003B5EA4" w:rsidRDefault="00A1019A" w:rsidP="009612B8">
            <w:pPr>
              <w:suppressAutoHyphens w:val="0"/>
              <w:spacing w:before="40" w:after="120"/>
            </w:pPr>
            <w:r w:rsidRPr="003B5EA4">
              <w:t>Pas d</w:t>
            </w:r>
            <w:r w:rsidR="00762E0A">
              <w:t>’</w:t>
            </w:r>
            <w:r w:rsidRPr="003B5EA4">
              <w:t>escale</w:t>
            </w:r>
          </w:p>
        </w:tc>
        <w:tc>
          <w:tcPr>
            <w:tcW w:w="708" w:type="dxa"/>
            <w:shd w:val="clear" w:color="auto" w:fill="auto"/>
            <w:noWrap/>
          </w:tcPr>
          <w:p w:rsidR="00E4308E" w:rsidRPr="003B5EA4" w:rsidRDefault="00E4308E" w:rsidP="009612B8">
            <w:pPr>
              <w:suppressAutoHyphens w:val="0"/>
              <w:spacing w:before="40" w:after="120"/>
            </w:pPr>
          </w:p>
        </w:tc>
        <w:tc>
          <w:tcPr>
            <w:tcW w:w="2833" w:type="dxa"/>
            <w:shd w:val="clear" w:color="auto" w:fill="auto"/>
            <w:tcMar>
              <w:right w:w="28" w:type="dxa"/>
            </w:tcMar>
          </w:tcPr>
          <w:p w:rsidR="00E4308E" w:rsidRPr="003B5EA4" w:rsidRDefault="00E4308E" w:rsidP="009612B8">
            <w:pPr>
              <w:suppressAutoHyphens w:val="0"/>
              <w:spacing w:before="40" w:after="120"/>
            </w:pPr>
            <w:r w:rsidRPr="003B5EA4">
              <w:t xml:space="preserve">12 </w:t>
            </w:r>
            <w:r w:rsidR="009612B8" w:rsidRPr="003B5EA4">
              <w:t>heures</w:t>
            </w:r>
            <w:r w:rsidRPr="003B5EA4">
              <w:rPr>
                <w:i/>
                <w:sz w:val="18"/>
                <w:vertAlign w:val="superscript"/>
              </w:rPr>
              <w:t>b</w:t>
            </w:r>
          </w:p>
        </w:tc>
      </w:tr>
      <w:tr w:rsidR="004D05AD" w:rsidRPr="003B5EA4" w:rsidTr="00B47843">
        <w:trPr>
          <w:trHeight w:val="240"/>
        </w:trPr>
        <w:tc>
          <w:tcPr>
            <w:tcW w:w="1701" w:type="dxa"/>
            <w:vMerge w:val="restart"/>
            <w:shd w:val="clear" w:color="auto" w:fill="auto"/>
            <w:noWrap/>
          </w:tcPr>
          <w:p w:rsidR="004D05AD" w:rsidRPr="003B5EA4" w:rsidRDefault="004D05AD" w:rsidP="009612B8">
            <w:pPr>
              <w:keepNext/>
              <w:suppressAutoHyphens w:val="0"/>
              <w:spacing w:before="40" w:after="120"/>
            </w:pPr>
            <w:r w:rsidRPr="003B5EA4">
              <w:t>OMPI</w:t>
            </w:r>
          </w:p>
        </w:tc>
        <w:tc>
          <w:tcPr>
            <w:tcW w:w="2552" w:type="dxa"/>
            <w:shd w:val="clear" w:color="auto" w:fill="auto"/>
            <w:noWrap/>
          </w:tcPr>
          <w:p w:rsidR="004D05AD" w:rsidRPr="003B5EA4" w:rsidRDefault="004D05AD" w:rsidP="009612B8">
            <w:pPr>
              <w:keepNext/>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9612B8">
            <w:pPr>
              <w:keepNext/>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keepNext/>
              <w:suppressAutoHyphens w:val="0"/>
              <w:spacing w:before="40" w:after="120"/>
            </w:pPr>
          </w:p>
        </w:tc>
        <w:tc>
          <w:tcPr>
            <w:tcW w:w="2833" w:type="dxa"/>
            <w:shd w:val="clear" w:color="auto" w:fill="auto"/>
            <w:tcMar>
              <w:right w:w="28" w:type="dxa"/>
            </w:tcMar>
          </w:tcPr>
          <w:p w:rsidR="004D05AD" w:rsidRPr="003B5EA4" w:rsidRDefault="004D05AD" w:rsidP="009612B8">
            <w:pPr>
              <w:keepNext/>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10 heures</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ou</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OMS</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6E0191" w:rsidRPr="003B5EA4">
              <w:t>à</w:t>
            </w:r>
            <w:r w:rsidRPr="003B5EA4">
              <w:t xml:space="preserve"> 12 heures</w:t>
            </w:r>
            <w:r w:rsidRPr="003B5EA4">
              <w:rPr>
                <w:i/>
                <w:sz w:val="18"/>
                <w:vertAlign w:val="superscript"/>
              </w:rPr>
              <w:t xml:space="preserve"> </w:t>
            </w:r>
            <w:r w:rsidRPr="003B5EA4">
              <w:t>(clas</w:t>
            </w:r>
            <w:r w:rsidR="000A3489">
              <w:t>s</w:t>
            </w:r>
            <w:r w:rsidRPr="003B5EA4">
              <w:t>e </w:t>
            </w:r>
            <w:r w:rsidR="00054102" w:rsidRPr="003B5EA4">
              <w:t>économique</w:t>
            </w:r>
            <w:r w:rsidRPr="003B5EA4">
              <w:t>)</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rPr>
                <w:color w:val="000000"/>
              </w:rPr>
              <w:t xml:space="preserve">Commencer le service le jour </w:t>
            </w:r>
            <w:r w:rsidRPr="003B5EA4">
              <w:rPr>
                <w:color w:val="000000"/>
              </w:rPr>
              <w:br/>
              <w:t>de l</w:t>
            </w:r>
            <w:r w:rsidR="00762E0A">
              <w:rPr>
                <w:color w:val="000000"/>
              </w:rPr>
              <w:t>’</w:t>
            </w:r>
            <w:r w:rsidRPr="003B5EA4">
              <w:rPr>
                <w:color w:val="000000"/>
              </w:rPr>
              <w:t>arrivée n</w:t>
            </w:r>
            <w:r w:rsidR="00762E0A">
              <w:rPr>
                <w:color w:val="000000"/>
              </w:rPr>
              <w:t>’</w:t>
            </w:r>
            <w:r w:rsidRPr="003B5EA4">
              <w:rPr>
                <w:color w:val="000000"/>
              </w:rPr>
              <w:t>est pas requis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760ED5">
            <w:pPr>
              <w:suppressAutoHyphens w:val="0"/>
              <w:spacing w:before="40" w:after="120"/>
            </w:pPr>
            <w:r w:rsidRPr="003B5EA4">
              <w:t xml:space="preserve">Plus de 12 </w:t>
            </w:r>
            <w:r w:rsidR="00054102" w:rsidRPr="003B5EA4">
              <w:t>heures</w:t>
            </w:r>
            <w:r w:rsidR="00054102" w:rsidRPr="003B5EA4">
              <w:rPr>
                <w:i/>
                <w:sz w:val="18"/>
                <w:vertAlign w:val="superscript"/>
              </w:rPr>
              <w:t xml:space="preserve"> </w:t>
            </w:r>
            <w:r w:rsidRPr="003B5EA4">
              <w:t>(classe économique)</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760ED5">
            <w:pPr>
              <w:suppressAutoHyphens w:val="0"/>
              <w:spacing w:before="40" w:after="120"/>
            </w:pPr>
            <w:r w:rsidRPr="003B5EA4">
              <w:rPr>
                <w:color w:val="000000"/>
              </w:rPr>
              <w:t>Quelle que soit la durée</w:t>
            </w:r>
            <w:r w:rsidRPr="003B5EA4">
              <w:t xml:space="preserve"> </w:t>
            </w:r>
            <w:r w:rsidRPr="003B5EA4">
              <w:br/>
              <w:t>(clas</w:t>
            </w:r>
            <w:r w:rsidR="000A3489">
              <w:t>s</w:t>
            </w:r>
            <w:r w:rsidRPr="003B5EA4">
              <w:t>e affaires)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OMT</w:t>
            </w:r>
            <w:r w:rsidRPr="003B5EA4">
              <w:rPr>
                <w:i/>
                <w:sz w:val="18"/>
                <w:vertAlign w:val="superscript"/>
              </w:rPr>
              <w:t>i</w:t>
            </w:r>
          </w:p>
        </w:tc>
        <w:tc>
          <w:tcPr>
            <w:tcW w:w="2552" w:type="dxa"/>
            <w:shd w:val="clear" w:color="auto" w:fill="auto"/>
            <w:noWrap/>
          </w:tcPr>
          <w:p w:rsidR="004D05AD" w:rsidRPr="003B5EA4" w:rsidRDefault="004D05AD" w:rsidP="009612B8">
            <w:pPr>
              <w:suppressAutoHyphens w:val="0"/>
              <w:spacing w:before="40" w:after="120"/>
            </w:pPr>
            <w:r w:rsidRPr="003B5EA4">
              <w:t xml:space="preserve">De 10 </w:t>
            </w:r>
            <w:r w:rsidR="006E0191" w:rsidRPr="003B5EA4">
              <w:t>à</w:t>
            </w:r>
            <w:r w:rsidRPr="003B5EA4">
              <w:t xml:space="preserve"> 12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12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C1124D" w:rsidRPr="003B5EA4" w:rsidTr="00B47843">
        <w:trPr>
          <w:trHeight w:val="240"/>
        </w:trPr>
        <w:tc>
          <w:tcPr>
            <w:tcW w:w="1701" w:type="dxa"/>
            <w:shd w:val="clear" w:color="auto" w:fill="auto"/>
            <w:noWrap/>
          </w:tcPr>
          <w:p w:rsidR="00C1124D" w:rsidRPr="003B5EA4" w:rsidRDefault="00C1124D" w:rsidP="00C1124D">
            <w:pPr>
              <w:suppressAutoHyphens w:val="0"/>
              <w:spacing w:before="40" w:after="120"/>
            </w:pPr>
            <w:r w:rsidRPr="003B5EA4">
              <w:t>ONU</w:t>
            </w:r>
          </w:p>
        </w:tc>
        <w:tc>
          <w:tcPr>
            <w:tcW w:w="2552" w:type="dxa"/>
            <w:shd w:val="clear" w:color="auto" w:fill="auto"/>
            <w:noWrap/>
          </w:tcPr>
          <w:p w:rsidR="00C1124D" w:rsidRPr="003B5EA4" w:rsidRDefault="00C1124D" w:rsidP="00C1124D">
            <w:pPr>
              <w:suppressAutoHyphens w:val="0"/>
              <w:spacing w:before="40" w:after="120"/>
            </w:pPr>
            <w:r w:rsidRPr="003B5EA4">
              <w:t>Plus de 6 heures</w:t>
            </w:r>
          </w:p>
        </w:tc>
        <w:tc>
          <w:tcPr>
            <w:tcW w:w="1843" w:type="dxa"/>
            <w:shd w:val="clear" w:color="auto" w:fill="auto"/>
            <w:noWrap/>
          </w:tcPr>
          <w:p w:rsidR="00C1124D" w:rsidRPr="003B5EA4" w:rsidRDefault="00C1124D" w:rsidP="00C1124D">
            <w:pPr>
              <w:suppressAutoHyphens w:val="0"/>
              <w:spacing w:before="40" w:after="120"/>
            </w:pPr>
            <w:r w:rsidRPr="003B5EA4">
              <w:t>Pas d</w:t>
            </w:r>
            <w:r w:rsidR="00762E0A">
              <w:t>’</w:t>
            </w:r>
            <w:r w:rsidRPr="003B5EA4">
              <w:t>escale</w:t>
            </w:r>
          </w:p>
        </w:tc>
        <w:tc>
          <w:tcPr>
            <w:tcW w:w="708" w:type="dxa"/>
            <w:shd w:val="clear" w:color="auto" w:fill="auto"/>
            <w:noWrap/>
          </w:tcPr>
          <w:p w:rsidR="00C1124D" w:rsidRPr="003B5EA4" w:rsidRDefault="00C1124D" w:rsidP="00C1124D">
            <w:pPr>
              <w:suppressAutoHyphens w:val="0"/>
              <w:spacing w:before="40" w:after="120"/>
            </w:pPr>
          </w:p>
        </w:tc>
        <w:tc>
          <w:tcPr>
            <w:tcW w:w="2833" w:type="dxa"/>
            <w:shd w:val="clear" w:color="auto" w:fill="auto"/>
            <w:tcMar>
              <w:right w:w="28" w:type="dxa"/>
            </w:tcMar>
          </w:tcPr>
          <w:p w:rsidR="00C1124D" w:rsidRPr="003B5EA4" w:rsidRDefault="00C1124D" w:rsidP="00C1124D">
            <w:pPr>
              <w:suppressAutoHyphens w:val="0"/>
              <w:spacing w:before="40" w:after="120"/>
            </w:pPr>
            <w:r w:rsidRPr="003B5EA4">
              <w:t>12 heures</w:t>
            </w:r>
            <w:r w:rsidRPr="003B5EA4">
              <w:rPr>
                <w:i/>
                <w:sz w:val="18"/>
                <w:vertAlign w:val="superscript"/>
              </w:rPr>
              <w:t>b</w:t>
            </w:r>
          </w:p>
        </w:tc>
      </w:tr>
      <w:tr w:rsidR="004D05AD" w:rsidRPr="003B5EA4" w:rsidTr="004D05AD">
        <w:trPr>
          <w:cantSplit/>
          <w:trHeight w:val="240"/>
        </w:trPr>
        <w:tc>
          <w:tcPr>
            <w:tcW w:w="1701" w:type="dxa"/>
            <w:vMerge w:val="restart"/>
            <w:shd w:val="clear" w:color="auto" w:fill="auto"/>
            <w:noWrap/>
          </w:tcPr>
          <w:p w:rsidR="004D05AD" w:rsidRPr="003B5EA4" w:rsidRDefault="004D05AD" w:rsidP="004D05AD">
            <w:pPr>
              <w:keepNext/>
              <w:suppressAutoHyphens w:val="0"/>
              <w:spacing w:before="40" w:after="120"/>
            </w:pPr>
            <w:r w:rsidRPr="003B5EA4">
              <w:lastRenderedPageBreak/>
              <w:t>ONU-Femmes</w:t>
            </w:r>
          </w:p>
        </w:tc>
        <w:tc>
          <w:tcPr>
            <w:tcW w:w="2552" w:type="dxa"/>
            <w:shd w:val="clear" w:color="auto" w:fill="auto"/>
            <w:noWrap/>
          </w:tcPr>
          <w:p w:rsidR="004D05AD" w:rsidRPr="003B5EA4" w:rsidRDefault="004D05AD" w:rsidP="004D05AD">
            <w:pPr>
              <w:keepNext/>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4D05AD">
            <w:pPr>
              <w:keepNext/>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4D05AD">
            <w:pPr>
              <w:keepNext/>
              <w:suppressAutoHyphens w:val="0"/>
              <w:spacing w:before="40" w:after="120"/>
            </w:pPr>
          </w:p>
        </w:tc>
        <w:tc>
          <w:tcPr>
            <w:tcW w:w="2833" w:type="dxa"/>
            <w:shd w:val="clear" w:color="auto" w:fill="auto"/>
            <w:tcMar>
              <w:right w:w="28" w:type="dxa"/>
            </w:tcMar>
          </w:tcPr>
          <w:p w:rsidR="004D05AD" w:rsidRPr="003B5EA4" w:rsidRDefault="004D05AD" w:rsidP="004D05AD">
            <w:pPr>
              <w:keepNext/>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4D05AD">
            <w:pPr>
              <w:keepNext/>
              <w:suppressAutoHyphens w:val="0"/>
              <w:spacing w:before="40" w:after="120"/>
            </w:pPr>
          </w:p>
        </w:tc>
        <w:tc>
          <w:tcPr>
            <w:tcW w:w="2552" w:type="dxa"/>
            <w:shd w:val="clear" w:color="auto" w:fill="auto"/>
            <w:noWrap/>
          </w:tcPr>
          <w:p w:rsidR="004D05AD" w:rsidRPr="003B5EA4" w:rsidRDefault="004D05AD" w:rsidP="004D05AD">
            <w:pPr>
              <w:keepNext/>
              <w:suppressAutoHyphens w:val="0"/>
              <w:spacing w:before="40" w:after="120"/>
            </w:pPr>
            <w:r w:rsidRPr="003B5EA4">
              <w:t xml:space="preserve">De 10 </w:t>
            </w:r>
            <w:r w:rsidR="006E0191" w:rsidRPr="003B5EA4">
              <w:t>à</w:t>
            </w:r>
            <w:r w:rsidRPr="003B5EA4">
              <w:t xml:space="preserve"> 16 heures</w:t>
            </w:r>
          </w:p>
        </w:tc>
        <w:tc>
          <w:tcPr>
            <w:tcW w:w="1843" w:type="dxa"/>
            <w:shd w:val="clear" w:color="auto" w:fill="auto"/>
            <w:noWrap/>
          </w:tcPr>
          <w:p w:rsidR="004D05AD" w:rsidRPr="003B5EA4" w:rsidRDefault="004D05AD" w:rsidP="004D05AD">
            <w:pPr>
              <w:keepNext/>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4D05AD">
            <w:pPr>
              <w:keepNext/>
              <w:suppressAutoHyphens w:val="0"/>
              <w:spacing w:before="40" w:after="120"/>
            </w:pPr>
          </w:p>
        </w:tc>
        <w:tc>
          <w:tcPr>
            <w:tcW w:w="2833" w:type="dxa"/>
            <w:shd w:val="clear" w:color="auto" w:fill="auto"/>
            <w:tcMar>
              <w:right w:w="28" w:type="dxa"/>
            </w:tcMar>
          </w:tcPr>
          <w:p w:rsidR="004D05AD" w:rsidRPr="003B5EA4" w:rsidRDefault="004D05AD" w:rsidP="004D05AD">
            <w:pPr>
              <w:keepNext/>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C1124D">
            <w:pPr>
              <w:suppressAutoHyphens w:val="0"/>
              <w:spacing w:before="40" w:after="120"/>
            </w:pPr>
          </w:p>
        </w:tc>
        <w:tc>
          <w:tcPr>
            <w:tcW w:w="2552" w:type="dxa"/>
            <w:shd w:val="clear" w:color="auto" w:fill="auto"/>
            <w:noWrap/>
          </w:tcPr>
          <w:p w:rsidR="004D05AD" w:rsidRPr="003B5EA4" w:rsidRDefault="004D05AD" w:rsidP="00C1124D">
            <w:pPr>
              <w:suppressAutoHyphens w:val="0"/>
              <w:spacing w:before="40" w:after="120"/>
            </w:pPr>
            <w:r w:rsidRPr="003B5EA4">
              <w:t xml:space="preserve">De 16 </w:t>
            </w:r>
            <w:r w:rsidR="006E0191" w:rsidRPr="003B5EA4">
              <w:t>à</w:t>
            </w:r>
            <w:r w:rsidRPr="003B5EA4">
              <w:t xml:space="preserve"> 24 heures</w:t>
            </w:r>
            <w:r w:rsidRPr="003B5EA4">
              <w:rPr>
                <w:i/>
                <w:sz w:val="18"/>
                <w:vertAlign w:val="superscript"/>
              </w:rPr>
              <w:t>h</w:t>
            </w:r>
          </w:p>
        </w:tc>
        <w:tc>
          <w:tcPr>
            <w:tcW w:w="1843" w:type="dxa"/>
            <w:shd w:val="clear" w:color="auto" w:fill="auto"/>
            <w:noWrap/>
          </w:tcPr>
          <w:p w:rsidR="004D05AD" w:rsidRPr="003B5EA4" w:rsidRDefault="004D05AD" w:rsidP="00C1124D">
            <w:pPr>
              <w:suppressAutoHyphens w:val="0"/>
              <w:spacing w:before="40" w:after="120"/>
            </w:pPr>
            <w:r w:rsidRPr="003B5EA4">
              <w:t>Une escale</w:t>
            </w:r>
          </w:p>
        </w:tc>
        <w:tc>
          <w:tcPr>
            <w:tcW w:w="708" w:type="dxa"/>
            <w:shd w:val="clear" w:color="auto" w:fill="auto"/>
            <w:noWrap/>
          </w:tcPr>
          <w:p w:rsidR="004D05AD" w:rsidRPr="003B5EA4" w:rsidRDefault="004D05AD" w:rsidP="00C1124D">
            <w:pPr>
              <w:suppressAutoHyphens w:val="0"/>
              <w:spacing w:before="40" w:after="120"/>
            </w:pPr>
            <w:r w:rsidRPr="003B5EA4">
              <w:t>et</w:t>
            </w:r>
          </w:p>
        </w:tc>
        <w:tc>
          <w:tcPr>
            <w:tcW w:w="2833" w:type="dxa"/>
            <w:shd w:val="clear" w:color="auto" w:fill="auto"/>
            <w:tcMar>
              <w:right w:w="28" w:type="dxa"/>
            </w:tcMar>
          </w:tcPr>
          <w:p w:rsidR="004D05AD" w:rsidRPr="003B5EA4" w:rsidRDefault="004D05AD" w:rsidP="00C1124D">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C1124D">
            <w:pPr>
              <w:suppressAutoHyphens w:val="0"/>
              <w:spacing w:before="40" w:after="120"/>
            </w:pPr>
          </w:p>
        </w:tc>
        <w:tc>
          <w:tcPr>
            <w:tcW w:w="2552" w:type="dxa"/>
            <w:shd w:val="clear" w:color="auto" w:fill="auto"/>
            <w:noWrap/>
          </w:tcPr>
          <w:p w:rsidR="004D05AD" w:rsidRPr="003B5EA4" w:rsidRDefault="004D05AD" w:rsidP="00C1124D">
            <w:pPr>
              <w:suppressAutoHyphens w:val="0"/>
              <w:spacing w:before="40" w:after="120"/>
            </w:pPr>
          </w:p>
        </w:tc>
        <w:tc>
          <w:tcPr>
            <w:tcW w:w="1843" w:type="dxa"/>
            <w:shd w:val="clear" w:color="auto" w:fill="auto"/>
            <w:noWrap/>
          </w:tcPr>
          <w:p w:rsidR="004D05AD" w:rsidRPr="003B5EA4" w:rsidRDefault="004D05AD" w:rsidP="00664976">
            <w:pPr>
              <w:suppressAutoHyphens w:val="0"/>
              <w:spacing w:before="40" w:after="120"/>
            </w:pPr>
            <w:r w:rsidRPr="003B5EA4">
              <w:t xml:space="preserve">ou </w:t>
            </w:r>
            <w:r w:rsidR="00664976">
              <w:t>pas d’</w:t>
            </w:r>
            <w:r w:rsidRPr="003B5EA4">
              <w:t>escale</w:t>
            </w:r>
          </w:p>
        </w:tc>
        <w:tc>
          <w:tcPr>
            <w:tcW w:w="708" w:type="dxa"/>
            <w:shd w:val="clear" w:color="auto" w:fill="auto"/>
            <w:noWrap/>
          </w:tcPr>
          <w:p w:rsidR="004D05AD" w:rsidRPr="003B5EA4" w:rsidRDefault="004D05AD" w:rsidP="00C1124D">
            <w:pPr>
              <w:suppressAutoHyphens w:val="0"/>
              <w:spacing w:before="40" w:after="120"/>
            </w:pPr>
            <w:r w:rsidRPr="003B5EA4">
              <w:t>et</w:t>
            </w:r>
          </w:p>
        </w:tc>
        <w:tc>
          <w:tcPr>
            <w:tcW w:w="2833" w:type="dxa"/>
            <w:shd w:val="clear" w:color="auto" w:fill="auto"/>
            <w:tcMar>
              <w:right w:w="28" w:type="dxa"/>
            </w:tcMar>
          </w:tcPr>
          <w:p w:rsidR="004D05AD" w:rsidRPr="003B5EA4" w:rsidRDefault="004D05AD" w:rsidP="00C1124D">
            <w:pPr>
              <w:suppressAutoHyphens w:val="0"/>
              <w:spacing w:before="40" w:after="120"/>
            </w:pPr>
            <w:r w:rsidRPr="003B5EA4">
              <w:t>24 heures</w:t>
            </w:r>
          </w:p>
        </w:tc>
      </w:tr>
      <w:tr w:rsidR="00D820DA" w:rsidRPr="003B5EA4" w:rsidTr="00B47843">
        <w:trPr>
          <w:trHeight w:val="240"/>
        </w:trPr>
        <w:tc>
          <w:tcPr>
            <w:tcW w:w="1701" w:type="dxa"/>
            <w:shd w:val="clear" w:color="auto" w:fill="auto"/>
            <w:noWrap/>
          </w:tcPr>
          <w:p w:rsidR="00D820DA" w:rsidRPr="003B5EA4" w:rsidRDefault="00D820DA" w:rsidP="00D820DA">
            <w:pPr>
              <w:suppressAutoHyphens w:val="0"/>
              <w:spacing w:before="40" w:after="120"/>
            </w:pPr>
            <w:r w:rsidRPr="003B5EA4">
              <w:t>ONUDC</w:t>
            </w:r>
            <w:r w:rsidRPr="003B5EA4">
              <w:rPr>
                <w:i/>
                <w:sz w:val="18"/>
                <w:vertAlign w:val="superscript"/>
              </w:rPr>
              <w:t>g</w:t>
            </w:r>
          </w:p>
        </w:tc>
        <w:tc>
          <w:tcPr>
            <w:tcW w:w="2552" w:type="dxa"/>
            <w:shd w:val="clear" w:color="auto" w:fill="auto"/>
            <w:noWrap/>
          </w:tcPr>
          <w:p w:rsidR="00D820DA" w:rsidRPr="003B5EA4" w:rsidRDefault="00D820DA" w:rsidP="00D820DA">
            <w:pPr>
              <w:suppressAutoHyphens w:val="0"/>
              <w:spacing w:before="40" w:after="120"/>
            </w:pPr>
            <w:r w:rsidRPr="003B5EA4">
              <w:t>Plus de 6 heures</w:t>
            </w:r>
          </w:p>
        </w:tc>
        <w:tc>
          <w:tcPr>
            <w:tcW w:w="1843" w:type="dxa"/>
            <w:shd w:val="clear" w:color="auto" w:fill="auto"/>
            <w:noWrap/>
          </w:tcPr>
          <w:p w:rsidR="00D820DA" w:rsidRPr="003B5EA4" w:rsidRDefault="00D820DA" w:rsidP="00D820DA">
            <w:pPr>
              <w:suppressAutoHyphens w:val="0"/>
              <w:spacing w:before="40" w:after="120"/>
            </w:pPr>
            <w:r w:rsidRPr="003B5EA4">
              <w:t>Pas d</w:t>
            </w:r>
            <w:r w:rsidR="00762E0A">
              <w:t>’</w:t>
            </w:r>
            <w:r w:rsidRPr="003B5EA4">
              <w:t>escale</w:t>
            </w:r>
          </w:p>
        </w:tc>
        <w:tc>
          <w:tcPr>
            <w:tcW w:w="708" w:type="dxa"/>
            <w:shd w:val="clear" w:color="auto" w:fill="auto"/>
            <w:noWrap/>
          </w:tcPr>
          <w:p w:rsidR="00D820DA" w:rsidRPr="003B5EA4" w:rsidRDefault="00D820DA" w:rsidP="00D820DA">
            <w:pPr>
              <w:suppressAutoHyphens w:val="0"/>
              <w:spacing w:before="40" w:after="120"/>
            </w:pPr>
          </w:p>
        </w:tc>
        <w:tc>
          <w:tcPr>
            <w:tcW w:w="2833" w:type="dxa"/>
            <w:shd w:val="clear" w:color="auto" w:fill="auto"/>
            <w:tcMar>
              <w:right w:w="28" w:type="dxa"/>
            </w:tcMar>
          </w:tcPr>
          <w:p w:rsidR="00D820DA" w:rsidRPr="003B5EA4" w:rsidRDefault="00D820DA" w:rsidP="00D820DA">
            <w:pPr>
              <w:suppressAutoHyphens w:val="0"/>
              <w:spacing w:before="40" w:after="120"/>
            </w:pPr>
            <w:r w:rsidRPr="003B5EA4">
              <w:t>12 heures</w:t>
            </w:r>
            <w:r w:rsidRPr="003B5EA4">
              <w:rPr>
                <w:i/>
                <w:sz w:val="18"/>
                <w:vertAlign w:val="superscript"/>
              </w:rPr>
              <w:t>b</w:t>
            </w:r>
          </w:p>
        </w:tc>
      </w:tr>
      <w:tr w:rsidR="004D05AD" w:rsidRPr="003B5EA4" w:rsidTr="00B47843">
        <w:trPr>
          <w:trHeight w:val="240"/>
        </w:trPr>
        <w:tc>
          <w:tcPr>
            <w:tcW w:w="1701" w:type="dxa"/>
            <w:vMerge w:val="restart"/>
            <w:shd w:val="clear" w:color="auto" w:fill="auto"/>
            <w:noWrap/>
          </w:tcPr>
          <w:p w:rsidR="004D05AD" w:rsidRPr="003B5EA4" w:rsidRDefault="004D05AD" w:rsidP="009612B8">
            <w:pPr>
              <w:keepNext/>
              <w:keepLines/>
              <w:suppressAutoHyphens w:val="0"/>
              <w:spacing w:before="40" w:after="120"/>
            </w:pPr>
            <w:r w:rsidRPr="003B5EA4">
              <w:t>ONUDI</w:t>
            </w:r>
          </w:p>
        </w:tc>
        <w:tc>
          <w:tcPr>
            <w:tcW w:w="2552" w:type="dxa"/>
            <w:shd w:val="clear" w:color="auto" w:fill="auto"/>
            <w:noWrap/>
          </w:tcPr>
          <w:p w:rsidR="004D05AD" w:rsidRPr="003B5EA4" w:rsidRDefault="004D05AD" w:rsidP="009612B8">
            <w:pPr>
              <w:keepNext/>
              <w:keepLines/>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9612B8">
            <w:pPr>
              <w:keepNext/>
              <w:keepLines/>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keepNext/>
              <w:keepLines/>
              <w:suppressAutoHyphens w:val="0"/>
              <w:spacing w:before="40" w:after="120"/>
            </w:pPr>
          </w:p>
        </w:tc>
        <w:tc>
          <w:tcPr>
            <w:tcW w:w="2833" w:type="dxa"/>
            <w:shd w:val="clear" w:color="auto" w:fill="auto"/>
            <w:tcMar>
              <w:right w:w="28" w:type="dxa"/>
            </w:tcMar>
          </w:tcPr>
          <w:p w:rsidR="004D05AD" w:rsidRPr="003B5EA4" w:rsidRDefault="004D05AD" w:rsidP="009612B8">
            <w:pPr>
              <w:keepNext/>
              <w:keepLines/>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keepNext/>
              <w:keepLines/>
              <w:suppressAutoHyphens w:val="0"/>
              <w:spacing w:before="40" w:after="120"/>
            </w:pPr>
          </w:p>
        </w:tc>
        <w:tc>
          <w:tcPr>
            <w:tcW w:w="2552" w:type="dxa"/>
            <w:shd w:val="clear" w:color="auto" w:fill="auto"/>
            <w:noWrap/>
          </w:tcPr>
          <w:p w:rsidR="004D05AD" w:rsidRPr="003B5EA4" w:rsidRDefault="004D05AD" w:rsidP="007B46AB">
            <w:pPr>
              <w:keepNext/>
              <w:keepLines/>
              <w:suppressAutoHyphens w:val="0"/>
              <w:spacing w:before="40" w:after="120"/>
            </w:pPr>
            <w:r w:rsidRPr="003B5EA4">
              <w:t xml:space="preserve">De 10 </w:t>
            </w:r>
            <w:r w:rsidR="006E0191" w:rsidRPr="003B5EA4">
              <w:t>à</w:t>
            </w:r>
            <w:r w:rsidRPr="003B5EA4">
              <w:t xml:space="preserve"> 16 heures</w:t>
            </w:r>
            <w:r w:rsidRPr="003B5EA4">
              <w:rPr>
                <w:i/>
                <w:sz w:val="18"/>
                <w:vertAlign w:val="superscript"/>
              </w:rPr>
              <w:t>a</w:t>
            </w:r>
          </w:p>
        </w:tc>
        <w:tc>
          <w:tcPr>
            <w:tcW w:w="1843" w:type="dxa"/>
            <w:shd w:val="clear" w:color="auto" w:fill="auto"/>
            <w:noWrap/>
          </w:tcPr>
          <w:p w:rsidR="004D05AD" w:rsidRPr="003B5EA4" w:rsidRDefault="004D05AD" w:rsidP="009612B8">
            <w:pPr>
              <w:keepNext/>
              <w:keepLines/>
              <w:suppressAutoHyphens w:val="0"/>
              <w:spacing w:before="40" w:after="120"/>
            </w:pPr>
            <w:r w:rsidRPr="003B5EA4">
              <w:t>Une escale</w:t>
            </w:r>
          </w:p>
        </w:tc>
        <w:tc>
          <w:tcPr>
            <w:tcW w:w="708" w:type="dxa"/>
            <w:shd w:val="clear" w:color="auto" w:fill="auto"/>
            <w:noWrap/>
          </w:tcPr>
          <w:p w:rsidR="004D05AD" w:rsidRPr="003B5EA4" w:rsidRDefault="004D05AD" w:rsidP="00A1019A">
            <w:pPr>
              <w:keepNext/>
              <w:keepLines/>
              <w:suppressAutoHyphens w:val="0"/>
              <w:spacing w:before="40" w:after="120"/>
            </w:pPr>
            <w:r w:rsidRPr="003B5EA4">
              <w:t>ou</w:t>
            </w:r>
          </w:p>
        </w:tc>
        <w:tc>
          <w:tcPr>
            <w:tcW w:w="2833" w:type="dxa"/>
            <w:shd w:val="clear" w:color="auto" w:fill="auto"/>
            <w:tcMar>
              <w:right w:w="28" w:type="dxa"/>
            </w:tcMar>
          </w:tcPr>
          <w:p w:rsidR="004D05AD" w:rsidRPr="003B5EA4" w:rsidRDefault="004D05AD" w:rsidP="009612B8">
            <w:pPr>
              <w:keepNext/>
              <w:keepLines/>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7B46AB">
            <w:pPr>
              <w:suppressAutoHyphens w:val="0"/>
              <w:spacing w:before="40" w:after="120"/>
            </w:pPr>
            <w:r w:rsidRPr="003B5EA4">
              <w:t>Plus de 16 heures</w:t>
            </w:r>
            <w:r w:rsidRPr="003B5EA4">
              <w:rPr>
                <w:i/>
                <w:sz w:val="18"/>
                <w:vertAlign w:val="superscript"/>
              </w:rPr>
              <w:t>a</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5B5833">
            <w:pPr>
              <w:suppressAutoHyphens w:val="0"/>
              <w:spacing w:before="40" w:after="120"/>
            </w:pPr>
            <w:r w:rsidRPr="003B5EA4">
              <w:t>ou deux escales</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ONUSIDA</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7B46AB">
            <w:pPr>
              <w:suppressAutoHyphens w:val="0"/>
              <w:spacing w:before="40" w:after="120"/>
            </w:pPr>
            <w:r w:rsidRPr="003B5EA4">
              <w:t xml:space="preserve">De 10 </w:t>
            </w:r>
            <w:r w:rsidR="006E0191" w:rsidRPr="003B5EA4">
              <w:t>à</w:t>
            </w:r>
            <w:r w:rsidRPr="003B5EA4">
              <w:t xml:space="preserve"> 16 heures</w:t>
            </w:r>
            <w:r w:rsidRPr="003B5EA4">
              <w:rPr>
                <w:i/>
                <w:sz w:val="18"/>
                <w:vertAlign w:val="superscript"/>
              </w:rPr>
              <w:t>a</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ou</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16 heures</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295AE1">
            <w:pPr>
              <w:suppressAutoHyphens w:val="0"/>
              <w:spacing w:before="40" w:after="120"/>
            </w:pPr>
            <w:r w:rsidRPr="003B5EA4">
              <w:t>ou deux escales</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B47843">
        <w:trPr>
          <w:trHeight w:val="240"/>
        </w:trPr>
        <w:tc>
          <w:tcPr>
            <w:tcW w:w="1701" w:type="dxa"/>
            <w:vMerge w:val="restart"/>
            <w:shd w:val="clear" w:color="auto" w:fill="auto"/>
            <w:noWrap/>
          </w:tcPr>
          <w:p w:rsidR="004D05AD" w:rsidRPr="003B5EA4" w:rsidRDefault="004D05AD" w:rsidP="00347099">
            <w:pPr>
              <w:suppressAutoHyphens w:val="0"/>
              <w:spacing w:before="40" w:after="120"/>
            </w:pPr>
            <w:r w:rsidRPr="003B5EA4">
              <w:t>PAM</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 xml:space="preserve">De 10 </w:t>
            </w:r>
            <w:r w:rsidR="006E0191" w:rsidRPr="003B5EA4">
              <w:t>à</w:t>
            </w:r>
            <w:r w:rsidRPr="003B5EA4">
              <w:t xml:space="preserve"> 18 heures</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o</w:t>
            </w:r>
            <w:r w:rsidR="00664976">
              <w:t>u</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18 heures</w:t>
            </w:r>
          </w:p>
        </w:tc>
        <w:tc>
          <w:tcPr>
            <w:tcW w:w="1843" w:type="dxa"/>
            <w:shd w:val="clear" w:color="auto" w:fill="auto"/>
            <w:noWrap/>
          </w:tcPr>
          <w:p w:rsidR="004D05AD" w:rsidRPr="003B5EA4" w:rsidRDefault="004D05AD" w:rsidP="009612B8">
            <w:pPr>
              <w:suppressAutoHyphens w:val="0"/>
              <w:spacing w:before="40" w:after="120"/>
            </w:pPr>
            <w:r w:rsidRPr="003B5EA4">
              <w:t>Deux escales</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D42E5E">
            <w:pPr>
              <w:suppressAutoHyphens w:val="0"/>
              <w:spacing w:before="40" w:after="120"/>
            </w:pPr>
            <w:r w:rsidRPr="003B5EA4">
              <w:t>ou une 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val="restart"/>
            <w:shd w:val="clear" w:color="auto" w:fill="auto"/>
            <w:noWrap/>
          </w:tcPr>
          <w:p w:rsidR="004D05AD" w:rsidRPr="003B5EA4" w:rsidRDefault="004D05AD" w:rsidP="00347099">
            <w:pPr>
              <w:suppressAutoHyphens w:val="0"/>
              <w:spacing w:before="40" w:after="120"/>
            </w:pPr>
            <w:r w:rsidRPr="003B5EA4">
              <w:t>PNUD et FNUAP</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 xml:space="preserve">De 10 </w:t>
            </w:r>
            <w:r w:rsidR="006E0191" w:rsidRPr="003B5EA4">
              <w:t>à</w:t>
            </w:r>
            <w:r w:rsidRPr="003B5EA4">
              <w:t xml:space="preserve"> 16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 xml:space="preserve">De 16 </w:t>
            </w:r>
            <w:r w:rsidR="006E0191" w:rsidRPr="003B5EA4">
              <w:t>à</w:t>
            </w:r>
            <w:r w:rsidRPr="003B5EA4">
              <w:t xml:space="preserve"> 24 heures</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r w:rsidRPr="003B5EA4">
              <w:rPr>
                <w:i/>
                <w:sz w:val="18"/>
                <w:vertAlign w:val="superscript"/>
              </w:rPr>
              <w:t>e</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D42E5E">
            <w:pPr>
              <w:suppressAutoHyphens w:val="0"/>
              <w:spacing w:before="40" w:after="120"/>
            </w:pPr>
            <w:r w:rsidRPr="003B5EA4">
              <w:t>ou 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E4308E" w:rsidRPr="003B5EA4" w:rsidTr="00B47843">
        <w:trPr>
          <w:trHeight w:val="240"/>
        </w:trPr>
        <w:tc>
          <w:tcPr>
            <w:tcW w:w="1701" w:type="dxa"/>
            <w:shd w:val="clear" w:color="auto" w:fill="auto"/>
            <w:noWrap/>
          </w:tcPr>
          <w:p w:rsidR="00E4308E" w:rsidRPr="003B5EA4" w:rsidRDefault="00E4308E" w:rsidP="00347099">
            <w:pPr>
              <w:suppressAutoHyphens w:val="0"/>
              <w:spacing w:before="40" w:after="120"/>
            </w:pPr>
            <w:r w:rsidRPr="003B5EA4">
              <w:t>PNU</w:t>
            </w:r>
            <w:r w:rsidR="00347099" w:rsidRPr="003B5EA4">
              <w:t>E</w:t>
            </w:r>
          </w:p>
        </w:tc>
        <w:tc>
          <w:tcPr>
            <w:tcW w:w="2552" w:type="dxa"/>
            <w:shd w:val="clear" w:color="auto" w:fill="auto"/>
            <w:noWrap/>
          </w:tcPr>
          <w:p w:rsidR="00E4308E" w:rsidRPr="003B5EA4" w:rsidRDefault="00760ED5" w:rsidP="009612B8">
            <w:pPr>
              <w:suppressAutoHyphens w:val="0"/>
              <w:spacing w:before="40" w:after="120"/>
            </w:pPr>
            <w:r w:rsidRPr="003B5EA4">
              <w:t xml:space="preserve">Plus </w:t>
            </w:r>
            <w:r w:rsidR="00E4308E" w:rsidRPr="003B5EA4">
              <w:t xml:space="preserve">de 6 </w:t>
            </w:r>
            <w:r w:rsidR="007B46AB" w:rsidRPr="003B5EA4">
              <w:t>heures</w:t>
            </w:r>
          </w:p>
        </w:tc>
        <w:tc>
          <w:tcPr>
            <w:tcW w:w="1843" w:type="dxa"/>
            <w:shd w:val="clear" w:color="auto" w:fill="auto"/>
            <w:noWrap/>
          </w:tcPr>
          <w:p w:rsidR="00E4308E" w:rsidRPr="003B5EA4" w:rsidRDefault="00A1019A" w:rsidP="009612B8">
            <w:pPr>
              <w:suppressAutoHyphens w:val="0"/>
              <w:spacing w:before="40" w:after="120"/>
            </w:pPr>
            <w:r w:rsidRPr="003B5EA4">
              <w:t>Pas d</w:t>
            </w:r>
            <w:r w:rsidR="00762E0A">
              <w:t>’</w:t>
            </w:r>
            <w:r w:rsidRPr="003B5EA4">
              <w:t>escale</w:t>
            </w:r>
          </w:p>
        </w:tc>
        <w:tc>
          <w:tcPr>
            <w:tcW w:w="708" w:type="dxa"/>
            <w:shd w:val="clear" w:color="auto" w:fill="auto"/>
            <w:noWrap/>
          </w:tcPr>
          <w:p w:rsidR="00E4308E" w:rsidRPr="003B5EA4" w:rsidRDefault="00E4308E" w:rsidP="009612B8">
            <w:pPr>
              <w:suppressAutoHyphens w:val="0"/>
              <w:spacing w:before="40" w:after="120"/>
            </w:pPr>
          </w:p>
        </w:tc>
        <w:tc>
          <w:tcPr>
            <w:tcW w:w="2833" w:type="dxa"/>
            <w:shd w:val="clear" w:color="auto" w:fill="auto"/>
            <w:tcMar>
              <w:right w:w="28" w:type="dxa"/>
            </w:tcMar>
          </w:tcPr>
          <w:p w:rsidR="00E4308E" w:rsidRPr="003B5EA4" w:rsidRDefault="00E4308E" w:rsidP="009612B8">
            <w:pPr>
              <w:suppressAutoHyphens w:val="0"/>
              <w:spacing w:before="40" w:after="120"/>
            </w:pPr>
            <w:r w:rsidRPr="003B5EA4">
              <w:t xml:space="preserve">12 </w:t>
            </w:r>
            <w:r w:rsidR="009612B8" w:rsidRPr="003B5EA4">
              <w:t>heures</w:t>
            </w:r>
            <w:r w:rsidRPr="003B5EA4">
              <w:rPr>
                <w:i/>
                <w:sz w:val="18"/>
                <w:vertAlign w:val="superscript"/>
              </w:rPr>
              <w:t>b</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UIT</w:t>
            </w:r>
          </w:p>
        </w:tc>
        <w:tc>
          <w:tcPr>
            <w:tcW w:w="2552" w:type="dxa"/>
            <w:shd w:val="clear" w:color="auto" w:fill="auto"/>
            <w:noWrap/>
          </w:tcPr>
          <w:p w:rsidR="004D05AD" w:rsidRPr="003B5EA4" w:rsidRDefault="004D05AD" w:rsidP="007B46AB">
            <w:pPr>
              <w:suppressAutoHyphens w:val="0"/>
              <w:spacing w:before="40" w:after="120"/>
            </w:pPr>
            <w:r w:rsidRPr="003B5EA4">
              <w:t xml:space="preserve">De 6 </w:t>
            </w:r>
            <w:r w:rsidR="006E0191" w:rsidRPr="003B5EA4">
              <w:t>à</w:t>
            </w:r>
            <w:r w:rsidRPr="003B5EA4">
              <w:t xml:space="preserve"> 10 heures</w:t>
            </w:r>
            <w:r w:rsidRPr="003B5EA4">
              <w:rPr>
                <w:i/>
                <w:sz w:val="18"/>
                <w:vertAlign w:val="superscript"/>
              </w:rPr>
              <w:t>d</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7B46AB">
            <w:pPr>
              <w:suppressAutoHyphens w:val="0"/>
              <w:spacing w:before="40" w:after="120"/>
            </w:pPr>
            <w:r w:rsidRPr="003B5EA4">
              <w:t xml:space="preserve">De 10 </w:t>
            </w:r>
            <w:r w:rsidR="006E0191" w:rsidRPr="003B5EA4">
              <w:t>à</w:t>
            </w:r>
            <w:r w:rsidRPr="003B5EA4">
              <w:t xml:space="preserve"> 16 heures</w:t>
            </w:r>
            <w:r w:rsidRPr="003B5EA4">
              <w:rPr>
                <w:i/>
                <w:sz w:val="18"/>
                <w:vertAlign w:val="superscript"/>
              </w:rPr>
              <w:t>a</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ou</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16 heures</w:t>
            </w:r>
          </w:p>
        </w:tc>
        <w:tc>
          <w:tcPr>
            <w:tcW w:w="1843" w:type="dxa"/>
            <w:shd w:val="clear" w:color="auto" w:fill="auto"/>
            <w:noWrap/>
          </w:tcPr>
          <w:p w:rsidR="004D05AD" w:rsidRPr="003B5EA4" w:rsidRDefault="004D05AD" w:rsidP="009612B8">
            <w:pPr>
              <w:suppressAutoHyphens w:val="0"/>
              <w:spacing w:before="40" w:after="120"/>
            </w:pPr>
            <w:r w:rsidRPr="003B5EA4">
              <w:t>Deux escales</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D42E5E">
            <w:pPr>
              <w:suppressAutoHyphens w:val="0"/>
              <w:spacing w:before="40" w:after="120"/>
            </w:pPr>
            <w:r w:rsidRPr="003B5EA4">
              <w:t>ou une 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UNESCO</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6E0191" w:rsidRPr="003B5EA4">
              <w:t>à</w:t>
            </w:r>
            <w:r w:rsidRPr="003B5EA4">
              <w:t xml:space="preserve"> 10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7B46AB">
            <w:pPr>
              <w:suppressAutoHyphens w:val="0"/>
              <w:spacing w:before="40" w:after="120"/>
            </w:pPr>
            <w:r w:rsidRPr="003B5EA4">
              <w:t xml:space="preserve">De 10 </w:t>
            </w:r>
            <w:r w:rsidR="006E0191" w:rsidRPr="003B5EA4">
              <w:t>à</w:t>
            </w:r>
            <w:r w:rsidRPr="003B5EA4">
              <w:t xml:space="preserve"> 16 heures</w:t>
            </w:r>
            <w:r w:rsidRPr="003B5EA4">
              <w:rPr>
                <w:i/>
                <w:sz w:val="18"/>
                <w:vertAlign w:val="superscript"/>
              </w:rPr>
              <w:t>a</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ou</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16 heures</w:t>
            </w:r>
          </w:p>
        </w:tc>
        <w:tc>
          <w:tcPr>
            <w:tcW w:w="1843" w:type="dxa"/>
            <w:shd w:val="clear" w:color="auto" w:fill="auto"/>
            <w:noWrap/>
          </w:tcPr>
          <w:p w:rsidR="004D05AD" w:rsidRPr="003B5EA4" w:rsidRDefault="004D05AD" w:rsidP="008865B7">
            <w:pPr>
              <w:suppressAutoHyphens w:val="0"/>
              <w:spacing w:before="40" w:after="120"/>
            </w:pPr>
            <w:r w:rsidRPr="003B5EA4">
              <w:t>Deux escales</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8865B7">
            <w:pPr>
              <w:suppressAutoHyphens w:val="0"/>
              <w:spacing w:before="40" w:after="120"/>
            </w:pPr>
            <w:r w:rsidRPr="003B5EA4">
              <w:t>ou une 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p>
        </w:tc>
        <w:tc>
          <w:tcPr>
            <w:tcW w:w="1843" w:type="dxa"/>
            <w:shd w:val="clear" w:color="auto" w:fill="auto"/>
            <w:noWrap/>
          </w:tcPr>
          <w:p w:rsidR="004D05AD" w:rsidRPr="003B5EA4" w:rsidRDefault="004D05AD" w:rsidP="008865B7">
            <w:pPr>
              <w:suppressAutoHyphens w:val="0"/>
              <w:spacing w:before="40" w:after="120"/>
            </w:pPr>
            <w:r w:rsidRPr="003B5EA4">
              <w:t>ou 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r w:rsidRPr="003B5EA4">
              <w:t>et</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48 heures</w:t>
            </w:r>
          </w:p>
        </w:tc>
      </w:tr>
      <w:tr w:rsidR="004D05AD" w:rsidRPr="003B5EA4" w:rsidTr="00B47843">
        <w:trPr>
          <w:trHeight w:val="240"/>
        </w:trPr>
        <w:tc>
          <w:tcPr>
            <w:tcW w:w="1701" w:type="dxa"/>
            <w:vMerge w:val="restart"/>
            <w:shd w:val="clear" w:color="auto" w:fill="auto"/>
            <w:noWrap/>
          </w:tcPr>
          <w:p w:rsidR="004D05AD" w:rsidRPr="003B5EA4" w:rsidRDefault="004D05AD" w:rsidP="009612B8">
            <w:pPr>
              <w:suppressAutoHyphens w:val="0"/>
              <w:spacing w:before="40" w:after="120"/>
            </w:pPr>
            <w:r w:rsidRPr="003B5EA4">
              <w:t>UNICEF</w:t>
            </w:r>
            <w:r w:rsidRPr="003B5EA4">
              <w:rPr>
                <w:i/>
                <w:sz w:val="18"/>
                <w:vertAlign w:val="superscript"/>
              </w:rPr>
              <w:t>f</w:t>
            </w:r>
          </w:p>
        </w:tc>
        <w:tc>
          <w:tcPr>
            <w:tcW w:w="2552" w:type="dxa"/>
            <w:shd w:val="clear" w:color="auto" w:fill="auto"/>
            <w:noWrap/>
          </w:tcPr>
          <w:p w:rsidR="004D05AD" w:rsidRPr="003B5EA4" w:rsidRDefault="004D05AD" w:rsidP="009612B8">
            <w:pPr>
              <w:suppressAutoHyphens w:val="0"/>
              <w:spacing w:before="40" w:after="120"/>
            </w:pPr>
            <w:r w:rsidRPr="003B5EA4">
              <w:t xml:space="preserve">De 6 </w:t>
            </w:r>
            <w:r w:rsidR="006E0191" w:rsidRPr="003B5EA4">
              <w:t>à</w:t>
            </w:r>
            <w:r w:rsidRPr="003B5EA4">
              <w:t xml:space="preserve"> 12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9612B8">
            <w:pPr>
              <w:suppressAutoHyphens w:val="0"/>
              <w:spacing w:before="40" w:after="120"/>
            </w:pPr>
            <w:r w:rsidRPr="003B5EA4">
              <w:t>Plus de 12 heures</w:t>
            </w:r>
          </w:p>
        </w:tc>
        <w:tc>
          <w:tcPr>
            <w:tcW w:w="1843" w:type="dxa"/>
            <w:shd w:val="clear" w:color="auto" w:fill="auto"/>
            <w:noWrap/>
          </w:tcPr>
          <w:p w:rsidR="004D05AD" w:rsidRPr="003B5EA4" w:rsidRDefault="004D05AD" w:rsidP="009612B8">
            <w:pPr>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9612B8">
            <w:pPr>
              <w:suppressAutoHyphens w:val="0"/>
              <w:spacing w:before="40" w:after="120"/>
            </w:pP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B47843">
        <w:trPr>
          <w:trHeight w:val="240"/>
        </w:trPr>
        <w:tc>
          <w:tcPr>
            <w:tcW w:w="1701" w:type="dxa"/>
            <w:vMerge w:val="restart"/>
            <w:shd w:val="clear" w:color="auto" w:fill="auto"/>
            <w:noWrap/>
          </w:tcPr>
          <w:p w:rsidR="004D05AD" w:rsidRPr="003B5EA4" w:rsidRDefault="004D05AD" w:rsidP="00D14B0F">
            <w:pPr>
              <w:keepNext/>
              <w:suppressAutoHyphens w:val="0"/>
              <w:spacing w:before="40" w:after="120"/>
            </w:pPr>
            <w:r w:rsidRPr="003B5EA4">
              <w:lastRenderedPageBreak/>
              <w:t>UPU</w:t>
            </w:r>
          </w:p>
        </w:tc>
        <w:tc>
          <w:tcPr>
            <w:tcW w:w="2552" w:type="dxa"/>
            <w:shd w:val="clear" w:color="auto" w:fill="auto"/>
            <w:noWrap/>
          </w:tcPr>
          <w:p w:rsidR="004D05AD" w:rsidRPr="003B5EA4" w:rsidRDefault="004D05AD" w:rsidP="00D14B0F">
            <w:pPr>
              <w:keepNext/>
              <w:suppressAutoHyphens w:val="0"/>
              <w:spacing w:before="40" w:after="120"/>
            </w:pPr>
            <w:r w:rsidRPr="003B5EA4">
              <w:t xml:space="preserve">De 6 </w:t>
            </w:r>
            <w:r w:rsidR="006E0191" w:rsidRPr="003B5EA4">
              <w:t>à</w:t>
            </w:r>
            <w:r w:rsidRPr="003B5EA4">
              <w:t xml:space="preserve"> 12 heures</w:t>
            </w:r>
          </w:p>
        </w:tc>
        <w:tc>
          <w:tcPr>
            <w:tcW w:w="1843" w:type="dxa"/>
            <w:shd w:val="clear" w:color="auto" w:fill="auto"/>
            <w:noWrap/>
          </w:tcPr>
          <w:p w:rsidR="004D05AD" w:rsidRPr="003B5EA4" w:rsidRDefault="004D05AD" w:rsidP="00D14B0F">
            <w:pPr>
              <w:keepNext/>
              <w:suppressAutoHyphens w:val="0"/>
              <w:spacing w:before="40" w:after="120"/>
            </w:pPr>
            <w:r w:rsidRPr="003B5EA4">
              <w:t>Pas d</w:t>
            </w:r>
            <w:r w:rsidR="00762E0A">
              <w:t>’</w:t>
            </w:r>
            <w:r w:rsidRPr="003B5EA4">
              <w:t>escale</w:t>
            </w:r>
          </w:p>
        </w:tc>
        <w:tc>
          <w:tcPr>
            <w:tcW w:w="708" w:type="dxa"/>
            <w:shd w:val="clear" w:color="auto" w:fill="auto"/>
            <w:noWrap/>
          </w:tcPr>
          <w:p w:rsidR="004D05AD" w:rsidRPr="003B5EA4" w:rsidRDefault="004D05AD" w:rsidP="00D14B0F">
            <w:pPr>
              <w:keepNext/>
              <w:suppressAutoHyphens w:val="0"/>
              <w:spacing w:before="40" w:after="120"/>
            </w:pPr>
          </w:p>
        </w:tc>
        <w:tc>
          <w:tcPr>
            <w:tcW w:w="2833" w:type="dxa"/>
            <w:shd w:val="clear" w:color="auto" w:fill="auto"/>
            <w:tcMar>
              <w:right w:w="28" w:type="dxa"/>
            </w:tcMar>
          </w:tcPr>
          <w:p w:rsidR="004D05AD" w:rsidRPr="003B5EA4" w:rsidRDefault="004D05AD" w:rsidP="00D14B0F">
            <w:pPr>
              <w:keepNext/>
              <w:suppressAutoHyphens w:val="0"/>
              <w:spacing w:before="40" w:after="120"/>
            </w:pPr>
            <w:r w:rsidRPr="003B5EA4">
              <w:t>12 heures</w:t>
            </w:r>
          </w:p>
        </w:tc>
      </w:tr>
      <w:tr w:rsidR="004D05AD" w:rsidRPr="003B5EA4" w:rsidTr="00B47843">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shd w:val="clear" w:color="auto" w:fill="auto"/>
            <w:noWrap/>
          </w:tcPr>
          <w:p w:rsidR="004D05AD" w:rsidRPr="003B5EA4" w:rsidRDefault="004D05AD" w:rsidP="007B46AB">
            <w:pPr>
              <w:suppressAutoHyphens w:val="0"/>
              <w:spacing w:before="40" w:after="120"/>
            </w:pPr>
            <w:r w:rsidRPr="003B5EA4">
              <w:t xml:space="preserve">De 12 </w:t>
            </w:r>
            <w:r w:rsidR="006E0191" w:rsidRPr="003B5EA4">
              <w:t>à</w:t>
            </w:r>
            <w:r w:rsidRPr="003B5EA4">
              <w:t xml:space="preserve"> 16 heures</w:t>
            </w:r>
            <w:r w:rsidRPr="003B5EA4">
              <w:rPr>
                <w:i/>
                <w:sz w:val="18"/>
                <w:vertAlign w:val="superscript"/>
              </w:rPr>
              <w:t>a</w:t>
            </w:r>
          </w:p>
        </w:tc>
        <w:tc>
          <w:tcPr>
            <w:tcW w:w="1843" w:type="dxa"/>
            <w:shd w:val="clear" w:color="auto" w:fill="auto"/>
            <w:noWrap/>
          </w:tcPr>
          <w:p w:rsidR="004D05AD" w:rsidRPr="003B5EA4" w:rsidRDefault="004D05AD" w:rsidP="009612B8">
            <w:pPr>
              <w:suppressAutoHyphens w:val="0"/>
              <w:spacing w:before="40" w:after="120"/>
            </w:pPr>
            <w:r w:rsidRPr="003B5EA4">
              <w:t>Une escale</w:t>
            </w:r>
          </w:p>
        </w:tc>
        <w:tc>
          <w:tcPr>
            <w:tcW w:w="708" w:type="dxa"/>
            <w:shd w:val="clear" w:color="auto" w:fill="auto"/>
            <w:noWrap/>
          </w:tcPr>
          <w:p w:rsidR="004D05AD" w:rsidRPr="003B5EA4" w:rsidRDefault="004D05AD" w:rsidP="009612B8">
            <w:pPr>
              <w:suppressAutoHyphens w:val="0"/>
              <w:spacing w:before="40" w:after="120"/>
            </w:pPr>
            <w:r w:rsidRPr="003B5EA4">
              <w:t>ou</w:t>
            </w:r>
          </w:p>
        </w:tc>
        <w:tc>
          <w:tcPr>
            <w:tcW w:w="2833" w:type="dxa"/>
            <w:shd w:val="clear" w:color="auto" w:fill="auto"/>
            <w:tcMar>
              <w:right w:w="28" w:type="dxa"/>
            </w:tcMar>
          </w:tcPr>
          <w:p w:rsidR="004D05AD" w:rsidRPr="003B5EA4" w:rsidRDefault="004D05AD" w:rsidP="009612B8">
            <w:pPr>
              <w:suppressAutoHyphens w:val="0"/>
              <w:spacing w:before="40" w:after="120"/>
            </w:pPr>
            <w:r w:rsidRPr="003B5EA4">
              <w:t>24 heures</w:t>
            </w:r>
          </w:p>
        </w:tc>
      </w:tr>
      <w:tr w:rsidR="004D05AD" w:rsidRPr="003B5EA4" w:rsidTr="00CD36B5">
        <w:trPr>
          <w:trHeight w:val="240"/>
        </w:trPr>
        <w:tc>
          <w:tcPr>
            <w:tcW w:w="1701" w:type="dxa"/>
            <w:vMerge/>
            <w:shd w:val="clear" w:color="auto" w:fill="auto"/>
            <w:noWrap/>
          </w:tcPr>
          <w:p w:rsidR="004D05AD" w:rsidRPr="003B5EA4" w:rsidRDefault="004D05AD" w:rsidP="009612B8">
            <w:pPr>
              <w:suppressAutoHyphens w:val="0"/>
              <w:spacing w:before="40" w:after="120"/>
            </w:pPr>
          </w:p>
        </w:tc>
        <w:tc>
          <w:tcPr>
            <w:tcW w:w="2552" w:type="dxa"/>
            <w:tcBorders>
              <w:bottom w:val="nil"/>
            </w:tcBorders>
            <w:shd w:val="clear" w:color="auto" w:fill="auto"/>
            <w:noWrap/>
          </w:tcPr>
          <w:p w:rsidR="004D05AD" w:rsidRPr="003B5EA4" w:rsidRDefault="004D05AD" w:rsidP="009612B8">
            <w:pPr>
              <w:suppressAutoHyphens w:val="0"/>
              <w:spacing w:before="40" w:after="120"/>
            </w:pPr>
            <w:r w:rsidRPr="003B5EA4">
              <w:t>Plus de 16 heures</w:t>
            </w:r>
          </w:p>
        </w:tc>
        <w:tc>
          <w:tcPr>
            <w:tcW w:w="1843" w:type="dxa"/>
            <w:tcBorders>
              <w:bottom w:val="nil"/>
            </w:tcBorders>
            <w:shd w:val="clear" w:color="auto" w:fill="auto"/>
            <w:noWrap/>
          </w:tcPr>
          <w:p w:rsidR="004D05AD" w:rsidRPr="003B5EA4" w:rsidRDefault="004D05AD" w:rsidP="009612B8">
            <w:pPr>
              <w:suppressAutoHyphens w:val="0"/>
              <w:spacing w:before="40" w:after="120"/>
            </w:pPr>
            <w:r w:rsidRPr="003B5EA4">
              <w:t>Deux escales</w:t>
            </w:r>
          </w:p>
        </w:tc>
        <w:tc>
          <w:tcPr>
            <w:tcW w:w="708" w:type="dxa"/>
            <w:tcBorders>
              <w:bottom w:val="nil"/>
            </w:tcBorders>
            <w:shd w:val="clear" w:color="auto" w:fill="auto"/>
            <w:noWrap/>
          </w:tcPr>
          <w:p w:rsidR="004D05AD" w:rsidRPr="003B5EA4" w:rsidRDefault="004D05AD" w:rsidP="009612B8">
            <w:pPr>
              <w:suppressAutoHyphens w:val="0"/>
              <w:spacing w:before="40" w:after="120"/>
            </w:pPr>
            <w:r w:rsidRPr="003B5EA4">
              <w:t>et</w:t>
            </w:r>
          </w:p>
        </w:tc>
        <w:tc>
          <w:tcPr>
            <w:tcW w:w="2833" w:type="dxa"/>
            <w:tcBorders>
              <w:bottom w:val="nil"/>
            </w:tcBorders>
            <w:shd w:val="clear" w:color="auto" w:fill="auto"/>
            <w:tcMar>
              <w:right w:w="28" w:type="dxa"/>
            </w:tcMar>
          </w:tcPr>
          <w:p w:rsidR="004D05AD" w:rsidRPr="003B5EA4" w:rsidRDefault="004D05AD" w:rsidP="009612B8">
            <w:pPr>
              <w:suppressAutoHyphens w:val="0"/>
              <w:spacing w:before="40" w:after="120"/>
            </w:pPr>
            <w:r w:rsidRPr="003B5EA4">
              <w:t>Pas de période de repos</w:t>
            </w:r>
          </w:p>
        </w:tc>
      </w:tr>
      <w:tr w:rsidR="004D05AD" w:rsidRPr="003B5EA4" w:rsidTr="00CD36B5">
        <w:trPr>
          <w:trHeight w:val="240"/>
        </w:trPr>
        <w:tc>
          <w:tcPr>
            <w:tcW w:w="1701" w:type="dxa"/>
            <w:vMerge/>
            <w:tcBorders>
              <w:bottom w:val="single" w:sz="12" w:space="0" w:color="auto"/>
            </w:tcBorders>
            <w:shd w:val="clear" w:color="auto" w:fill="auto"/>
            <w:noWrap/>
          </w:tcPr>
          <w:p w:rsidR="004D05AD" w:rsidRPr="003B5EA4" w:rsidRDefault="004D05AD" w:rsidP="009612B8">
            <w:pPr>
              <w:suppressAutoHyphens w:val="0"/>
              <w:spacing w:before="40" w:after="120"/>
            </w:pPr>
          </w:p>
        </w:tc>
        <w:tc>
          <w:tcPr>
            <w:tcW w:w="2552" w:type="dxa"/>
            <w:tcBorders>
              <w:top w:val="nil"/>
              <w:bottom w:val="single" w:sz="12" w:space="0" w:color="auto"/>
            </w:tcBorders>
            <w:shd w:val="clear" w:color="auto" w:fill="auto"/>
            <w:noWrap/>
          </w:tcPr>
          <w:p w:rsidR="004D05AD" w:rsidRPr="003B5EA4" w:rsidRDefault="004D05AD" w:rsidP="009612B8">
            <w:pPr>
              <w:suppressAutoHyphens w:val="0"/>
              <w:spacing w:before="40" w:after="120"/>
            </w:pPr>
          </w:p>
        </w:tc>
        <w:tc>
          <w:tcPr>
            <w:tcW w:w="1843" w:type="dxa"/>
            <w:tcBorders>
              <w:top w:val="nil"/>
              <w:bottom w:val="single" w:sz="12" w:space="0" w:color="auto"/>
            </w:tcBorders>
            <w:shd w:val="clear" w:color="auto" w:fill="auto"/>
            <w:noWrap/>
          </w:tcPr>
          <w:p w:rsidR="004D05AD" w:rsidRPr="003B5EA4" w:rsidRDefault="004D05AD" w:rsidP="00672A47">
            <w:pPr>
              <w:suppressAutoHyphens w:val="0"/>
              <w:spacing w:before="40" w:after="120"/>
            </w:pPr>
            <w:r w:rsidRPr="003B5EA4">
              <w:t>ou une escale</w:t>
            </w:r>
          </w:p>
        </w:tc>
        <w:tc>
          <w:tcPr>
            <w:tcW w:w="708" w:type="dxa"/>
            <w:tcBorders>
              <w:top w:val="nil"/>
              <w:bottom w:val="single" w:sz="12" w:space="0" w:color="auto"/>
            </w:tcBorders>
            <w:shd w:val="clear" w:color="auto" w:fill="auto"/>
            <w:noWrap/>
          </w:tcPr>
          <w:p w:rsidR="004D05AD" w:rsidRPr="003B5EA4" w:rsidRDefault="004D05AD" w:rsidP="009612B8">
            <w:pPr>
              <w:suppressAutoHyphens w:val="0"/>
              <w:spacing w:before="40" w:after="120"/>
            </w:pPr>
            <w:r w:rsidRPr="003B5EA4">
              <w:t>et</w:t>
            </w:r>
          </w:p>
        </w:tc>
        <w:tc>
          <w:tcPr>
            <w:tcW w:w="2833" w:type="dxa"/>
            <w:tcBorders>
              <w:top w:val="nil"/>
              <w:bottom w:val="single" w:sz="12" w:space="0" w:color="auto"/>
            </w:tcBorders>
            <w:shd w:val="clear" w:color="auto" w:fill="auto"/>
            <w:tcMar>
              <w:right w:w="28" w:type="dxa"/>
            </w:tcMar>
          </w:tcPr>
          <w:p w:rsidR="004D05AD" w:rsidRPr="003B5EA4" w:rsidRDefault="004D05AD" w:rsidP="009612B8">
            <w:pPr>
              <w:suppressAutoHyphens w:val="0"/>
              <w:spacing w:before="40" w:after="120"/>
            </w:pPr>
            <w:r w:rsidRPr="003B5EA4">
              <w:t>24 heures</w:t>
            </w:r>
          </w:p>
        </w:tc>
      </w:tr>
    </w:tbl>
    <w:p w:rsidR="00466D61" w:rsidRPr="003B5EA4" w:rsidRDefault="00466D61" w:rsidP="00466D61">
      <w:pPr>
        <w:spacing w:before="120"/>
        <w:ind w:firstLine="170"/>
        <w:rPr>
          <w:i/>
          <w:sz w:val="18"/>
          <w:szCs w:val="18"/>
        </w:rPr>
      </w:pPr>
      <w:r w:rsidRPr="003B5EA4">
        <w:rPr>
          <w:i/>
          <w:sz w:val="18"/>
          <w:szCs w:val="18"/>
        </w:rPr>
        <w:t>Source</w:t>
      </w:r>
      <w:r w:rsidRPr="003B5EA4">
        <w:rPr>
          <w:sz w:val="18"/>
          <w:szCs w:val="18"/>
        </w:rPr>
        <w:t> :</w:t>
      </w:r>
      <w:r w:rsidRPr="003B5EA4">
        <w:rPr>
          <w:i/>
          <w:sz w:val="18"/>
          <w:szCs w:val="18"/>
        </w:rPr>
        <w:t xml:space="preserve"> </w:t>
      </w:r>
      <w:r w:rsidR="005A383A">
        <w:rPr>
          <w:sz w:val="18"/>
          <w:szCs w:val="18"/>
        </w:rPr>
        <w:t>Documents des p</w:t>
      </w:r>
      <w:r w:rsidRPr="003B5EA4">
        <w:rPr>
          <w:sz w:val="18"/>
          <w:szCs w:val="18"/>
        </w:rPr>
        <w:t>olitiques des organismes.</w:t>
      </w:r>
    </w:p>
    <w:p w:rsidR="00E678F6" w:rsidRPr="003B5EA4" w:rsidRDefault="00466D61" w:rsidP="00466D61">
      <w:pPr>
        <w:spacing w:after="120"/>
        <w:ind w:firstLine="170"/>
        <w:rPr>
          <w:sz w:val="18"/>
          <w:szCs w:val="18"/>
        </w:rPr>
      </w:pPr>
      <w:r w:rsidRPr="003B5EA4">
        <w:rPr>
          <w:bCs/>
          <w:i/>
          <w:sz w:val="18"/>
          <w:szCs w:val="18"/>
        </w:rPr>
        <w:t>Note</w:t>
      </w:r>
      <w:r w:rsidRPr="003B5EA4">
        <w:rPr>
          <w:bCs/>
          <w:sz w:val="18"/>
          <w:szCs w:val="18"/>
        </w:rPr>
        <w:t xml:space="preserve"> : </w:t>
      </w:r>
      <w:r w:rsidR="005A383A">
        <w:rPr>
          <w:bCs/>
          <w:sz w:val="18"/>
          <w:szCs w:val="18"/>
        </w:rPr>
        <w:t>Aucune i</w:t>
      </w:r>
      <w:r w:rsidRPr="003B5EA4">
        <w:rPr>
          <w:bCs/>
          <w:sz w:val="18"/>
          <w:szCs w:val="18"/>
        </w:rPr>
        <w:t>nformation disponible pour ONU-Habitat, l</w:t>
      </w:r>
      <w:r w:rsidR="00762E0A">
        <w:rPr>
          <w:bCs/>
          <w:sz w:val="18"/>
          <w:szCs w:val="18"/>
        </w:rPr>
        <w:t>’</w:t>
      </w:r>
      <w:r w:rsidRPr="003B5EA4">
        <w:rPr>
          <w:bCs/>
          <w:sz w:val="18"/>
          <w:szCs w:val="18"/>
        </w:rPr>
        <w:t>UNOPS et l</w:t>
      </w:r>
      <w:r w:rsidR="00762E0A">
        <w:rPr>
          <w:bCs/>
          <w:sz w:val="18"/>
          <w:szCs w:val="18"/>
        </w:rPr>
        <w:t>’</w:t>
      </w:r>
      <w:r w:rsidRPr="003B5EA4">
        <w:rPr>
          <w:bCs/>
          <w:sz w:val="18"/>
          <w:szCs w:val="18"/>
        </w:rPr>
        <w:t>UNRWA.</w:t>
      </w:r>
    </w:p>
    <w:p w:rsidR="00E4308E" w:rsidRPr="003B5EA4" w:rsidRDefault="00817855" w:rsidP="00817855">
      <w:pPr>
        <w:pStyle w:val="SingleTxtG"/>
        <w:ind w:left="0" w:right="0" w:firstLine="170"/>
        <w:jc w:val="left"/>
        <w:rPr>
          <w:b/>
          <w:sz w:val="18"/>
        </w:rPr>
      </w:pPr>
      <w:r w:rsidRPr="003B5EA4">
        <w:rPr>
          <w:b/>
          <w:sz w:val="18"/>
        </w:rPr>
        <w:t>Remarques</w:t>
      </w:r>
    </w:p>
    <w:tbl>
      <w:tblPr>
        <w:tblW w:w="9477" w:type="dxa"/>
        <w:tblInd w:w="168" w:type="dxa"/>
        <w:tblLayout w:type="fixed"/>
        <w:tblLook w:val="04A0" w:firstRow="1" w:lastRow="0" w:firstColumn="1" w:lastColumn="0" w:noHBand="0" w:noVBand="1"/>
      </w:tblPr>
      <w:tblGrid>
        <w:gridCol w:w="238"/>
        <w:gridCol w:w="3138"/>
        <w:gridCol w:w="6101"/>
      </w:tblGrid>
      <w:tr w:rsidR="00E4308E" w:rsidRPr="003B5EA4" w:rsidTr="00A0398E">
        <w:trPr>
          <w:trHeight w:val="238"/>
        </w:trPr>
        <w:tc>
          <w:tcPr>
            <w:tcW w:w="238" w:type="dxa"/>
            <w:shd w:val="clear" w:color="auto" w:fill="auto"/>
            <w:noWrap/>
            <w:tcMar>
              <w:left w:w="0" w:type="dxa"/>
              <w:right w:w="0" w:type="dxa"/>
            </w:tcMar>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a</w:t>
            </w:r>
          </w:p>
        </w:tc>
        <w:tc>
          <w:tcPr>
            <w:tcW w:w="3138" w:type="dxa"/>
            <w:shd w:val="clear" w:color="auto" w:fill="auto"/>
            <w:tcMar>
              <w:left w:w="0" w:type="dxa"/>
              <w:right w:w="0" w:type="dxa"/>
            </w:tcMar>
          </w:tcPr>
          <w:p w:rsidR="00E4308E" w:rsidRPr="00D120EC" w:rsidRDefault="00E4308E" w:rsidP="009612B8">
            <w:pPr>
              <w:pStyle w:val="SingleTxtG"/>
              <w:spacing w:after="0"/>
              <w:ind w:left="0" w:right="0"/>
              <w:jc w:val="left"/>
              <w:rPr>
                <w:sz w:val="18"/>
                <w:lang w:val="es-ES"/>
              </w:rPr>
            </w:pPr>
            <w:r w:rsidRPr="00D120EC">
              <w:rPr>
                <w:sz w:val="18"/>
                <w:lang w:val="es-ES"/>
              </w:rPr>
              <w:t>FAO, OMI, UIT, ONUSIDA, UNESCO, ONUDI, UPU</w:t>
            </w:r>
          </w:p>
        </w:tc>
        <w:tc>
          <w:tcPr>
            <w:tcW w:w="6101" w:type="dxa"/>
            <w:shd w:val="clear" w:color="auto" w:fill="auto"/>
            <w:tcMar>
              <w:left w:w="0" w:type="dxa"/>
              <w:right w:w="0" w:type="dxa"/>
            </w:tcMar>
          </w:tcPr>
          <w:p w:rsidR="00E4308E" w:rsidRPr="003B5EA4" w:rsidRDefault="00817855" w:rsidP="009612B8">
            <w:pPr>
              <w:pStyle w:val="SingleTxtG"/>
              <w:spacing w:after="0"/>
              <w:ind w:left="0" w:right="0"/>
              <w:jc w:val="left"/>
              <w:rPr>
                <w:sz w:val="18"/>
              </w:rPr>
            </w:pPr>
            <w:r w:rsidRPr="003B5EA4">
              <w:rPr>
                <w:sz w:val="18"/>
              </w:rPr>
              <w:t>Si le dernier segment du voyage compte 6 heures ou plus, le voyageur a droit à une période de repos de 12 heures</w:t>
            </w:r>
            <w:r w:rsidR="00E4308E" w:rsidRPr="003B5EA4">
              <w:rPr>
                <w:sz w:val="18"/>
              </w:rPr>
              <w:t>.</w:t>
            </w:r>
          </w:p>
        </w:tc>
      </w:tr>
      <w:tr w:rsidR="00E4308E" w:rsidRPr="003B5EA4" w:rsidTr="00A0398E">
        <w:trPr>
          <w:trHeight w:val="238"/>
        </w:trPr>
        <w:tc>
          <w:tcPr>
            <w:tcW w:w="2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b</w:t>
            </w:r>
          </w:p>
        </w:tc>
        <w:tc>
          <w:tcPr>
            <w:tcW w:w="3138" w:type="dxa"/>
            <w:shd w:val="clear" w:color="auto" w:fill="auto"/>
            <w:tcMar>
              <w:left w:w="0" w:type="dxa"/>
              <w:right w:w="0" w:type="dxa"/>
            </w:tcMar>
            <w:hideMark/>
          </w:tcPr>
          <w:p w:rsidR="00E4308E" w:rsidRPr="00CE33FB" w:rsidRDefault="00E4308E" w:rsidP="00817855">
            <w:pPr>
              <w:pStyle w:val="SingleTxtG"/>
              <w:spacing w:after="0"/>
              <w:ind w:left="0" w:right="0"/>
              <w:jc w:val="left"/>
              <w:rPr>
                <w:sz w:val="18"/>
                <w:lang w:val="en-US"/>
              </w:rPr>
            </w:pPr>
            <w:r w:rsidRPr="00CE33FB">
              <w:rPr>
                <w:sz w:val="18"/>
                <w:lang w:val="en-US"/>
              </w:rPr>
              <w:t>OIT, CCI</w:t>
            </w:r>
            <w:r w:rsidR="00817855" w:rsidRPr="00CE33FB">
              <w:rPr>
                <w:sz w:val="18"/>
                <w:lang w:val="en-US"/>
              </w:rPr>
              <w:t>*</w:t>
            </w:r>
            <w:r w:rsidRPr="00CE33FB">
              <w:rPr>
                <w:sz w:val="18"/>
                <w:lang w:val="en-US"/>
              </w:rPr>
              <w:t xml:space="preserve">, </w:t>
            </w:r>
            <w:r w:rsidR="00817855" w:rsidRPr="00CE33FB">
              <w:rPr>
                <w:sz w:val="18"/>
                <w:lang w:val="en-US"/>
              </w:rPr>
              <w:t>ONU, CNUCED, PNUE</w:t>
            </w:r>
            <w:r w:rsidRPr="00CE33FB">
              <w:rPr>
                <w:sz w:val="18"/>
                <w:lang w:val="en-US"/>
              </w:rPr>
              <w:t xml:space="preserve">, </w:t>
            </w:r>
            <w:r w:rsidR="00817855" w:rsidRPr="00CE33FB">
              <w:rPr>
                <w:sz w:val="18"/>
                <w:lang w:val="en-US"/>
              </w:rPr>
              <w:t>HC</w:t>
            </w:r>
            <w:r w:rsidRPr="00CE33FB">
              <w:rPr>
                <w:sz w:val="18"/>
                <w:lang w:val="en-US"/>
              </w:rPr>
              <w:t xml:space="preserve">R, </w:t>
            </w:r>
            <w:r w:rsidR="00817855" w:rsidRPr="00CE33FB">
              <w:rPr>
                <w:sz w:val="18"/>
                <w:lang w:val="en-US"/>
              </w:rPr>
              <w:t>ONU</w:t>
            </w:r>
            <w:r w:rsidRPr="00CE33FB">
              <w:rPr>
                <w:sz w:val="18"/>
                <w:lang w:val="en-US"/>
              </w:rPr>
              <w:t>DC, OMM</w:t>
            </w:r>
          </w:p>
        </w:tc>
        <w:tc>
          <w:tcPr>
            <w:tcW w:w="6101" w:type="dxa"/>
            <w:shd w:val="clear" w:color="auto" w:fill="auto"/>
            <w:tcMar>
              <w:left w:w="0" w:type="dxa"/>
              <w:right w:w="0" w:type="dxa"/>
            </w:tcMar>
            <w:hideMark/>
          </w:tcPr>
          <w:p w:rsidR="00E4308E" w:rsidRPr="003B5EA4" w:rsidRDefault="00175AF8" w:rsidP="009612B8">
            <w:pPr>
              <w:pStyle w:val="SingleTxtG"/>
              <w:spacing w:after="0"/>
              <w:ind w:left="0" w:right="0"/>
              <w:jc w:val="left"/>
              <w:rPr>
                <w:sz w:val="18"/>
              </w:rPr>
            </w:pPr>
            <w:r w:rsidRPr="003B5EA4">
              <w:rPr>
                <w:sz w:val="18"/>
              </w:rPr>
              <w:t>Uniquement pour le personnel voyageant en classe économique</w:t>
            </w:r>
            <w:r w:rsidR="00E4308E" w:rsidRPr="003B5EA4">
              <w:rPr>
                <w:sz w:val="18"/>
              </w:rPr>
              <w:t>.</w:t>
            </w:r>
          </w:p>
        </w:tc>
      </w:tr>
      <w:tr w:rsidR="00E4308E" w:rsidRPr="003B5EA4" w:rsidTr="00A0398E">
        <w:trPr>
          <w:trHeight w:val="238"/>
        </w:trPr>
        <w:tc>
          <w:tcPr>
            <w:tcW w:w="238" w:type="dxa"/>
            <w:shd w:val="clear" w:color="auto" w:fill="auto"/>
            <w:noWrap/>
            <w:tcMar>
              <w:left w:w="0" w:type="dxa"/>
              <w:right w:w="0" w:type="dxa"/>
            </w:tcMar>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c</w:t>
            </w:r>
          </w:p>
        </w:tc>
        <w:tc>
          <w:tcPr>
            <w:tcW w:w="3138" w:type="dxa"/>
            <w:shd w:val="clear" w:color="auto" w:fill="auto"/>
            <w:tcMar>
              <w:left w:w="0" w:type="dxa"/>
              <w:right w:w="0" w:type="dxa"/>
            </w:tcMar>
          </w:tcPr>
          <w:p w:rsidR="00E4308E" w:rsidRPr="003B5EA4" w:rsidRDefault="00E4308E" w:rsidP="009612B8">
            <w:pPr>
              <w:pStyle w:val="SingleTxtG"/>
              <w:spacing w:after="0"/>
              <w:ind w:left="0" w:right="0"/>
              <w:jc w:val="left"/>
              <w:rPr>
                <w:sz w:val="18"/>
              </w:rPr>
            </w:pPr>
            <w:r w:rsidRPr="003B5EA4">
              <w:rPr>
                <w:sz w:val="18"/>
              </w:rPr>
              <w:t>OIT</w:t>
            </w:r>
          </w:p>
        </w:tc>
        <w:tc>
          <w:tcPr>
            <w:tcW w:w="6101" w:type="dxa"/>
            <w:shd w:val="clear" w:color="auto" w:fill="auto"/>
            <w:tcMar>
              <w:left w:w="0" w:type="dxa"/>
              <w:right w:w="0" w:type="dxa"/>
            </w:tcMar>
          </w:tcPr>
          <w:p w:rsidR="00E4308E" w:rsidRPr="003B5EA4" w:rsidRDefault="00175AF8" w:rsidP="009612B8">
            <w:pPr>
              <w:pStyle w:val="SingleTxtG"/>
              <w:spacing w:after="0"/>
              <w:ind w:left="0" w:right="0"/>
              <w:jc w:val="left"/>
              <w:rPr>
                <w:sz w:val="18"/>
              </w:rPr>
            </w:pPr>
            <w:r w:rsidRPr="003B5EA4">
              <w:rPr>
                <w:sz w:val="18"/>
              </w:rPr>
              <w:t>La période de repos de 12 heures comprend une nuit complète</w:t>
            </w:r>
            <w:r w:rsidR="00E4308E" w:rsidRPr="003B5EA4">
              <w:rPr>
                <w:sz w:val="18"/>
              </w:rPr>
              <w:t>.</w:t>
            </w:r>
          </w:p>
        </w:tc>
      </w:tr>
      <w:tr w:rsidR="00E4308E" w:rsidRPr="003B5EA4" w:rsidTr="00A0398E">
        <w:trPr>
          <w:trHeight w:val="238"/>
        </w:trPr>
        <w:tc>
          <w:tcPr>
            <w:tcW w:w="238" w:type="dxa"/>
            <w:shd w:val="clear" w:color="auto" w:fill="auto"/>
            <w:noWrap/>
            <w:tcMar>
              <w:left w:w="0" w:type="dxa"/>
              <w:right w:w="0" w:type="dxa"/>
            </w:tcMar>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d</w:t>
            </w:r>
          </w:p>
        </w:tc>
        <w:tc>
          <w:tcPr>
            <w:tcW w:w="3138" w:type="dxa"/>
            <w:shd w:val="clear" w:color="auto" w:fill="auto"/>
            <w:tcMar>
              <w:left w:w="0" w:type="dxa"/>
              <w:right w:w="0" w:type="dxa"/>
            </w:tcMar>
          </w:tcPr>
          <w:p w:rsidR="00E4308E" w:rsidRPr="003B5EA4" w:rsidRDefault="00E4308E" w:rsidP="009612B8">
            <w:pPr>
              <w:pStyle w:val="SingleTxtG"/>
              <w:spacing w:after="0"/>
              <w:ind w:left="0" w:right="0"/>
              <w:jc w:val="left"/>
              <w:rPr>
                <w:sz w:val="18"/>
              </w:rPr>
            </w:pPr>
            <w:r w:rsidRPr="003B5EA4">
              <w:rPr>
                <w:sz w:val="18"/>
              </w:rPr>
              <w:t>UIT</w:t>
            </w:r>
          </w:p>
        </w:tc>
        <w:tc>
          <w:tcPr>
            <w:tcW w:w="6101" w:type="dxa"/>
            <w:shd w:val="clear" w:color="auto" w:fill="auto"/>
            <w:tcMar>
              <w:left w:w="0" w:type="dxa"/>
              <w:right w:w="0" w:type="dxa"/>
            </w:tcMar>
          </w:tcPr>
          <w:p w:rsidR="00E4308E" w:rsidRPr="003B5EA4" w:rsidRDefault="00175AF8" w:rsidP="009612B8">
            <w:pPr>
              <w:pStyle w:val="SingleTxtG"/>
              <w:spacing w:after="0"/>
              <w:ind w:left="0" w:right="0"/>
              <w:jc w:val="left"/>
              <w:rPr>
                <w:sz w:val="18"/>
              </w:rPr>
            </w:pPr>
            <w:r w:rsidRPr="003B5EA4">
              <w:rPr>
                <w:sz w:val="18"/>
              </w:rPr>
              <w:t>Le fonctionnaire qui voyage dans une classe autre que la classe économique est tenu de commencer son service dans les 4 heures suivant son arrivée</w:t>
            </w:r>
            <w:r w:rsidR="00E4308E" w:rsidRPr="003B5EA4">
              <w:rPr>
                <w:sz w:val="18"/>
              </w:rPr>
              <w:t>.</w:t>
            </w:r>
          </w:p>
        </w:tc>
      </w:tr>
      <w:tr w:rsidR="00E4308E" w:rsidRPr="003B5EA4" w:rsidTr="00A0398E">
        <w:trPr>
          <w:trHeight w:val="64"/>
        </w:trPr>
        <w:tc>
          <w:tcPr>
            <w:tcW w:w="2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e</w:t>
            </w:r>
          </w:p>
        </w:tc>
        <w:tc>
          <w:tcPr>
            <w:tcW w:w="3138" w:type="dxa"/>
            <w:shd w:val="clear" w:color="auto" w:fill="auto"/>
            <w:noWrap/>
            <w:tcMar>
              <w:left w:w="0" w:type="dxa"/>
              <w:right w:w="0" w:type="dxa"/>
            </w:tcMar>
            <w:hideMark/>
          </w:tcPr>
          <w:p w:rsidR="00E4308E" w:rsidRPr="003B5EA4" w:rsidRDefault="00E4308E" w:rsidP="00175AF8">
            <w:pPr>
              <w:pStyle w:val="SingleTxtG"/>
              <w:spacing w:after="0"/>
              <w:ind w:left="0" w:right="0"/>
              <w:jc w:val="left"/>
              <w:rPr>
                <w:sz w:val="18"/>
              </w:rPr>
            </w:pPr>
            <w:r w:rsidRPr="003B5EA4">
              <w:rPr>
                <w:sz w:val="18"/>
              </w:rPr>
              <w:t xml:space="preserve">PNUD, </w:t>
            </w:r>
            <w:r w:rsidR="00175AF8" w:rsidRPr="003B5EA4">
              <w:rPr>
                <w:sz w:val="18"/>
              </w:rPr>
              <w:t>FNUAP</w:t>
            </w:r>
          </w:p>
        </w:tc>
        <w:tc>
          <w:tcPr>
            <w:tcW w:w="6101" w:type="dxa"/>
            <w:shd w:val="clear" w:color="auto" w:fill="auto"/>
            <w:tcMar>
              <w:left w:w="0" w:type="dxa"/>
              <w:right w:w="0" w:type="dxa"/>
            </w:tcMar>
            <w:hideMark/>
          </w:tcPr>
          <w:p w:rsidR="00E4308E" w:rsidRPr="003B5EA4" w:rsidRDefault="00175AF8" w:rsidP="00A0398E">
            <w:pPr>
              <w:pStyle w:val="SingleTxtG"/>
              <w:spacing w:after="0"/>
              <w:ind w:left="0" w:right="0"/>
              <w:jc w:val="left"/>
              <w:rPr>
                <w:sz w:val="18"/>
              </w:rPr>
            </w:pPr>
            <w:r w:rsidRPr="003B5EA4">
              <w:rPr>
                <w:sz w:val="18"/>
              </w:rPr>
              <w:t>Si le dernier segment du voyage compte plus de 6 heures et moins de 12 heures. Si</w:t>
            </w:r>
            <w:r w:rsidR="00A0398E">
              <w:rPr>
                <w:sz w:val="18"/>
              </w:rPr>
              <w:t> </w:t>
            </w:r>
            <w:r w:rsidRPr="003B5EA4">
              <w:rPr>
                <w:sz w:val="18"/>
              </w:rPr>
              <w:t>le dernier segment du voyage compte plus de 12 heures, une escale de moins de 24 heures peut être accordée.</w:t>
            </w:r>
          </w:p>
        </w:tc>
      </w:tr>
      <w:tr w:rsidR="00E4308E" w:rsidRPr="003B5EA4" w:rsidTr="00A0398E">
        <w:trPr>
          <w:trHeight w:val="64"/>
        </w:trPr>
        <w:tc>
          <w:tcPr>
            <w:tcW w:w="2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f</w:t>
            </w:r>
          </w:p>
        </w:tc>
        <w:tc>
          <w:tcPr>
            <w:tcW w:w="31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sz w:val="18"/>
              </w:rPr>
            </w:pPr>
            <w:r w:rsidRPr="003B5EA4">
              <w:rPr>
                <w:sz w:val="18"/>
              </w:rPr>
              <w:t>UNICEF</w:t>
            </w:r>
          </w:p>
        </w:tc>
        <w:tc>
          <w:tcPr>
            <w:tcW w:w="6101" w:type="dxa"/>
            <w:shd w:val="clear" w:color="auto" w:fill="auto"/>
            <w:tcMar>
              <w:left w:w="0" w:type="dxa"/>
              <w:right w:w="0" w:type="dxa"/>
            </w:tcMar>
            <w:hideMark/>
          </w:tcPr>
          <w:p w:rsidR="00E4308E" w:rsidRPr="003B5EA4" w:rsidRDefault="00175AF8" w:rsidP="009612B8">
            <w:pPr>
              <w:pStyle w:val="SingleTxtG"/>
              <w:spacing w:after="0"/>
              <w:ind w:left="0" w:right="0"/>
              <w:jc w:val="left"/>
              <w:rPr>
                <w:sz w:val="18"/>
              </w:rPr>
            </w:pPr>
            <w:r w:rsidRPr="003B5EA4">
              <w:rPr>
                <w:sz w:val="18"/>
              </w:rPr>
              <w:t>Une escale de repos peut être exceptionnellement autorisée si l</w:t>
            </w:r>
            <w:r w:rsidR="00762E0A">
              <w:rPr>
                <w:sz w:val="18"/>
              </w:rPr>
              <w:t>’</w:t>
            </w:r>
            <w:r w:rsidRPr="003B5EA4">
              <w:rPr>
                <w:sz w:val="18"/>
              </w:rPr>
              <w:t>état de santé du fonctionnaire le requiert et si le fait est certifié par un directeur des services médicaux de l</w:t>
            </w:r>
            <w:r w:rsidR="00762E0A">
              <w:rPr>
                <w:sz w:val="18"/>
              </w:rPr>
              <w:t>’</w:t>
            </w:r>
            <w:r w:rsidRPr="003B5EA4">
              <w:rPr>
                <w:sz w:val="18"/>
              </w:rPr>
              <w:t>ONU.</w:t>
            </w:r>
          </w:p>
        </w:tc>
      </w:tr>
      <w:tr w:rsidR="00E4308E" w:rsidRPr="003B5EA4" w:rsidTr="00A0398E">
        <w:trPr>
          <w:trHeight w:val="148"/>
        </w:trPr>
        <w:tc>
          <w:tcPr>
            <w:tcW w:w="2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g</w:t>
            </w:r>
          </w:p>
        </w:tc>
        <w:tc>
          <w:tcPr>
            <w:tcW w:w="3138" w:type="dxa"/>
            <w:shd w:val="clear" w:color="auto" w:fill="auto"/>
            <w:noWrap/>
            <w:tcMar>
              <w:left w:w="0" w:type="dxa"/>
              <w:right w:w="0" w:type="dxa"/>
            </w:tcMar>
            <w:hideMark/>
          </w:tcPr>
          <w:p w:rsidR="00E4308E" w:rsidRPr="003B5EA4" w:rsidRDefault="00175AF8" w:rsidP="009612B8">
            <w:pPr>
              <w:pStyle w:val="SingleTxtG"/>
              <w:spacing w:after="0"/>
              <w:ind w:left="0" w:right="0"/>
              <w:jc w:val="left"/>
              <w:rPr>
                <w:sz w:val="18"/>
              </w:rPr>
            </w:pPr>
            <w:r w:rsidRPr="003B5EA4">
              <w:rPr>
                <w:sz w:val="18"/>
              </w:rPr>
              <w:t>ONUDC</w:t>
            </w:r>
          </w:p>
        </w:tc>
        <w:tc>
          <w:tcPr>
            <w:tcW w:w="6101" w:type="dxa"/>
            <w:shd w:val="clear" w:color="auto" w:fill="auto"/>
            <w:tcMar>
              <w:left w:w="0" w:type="dxa"/>
              <w:right w:w="0" w:type="dxa"/>
            </w:tcMar>
            <w:hideMark/>
          </w:tcPr>
          <w:p w:rsidR="00E4308E" w:rsidRPr="003B5EA4" w:rsidRDefault="00EF66B8" w:rsidP="009612B8">
            <w:pPr>
              <w:pStyle w:val="SingleTxtG"/>
              <w:spacing w:after="0"/>
              <w:ind w:left="0" w:right="0"/>
              <w:jc w:val="left"/>
              <w:rPr>
                <w:sz w:val="18"/>
              </w:rPr>
            </w:pPr>
            <w:r w:rsidRPr="003B5EA4">
              <w:rPr>
                <w:sz w:val="18"/>
              </w:rPr>
              <w:t>Les escales et les périodes de repos sont octroyées conformément à l</w:t>
            </w:r>
            <w:r w:rsidR="00762E0A">
              <w:rPr>
                <w:sz w:val="18"/>
              </w:rPr>
              <w:t>’</w:t>
            </w:r>
            <w:r w:rsidRPr="003B5EA4">
              <w:rPr>
                <w:sz w:val="18"/>
              </w:rPr>
              <w:t>instruction administrative ST/AI/2013/3</w:t>
            </w:r>
            <w:r w:rsidR="00E4308E" w:rsidRPr="003B5EA4">
              <w:rPr>
                <w:sz w:val="18"/>
              </w:rPr>
              <w:t>.</w:t>
            </w:r>
          </w:p>
        </w:tc>
      </w:tr>
      <w:tr w:rsidR="00E4308E" w:rsidRPr="003B5EA4" w:rsidTr="00A0398E">
        <w:trPr>
          <w:trHeight w:val="64"/>
        </w:trPr>
        <w:tc>
          <w:tcPr>
            <w:tcW w:w="2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h</w:t>
            </w:r>
          </w:p>
        </w:tc>
        <w:tc>
          <w:tcPr>
            <w:tcW w:w="3138" w:type="dxa"/>
            <w:shd w:val="clear" w:color="auto" w:fill="auto"/>
            <w:noWrap/>
            <w:tcMar>
              <w:left w:w="0" w:type="dxa"/>
              <w:right w:w="0" w:type="dxa"/>
            </w:tcMar>
            <w:hideMark/>
          </w:tcPr>
          <w:p w:rsidR="00E4308E" w:rsidRPr="003B5EA4" w:rsidRDefault="00E4308E" w:rsidP="00175AF8">
            <w:pPr>
              <w:pStyle w:val="SingleTxtG"/>
              <w:spacing w:after="0"/>
              <w:ind w:left="0" w:right="0"/>
              <w:jc w:val="left"/>
              <w:rPr>
                <w:sz w:val="18"/>
              </w:rPr>
            </w:pPr>
            <w:r w:rsidRPr="003B5EA4">
              <w:rPr>
                <w:sz w:val="18"/>
              </w:rPr>
              <w:t>ONU-</w:t>
            </w:r>
            <w:r w:rsidR="00175AF8" w:rsidRPr="003B5EA4">
              <w:rPr>
                <w:sz w:val="18"/>
              </w:rPr>
              <w:t>Femmes</w:t>
            </w:r>
          </w:p>
        </w:tc>
        <w:tc>
          <w:tcPr>
            <w:tcW w:w="6101" w:type="dxa"/>
            <w:shd w:val="clear" w:color="auto" w:fill="auto"/>
            <w:tcMar>
              <w:left w:w="0" w:type="dxa"/>
              <w:right w:w="0" w:type="dxa"/>
            </w:tcMar>
            <w:hideMark/>
          </w:tcPr>
          <w:p w:rsidR="00E4308E" w:rsidRPr="003B5EA4" w:rsidRDefault="00EF66B8" w:rsidP="00DB26C1">
            <w:pPr>
              <w:pStyle w:val="SingleTxtG"/>
              <w:spacing w:after="0"/>
              <w:ind w:left="0" w:right="0"/>
              <w:jc w:val="left"/>
              <w:rPr>
                <w:sz w:val="18"/>
              </w:rPr>
            </w:pPr>
            <w:r w:rsidRPr="003B5EA4">
              <w:rPr>
                <w:sz w:val="18"/>
              </w:rPr>
              <w:t>Si le dernier segment du voyage compte 6 heures ou plus, le voyageur a droit à une période de repos de 12 heures. Si le dernier segment du voyage compte 10 heures ou plus, le voyageur a droit à une période de repos de 2</w:t>
            </w:r>
            <w:r w:rsidR="00DB26C1">
              <w:rPr>
                <w:sz w:val="18"/>
              </w:rPr>
              <w:t>4</w:t>
            </w:r>
            <w:r w:rsidRPr="003B5EA4">
              <w:rPr>
                <w:sz w:val="18"/>
              </w:rPr>
              <w:t> heures.</w:t>
            </w:r>
          </w:p>
        </w:tc>
      </w:tr>
      <w:tr w:rsidR="00E4308E" w:rsidRPr="003B5EA4" w:rsidTr="00A0398E">
        <w:trPr>
          <w:trHeight w:val="382"/>
        </w:trPr>
        <w:tc>
          <w:tcPr>
            <w:tcW w:w="2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i/>
                <w:sz w:val="18"/>
                <w:vertAlign w:val="superscript"/>
              </w:rPr>
            </w:pPr>
            <w:r w:rsidRPr="003B5EA4">
              <w:rPr>
                <w:i/>
                <w:sz w:val="18"/>
                <w:vertAlign w:val="superscript"/>
              </w:rPr>
              <w:t>i</w:t>
            </w:r>
          </w:p>
        </w:tc>
        <w:tc>
          <w:tcPr>
            <w:tcW w:w="3138" w:type="dxa"/>
            <w:shd w:val="clear" w:color="auto" w:fill="auto"/>
            <w:noWrap/>
            <w:tcMar>
              <w:left w:w="0" w:type="dxa"/>
              <w:right w:w="0" w:type="dxa"/>
            </w:tcMar>
            <w:hideMark/>
          </w:tcPr>
          <w:p w:rsidR="00E4308E" w:rsidRPr="003B5EA4" w:rsidRDefault="00E4308E" w:rsidP="009612B8">
            <w:pPr>
              <w:pStyle w:val="SingleTxtG"/>
              <w:spacing w:after="0"/>
              <w:ind w:left="0" w:right="0"/>
              <w:jc w:val="left"/>
              <w:rPr>
                <w:sz w:val="18"/>
              </w:rPr>
            </w:pPr>
            <w:r w:rsidRPr="003B5EA4">
              <w:rPr>
                <w:sz w:val="18"/>
              </w:rPr>
              <w:t>OMT</w:t>
            </w:r>
          </w:p>
        </w:tc>
        <w:tc>
          <w:tcPr>
            <w:tcW w:w="6101" w:type="dxa"/>
            <w:shd w:val="clear" w:color="auto" w:fill="auto"/>
            <w:tcMar>
              <w:left w:w="0" w:type="dxa"/>
              <w:right w:w="0" w:type="dxa"/>
            </w:tcMar>
            <w:hideMark/>
          </w:tcPr>
          <w:p w:rsidR="00E4308E" w:rsidRPr="003B5EA4" w:rsidRDefault="00EF66B8" w:rsidP="009612B8">
            <w:pPr>
              <w:pStyle w:val="SingleTxtG"/>
              <w:spacing w:after="0"/>
              <w:ind w:left="0" w:right="0"/>
              <w:jc w:val="left"/>
              <w:rPr>
                <w:sz w:val="18"/>
              </w:rPr>
            </w:pPr>
            <w:r w:rsidRPr="003B5EA4">
              <w:rPr>
                <w:sz w:val="18"/>
              </w:rPr>
              <w:t>Si après une escale ne dépassant pas 12 heures, la durée du voyage est de plus de 10 heures, le voyageur n</w:t>
            </w:r>
            <w:r w:rsidR="00762E0A">
              <w:rPr>
                <w:sz w:val="18"/>
              </w:rPr>
              <w:t>’</w:t>
            </w:r>
            <w:r w:rsidRPr="003B5EA4">
              <w:rPr>
                <w:sz w:val="18"/>
              </w:rPr>
              <w:t>est pas requis de commencer son service dans les 12 heures qui suivent son arrivée</w:t>
            </w:r>
            <w:r w:rsidR="00E4308E" w:rsidRPr="003B5EA4">
              <w:rPr>
                <w:sz w:val="18"/>
              </w:rPr>
              <w:t>.</w:t>
            </w:r>
          </w:p>
        </w:tc>
      </w:tr>
    </w:tbl>
    <w:p w:rsidR="00A06C62" w:rsidRPr="003B5EA4" w:rsidRDefault="00A06C62" w:rsidP="00E678F6">
      <w:pPr>
        <w:sectPr w:rsidR="00A06C62" w:rsidRPr="003B5EA4" w:rsidSect="000B5170">
          <w:headerReference w:type="even" r:id="rId52"/>
          <w:headerReference w:type="default" r:id="rId53"/>
          <w:footerReference w:type="even" r:id="rId54"/>
          <w:footerReference w:type="default" r:id="rId55"/>
          <w:endnotePr>
            <w:numFmt w:val="decimal"/>
          </w:endnotePr>
          <w:pgSz w:w="11906" w:h="16838" w:code="9"/>
          <w:pgMar w:top="1417" w:right="1134" w:bottom="1134" w:left="1134" w:header="850" w:footer="567" w:gutter="0"/>
          <w:cols w:space="708"/>
          <w:docGrid w:linePitch="360"/>
        </w:sectPr>
      </w:pPr>
    </w:p>
    <w:p w:rsidR="00E4308E" w:rsidRPr="003B5EA4" w:rsidRDefault="00A06C62" w:rsidP="00DA6319">
      <w:pPr>
        <w:pStyle w:val="HChG"/>
        <w:spacing w:before="320" w:after="200"/>
      </w:pPr>
      <w:r w:rsidRPr="003B5EA4">
        <w:lastRenderedPageBreak/>
        <w:t>Annexe XIII</w:t>
      </w:r>
    </w:p>
    <w:p w:rsidR="00A06C62" w:rsidRPr="003B5EA4" w:rsidRDefault="00A06C62" w:rsidP="00DA6319">
      <w:pPr>
        <w:pStyle w:val="HChG"/>
        <w:spacing w:before="320" w:after="200"/>
      </w:pPr>
      <w:r w:rsidRPr="003B5EA4">
        <w:tab/>
      </w:r>
      <w:r w:rsidRPr="003B5EA4">
        <w:tab/>
        <w:t>Vue d</w:t>
      </w:r>
      <w:r w:rsidR="00762E0A">
        <w:t>’</w:t>
      </w:r>
      <w:r w:rsidRPr="003B5EA4">
        <w:t>ensemble des mesures que les organismes participants sont appelés à prendre pour donner suite aux recommandations du Corps commun d</w:t>
      </w:r>
      <w:r w:rsidR="00762E0A">
        <w:t>’</w:t>
      </w:r>
      <w:r w:rsidRPr="003B5EA4">
        <w:t xml:space="preserve">inspection </w:t>
      </w:r>
      <w:r w:rsidRPr="003B5EA4">
        <w:br/>
        <w:t>JIU/REP/2017/3</w:t>
      </w:r>
    </w:p>
    <w:tbl>
      <w:tblPr>
        <w:tblStyle w:val="Grilledutableau"/>
        <w:tblW w:w="13268" w:type="dxa"/>
        <w:tblInd w:w="284" w:type="dxa"/>
        <w:tblLayout w:type="fixed"/>
        <w:tblLook w:val="04A0" w:firstRow="1" w:lastRow="0" w:firstColumn="1" w:lastColumn="0" w:noHBand="0" w:noVBand="1"/>
      </w:tblPr>
      <w:tblGrid>
        <w:gridCol w:w="281"/>
        <w:gridCol w:w="1717"/>
        <w:gridCol w:w="372"/>
        <w:gridCol w:w="382"/>
        <w:gridCol w:w="371"/>
        <w:gridCol w:w="373"/>
        <w:gridCol w:w="372"/>
        <w:gridCol w:w="373"/>
        <w:gridCol w:w="372"/>
        <w:gridCol w:w="373"/>
        <w:gridCol w:w="373"/>
        <w:gridCol w:w="372"/>
        <w:gridCol w:w="373"/>
        <w:gridCol w:w="372"/>
        <w:gridCol w:w="373"/>
        <w:gridCol w:w="372"/>
        <w:gridCol w:w="381"/>
        <w:gridCol w:w="381"/>
        <w:gridCol w:w="372"/>
        <w:gridCol w:w="373"/>
        <w:gridCol w:w="372"/>
        <w:gridCol w:w="373"/>
        <w:gridCol w:w="372"/>
        <w:gridCol w:w="373"/>
        <w:gridCol w:w="373"/>
        <w:gridCol w:w="380"/>
        <w:gridCol w:w="381"/>
        <w:gridCol w:w="380"/>
        <w:gridCol w:w="382"/>
        <w:gridCol w:w="380"/>
        <w:gridCol w:w="381"/>
        <w:gridCol w:w="387"/>
        <w:gridCol w:w="6"/>
      </w:tblGrid>
      <w:tr w:rsidR="00CD36B5" w:rsidRPr="003B5EA4" w:rsidTr="0087238E">
        <w:trPr>
          <w:trHeight w:val="120"/>
        </w:trPr>
        <w:tc>
          <w:tcPr>
            <w:tcW w:w="1998" w:type="dxa"/>
            <w:gridSpan w:val="2"/>
            <w:vMerge w:val="restart"/>
          </w:tcPr>
          <w:p w:rsidR="00CD36B5" w:rsidRPr="003B5EA4" w:rsidRDefault="00CD36B5" w:rsidP="00CD36B5">
            <w:pPr>
              <w:pStyle w:val="SingleTxtG"/>
              <w:ind w:left="0"/>
            </w:pPr>
          </w:p>
        </w:tc>
        <w:tc>
          <w:tcPr>
            <w:tcW w:w="372" w:type="dxa"/>
            <w:vMerge w:val="restart"/>
            <w:textDirection w:val="btLr"/>
            <w:vAlign w:val="center"/>
          </w:tcPr>
          <w:p w:rsidR="00CD36B5" w:rsidRPr="003B5EA4" w:rsidRDefault="00043285" w:rsidP="00CD36B5">
            <w:pPr>
              <w:spacing w:line="240" w:lineRule="exact"/>
              <w:ind w:left="57"/>
            </w:pPr>
            <w:r w:rsidRPr="003B5EA4">
              <w:rPr>
                <w:i/>
                <w:sz w:val="18"/>
                <w:szCs w:val="18"/>
              </w:rPr>
              <w:t>Effet escompté</w:t>
            </w:r>
          </w:p>
        </w:tc>
        <w:tc>
          <w:tcPr>
            <w:tcW w:w="382" w:type="dxa"/>
            <w:vMerge w:val="restart"/>
            <w:textDirection w:val="btLr"/>
            <w:vAlign w:val="center"/>
          </w:tcPr>
          <w:p w:rsidR="00CD36B5" w:rsidRPr="003B5EA4" w:rsidRDefault="009445BC" w:rsidP="00CD36B5">
            <w:pPr>
              <w:spacing w:line="240" w:lineRule="exact"/>
              <w:ind w:left="57"/>
            </w:pPr>
            <w:r w:rsidRPr="003B5EA4">
              <w:rPr>
                <w:i/>
                <w:sz w:val="18"/>
                <w:szCs w:val="18"/>
              </w:rPr>
              <w:t>CCS</w:t>
            </w:r>
          </w:p>
        </w:tc>
        <w:tc>
          <w:tcPr>
            <w:tcW w:w="5603" w:type="dxa"/>
            <w:gridSpan w:val="15"/>
            <w:tcBorders>
              <w:right w:val="double" w:sz="4" w:space="0" w:color="auto"/>
            </w:tcBorders>
          </w:tcPr>
          <w:p w:rsidR="00CD36B5" w:rsidRPr="003B5EA4" w:rsidRDefault="00043285" w:rsidP="00CD36B5">
            <w:pPr>
              <w:pStyle w:val="SingleTxtG"/>
              <w:spacing w:before="40" w:after="40" w:line="200" w:lineRule="exact"/>
              <w:ind w:left="0" w:right="0"/>
              <w:jc w:val="center"/>
            </w:pPr>
            <w:r w:rsidRPr="003B5EA4">
              <w:rPr>
                <w:i/>
                <w:sz w:val="18"/>
                <w:szCs w:val="18"/>
              </w:rPr>
              <w:t>ONU, fonds et programmes</w:t>
            </w:r>
          </w:p>
        </w:tc>
        <w:tc>
          <w:tcPr>
            <w:tcW w:w="4913" w:type="dxa"/>
            <w:gridSpan w:val="14"/>
            <w:tcBorders>
              <w:left w:val="double" w:sz="4" w:space="0" w:color="auto"/>
            </w:tcBorders>
          </w:tcPr>
          <w:p w:rsidR="00CD36B5" w:rsidRPr="003B5EA4" w:rsidRDefault="00043285" w:rsidP="00CD36B5">
            <w:pPr>
              <w:pStyle w:val="SingleTxtG"/>
              <w:spacing w:before="40" w:after="40" w:line="200" w:lineRule="exact"/>
              <w:ind w:left="0" w:right="0"/>
              <w:jc w:val="center"/>
            </w:pPr>
            <w:r w:rsidRPr="003B5EA4">
              <w:rPr>
                <w:bCs/>
                <w:i/>
                <w:sz w:val="18"/>
                <w:szCs w:val="18"/>
              </w:rPr>
              <w:t>Institutions spécialisées et AIEA</w:t>
            </w:r>
          </w:p>
        </w:tc>
      </w:tr>
      <w:tr w:rsidR="00CD36B5" w:rsidRPr="003B5EA4" w:rsidTr="0087238E">
        <w:trPr>
          <w:gridAfter w:val="1"/>
          <w:wAfter w:w="6" w:type="dxa"/>
          <w:trHeight w:val="1417"/>
        </w:trPr>
        <w:tc>
          <w:tcPr>
            <w:tcW w:w="1998" w:type="dxa"/>
            <w:gridSpan w:val="2"/>
            <w:vMerge/>
          </w:tcPr>
          <w:p w:rsidR="00CD36B5" w:rsidRPr="003B5EA4" w:rsidRDefault="00CD36B5" w:rsidP="00CD36B5">
            <w:pPr>
              <w:pStyle w:val="SingleTxtG"/>
              <w:ind w:left="0"/>
            </w:pPr>
          </w:p>
        </w:tc>
        <w:tc>
          <w:tcPr>
            <w:tcW w:w="372" w:type="dxa"/>
            <w:vMerge/>
            <w:textDirection w:val="btLr"/>
            <w:vAlign w:val="center"/>
          </w:tcPr>
          <w:p w:rsidR="00CD36B5" w:rsidRPr="003B5EA4" w:rsidRDefault="00CD36B5" w:rsidP="00CD36B5">
            <w:pPr>
              <w:spacing w:line="200" w:lineRule="exact"/>
              <w:ind w:left="57" w:right="113"/>
              <w:rPr>
                <w:i/>
                <w:sz w:val="18"/>
                <w:szCs w:val="18"/>
              </w:rPr>
            </w:pPr>
          </w:p>
        </w:tc>
        <w:tc>
          <w:tcPr>
            <w:tcW w:w="382" w:type="dxa"/>
            <w:vMerge/>
            <w:textDirection w:val="btLr"/>
            <w:tcFitText/>
            <w:vAlign w:val="center"/>
          </w:tcPr>
          <w:p w:rsidR="00CD36B5" w:rsidRPr="003B5EA4" w:rsidRDefault="00CD36B5" w:rsidP="00CD36B5">
            <w:pPr>
              <w:spacing w:line="200" w:lineRule="exact"/>
              <w:ind w:left="57" w:right="113"/>
              <w:rPr>
                <w:i/>
                <w:sz w:val="18"/>
                <w:szCs w:val="18"/>
              </w:rPr>
            </w:pPr>
          </w:p>
        </w:tc>
        <w:tc>
          <w:tcPr>
            <w:tcW w:w="371" w:type="dxa"/>
            <w:textDirection w:val="btLr"/>
            <w:vAlign w:val="center"/>
          </w:tcPr>
          <w:p w:rsidR="00CD36B5" w:rsidRPr="003B5EA4" w:rsidRDefault="009445BC" w:rsidP="009445BC">
            <w:pPr>
              <w:spacing w:line="240" w:lineRule="exact"/>
              <w:ind w:left="57"/>
              <w:rPr>
                <w:i/>
                <w:sz w:val="18"/>
                <w:szCs w:val="18"/>
              </w:rPr>
            </w:pPr>
            <w:r w:rsidRPr="003B5EA4">
              <w:rPr>
                <w:i/>
                <w:sz w:val="18"/>
                <w:szCs w:val="18"/>
              </w:rPr>
              <w:t>ONU</w:t>
            </w:r>
            <w:r w:rsidR="00CD36B5" w:rsidRPr="003B5EA4">
              <w:rPr>
                <w:sz w:val="18"/>
                <w:szCs w:val="18"/>
              </w:rPr>
              <w:t>*</w:t>
            </w:r>
            <w:r w:rsidR="0085427A" w:rsidRPr="003B5EA4">
              <w:rPr>
                <w:sz w:val="18"/>
                <w:szCs w:val="18"/>
              </w:rPr>
              <w:t>*</w:t>
            </w:r>
          </w:p>
        </w:tc>
        <w:tc>
          <w:tcPr>
            <w:tcW w:w="373"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ONUSIDA</w:t>
            </w:r>
          </w:p>
        </w:tc>
        <w:tc>
          <w:tcPr>
            <w:tcW w:w="372" w:type="dxa"/>
            <w:textDirection w:val="btLr"/>
            <w:vAlign w:val="center"/>
          </w:tcPr>
          <w:p w:rsidR="00CD36B5" w:rsidRPr="003B5EA4" w:rsidRDefault="0000017D" w:rsidP="00CD36B5">
            <w:pPr>
              <w:spacing w:line="240" w:lineRule="exact"/>
              <w:ind w:left="57" w:right="113"/>
              <w:rPr>
                <w:i/>
                <w:sz w:val="18"/>
                <w:szCs w:val="18"/>
              </w:rPr>
            </w:pPr>
            <w:r w:rsidRPr="003B5EA4">
              <w:rPr>
                <w:i/>
                <w:sz w:val="18"/>
                <w:szCs w:val="18"/>
              </w:rPr>
              <w:t>CNUCED</w:t>
            </w:r>
          </w:p>
        </w:tc>
        <w:tc>
          <w:tcPr>
            <w:tcW w:w="373"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CCI</w:t>
            </w:r>
            <w:r w:rsidR="00783CFE" w:rsidRPr="00783CFE">
              <w:rPr>
                <w:sz w:val="18"/>
                <w:szCs w:val="18"/>
              </w:rPr>
              <w:t>*</w:t>
            </w:r>
          </w:p>
        </w:tc>
        <w:tc>
          <w:tcPr>
            <w:tcW w:w="372"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PNUD</w:t>
            </w:r>
          </w:p>
        </w:tc>
        <w:tc>
          <w:tcPr>
            <w:tcW w:w="373" w:type="dxa"/>
            <w:textDirection w:val="btLr"/>
            <w:vAlign w:val="center"/>
          </w:tcPr>
          <w:p w:rsidR="00CD36B5" w:rsidRPr="003B5EA4" w:rsidRDefault="0000017D" w:rsidP="00CD36B5">
            <w:pPr>
              <w:spacing w:line="240" w:lineRule="exact"/>
              <w:ind w:left="57" w:right="113"/>
              <w:rPr>
                <w:i/>
                <w:sz w:val="18"/>
                <w:szCs w:val="18"/>
              </w:rPr>
            </w:pPr>
            <w:r w:rsidRPr="003B5EA4">
              <w:rPr>
                <w:i/>
                <w:sz w:val="18"/>
                <w:szCs w:val="18"/>
              </w:rPr>
              <w:t>PNUE</w:t>
            </w:r>
          </w:p>
        </w:tc>
        <w:tc>
          <w:tcPr>
            <w:tcW w:w="373" w:type="dxa"/>
            <w:textDirection w:val="btLr"/>
            <w:vAlign w:val="center"/>
          </w:tcPr>
          <w:p w:rsidR="00CD36B5" w:rsidRPr="003B5EA4" w:rsidRDefault="0000017D" w:rsidP="00CD36B5">
            <w:pPr>
              <w:spacing w:line="240" w:lineRule="exact"/>
              <w:ind w:left="57" w:right="113"/>
              <w:rPr>
                <w:i/>
                <w:sz w:val="18"/>
                <w:szCs w:val="18"/>
              </w:rPr>
            </w:pPr>
            <w:r w:rsidRPr="003B5EA4">
              <w:rPr>
                <w:i/>
                <w:sz w:val="18"/>
                <w:szCs w:val="18"/>
              </w:rPr>
              <w:t>FNUAP</w:t>
            </w:r>
          </w:p>
        </w:tc>
        <w:tc>
          <w:tcPr>
            <w:tcW w:w="372" w:type="dxa"/>
            <w:textDirection w:val="btLr"/>
            <w:vAlign w:val="center"/>
          </w:tcPr>
          <w:p w:rsidR="00CD36B5" w:rsidRPr="003B5EA4" w:rsidRDefault="00CD36B5" w:rsidP="0000017D">
            <w:pPr>
              <w:spacing w:line="240" w:lineRule="exact"/>
              <w:ind w:left="57" w:right="113"/>
              <w:rPr>
                <w:i/>
                <w:sz w:val="18"/>
                <w:szCs w:val="18"/>
              </w:rPr>
            </w:pPr>
            <w:r w:rsidRPr="003B5EA4">
              <w:rPr>
                <w:i/>
                <w:sz w:val="18"/>
                <w:szCs w:val="18"/>
              </w:rPr>
              <w:t>ONU-</w:t>
            </w:r>
            <w:r w:rsidR="0000017D" w:rsidRPr="003B5EA4">
              <w:rPr>
                <w:i/>
                <w:sz w:val="18"/>
                <w:szCs w:val="18"/>
              </w:rPr>
              <w:t>Habitat</w:t>
            </w:r>
          </w:p>
        </w:tc>
        <w:tc>
          <w:tcPr>
            <w:tcW w:w="373" w:type="dxa"/>
            <w:textDirection w:val="btLr"/>
            <w:vAlign w:val="center"/>
          </w:tcPr>
          <w:p w:rsidR="00CD36B5" w:rsidRPr="003B5EA4" w:rsidRDefault="0000017D" w:rsidP="00CD36B5">
            <w:pPr>
              <w:spacing w:line="240" w:lineRule="exact"/>
              <w:ind w:left="57" w:right="113"/>
              <w:rPr>
                <w:i/>
                <w:sz w:val="18"/>
                <w:szCs w:val="18"/>
              </w:rPr>
            </w:pPr>
            <w:r w:rsidRPr="003B5EA4">
              <w:rPr>
                <w:i/>
                <w:sz w:val="18"/>
                <w:szCs w:val="18"/>
              </w:rPr>
              <w:t>HCR</w:t>
            </w:r>
          </w:p>
        </w:tc>
        <w:tc>
          <w:tcPr>
            <w:tcW w:w="372"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UNICEF</w:t>
            </w:r>
          </w:p>
        </w:tc>
        <w:tc>
          <w:tcPr>
            <w:tcW w:w="373" w:type="dxa"/>
            <w:textDirection w:val="btLr"/>
            <w:vAlign w:val="center"/>
          </w:tcPr>
          <w:p w:rsidR="00CD36B5" w:rsidRPr="003B5EA4" w:rsidRDefault="0000017D" w:rsidP="00CD36B5">
            <w:pPr>
              <w:spacing w:line="240" w:lineRule="exact"/>
              <w:ind w:left="57" w:right="113"/>
              <w:rPr>
                <w:i/>
                <w:sz w:val="18"/>
                <w:szCs w:val="18"/>
              </w:rPr>
            </w:pPr>
            <w:r w:rsidRPr="003B5EA4">
              <w:rPr>
                <w:i/>
                <w:sz w:val="18"/>
                <w:szCs w:val="18"/>
              </w:rPr>
              <w:t>ONUDC</w:t>
            </w:r>
          </w:p>
        </w:tc>
        <w:tc>
          <w:tcPr>
            <w:tcW w:w="372"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UNOPS</w:t>
            </w:r>
          </w:p>
        </w:tc>
        <w:tc>
          <w:tcPr>
            <w:tcW w:w="381" w:type="dxa"/>
            <w:textDirection w:val="btLr"/>
            <w:tcFitText/>
            <w:vAlign w:val="center"/>
          </w:tcPr>
          <w:p w:rsidR="00CD36B5" w:rsidRPr="003B5EA4" w:rsidRDefault="0000017D" w:rsidP="00CD36B5">
            <w:pPr>
              <w:spacing w:line="240" w:lineRule="exact"/>
              <w:ind w:left="57" w:right="113"/>
              <w:rPr>
                <w:i/>
                <w:sz w:val="18"/>
                <w:szCs w:val="18"/>
              </w:rPr>
            </w:pPr>
            <w:r w:rsidRPr="003B5EA4">
              <w:rPr>
                <w:i/>
                <w:sz w:val="18"/>
                <w:szCs w:val="18"/>
              </w:rPr>
              <w:t>UNRWA</w:t>
            </w:r>
          </w:p>
        </w:tc>
        <w:tc>
          <w:tcPr>
            <w:tcW w:w="381" w:type="dxa"/>
            <w:textDirection w:val="btLr"/>
            <w:tcFitText/>
            <w:vAlign w:val="center"/>
          </w:tcPr>
          <w:p w:rsidR="00CD36B5" w:rsidRPr="003B5EA4" w:rsidRDefault="00CD36B5" w:rsidP="0000017D">
            <w:pPr>
              <w:spacing w:line="240" w:lineRule="exact"/>
              <w:ind w:left="57" w:right="113"/>
              <w:rPr>
                <w:i/>
                <w:sz w:val="18"/>
                <w:szCs w:val="18"/>
              </w:rPr>
            </w:pPr>
            <w:r w:rsidRPr="003B5EA4">
              <w:rPr>
                <w:i/>
                <w:sz w:val="18"/>
                <w:szCs w:val="18"/>
              </w:rPr>
              <w:t>ONU-</w:t>
            </w:r>
            <w:r w:rsidR="0000017D" w:rsidRPr="003B5EA4">
              <w:rPr>
                <w:i/>
                <w:sz w:val="18"/>
                <w:szCs w:val="18"/>
              </w:rPr>
              <w:t>Femmes</w:t>
            </w:r>
          </w:p>
        </w:tc>
        <w:tc>
          <w:tcPr>
            <w:tcW w:w="372" w:type="dxa"/>
            <w:tcBorders>
              <w:right w:val="double" w:sz="4" w:space="0" w:color="auto"/>
            </w:tcBorders>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PMA</w:t>
            </w:r>
          </w:p>
        </w:tc>
        <w:tc>
          <w:tcPr>
            <w:tcW w:w="373" w:type="dxa"/>
            <w:tcBorders>
              <w:left w:val="double" w:sz="4" w:space="0" w:color="auto"/>
            </w:tcBorders>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FAO</w:t>
            </w:r>
          </w:p>
        </w:tc>
        <w:tc>
          <w:tcPr>
            <w:tcW w:w="372"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OIEA</w:t>
            </w:r>
          </w:p>
        </w:tc>
        <w:tc>
          <w:tcPr>
            <w:tcW w:w="373"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OACI</w:t>
            </w:r>
          </w:p>
        </w:tc>
        <w:tc>
          <w:tcPr>
            <w:tcW w:w="372"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OIT</w:t>
            </w:r>
          </w:p>
        </w:tc>
        <w:tc>
          <w:tcPr>
            <w:tcW w:w="373"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OMI</w:t>
            </w:r>
          </w:p>
        </w:tc>
        <w:tc>
          <w:tcPr>
            <w:tcW w:w="373" w:type="dxa"/>
            <w:textDirection w:val="btLr"/>
            <w:vAlign w:val="center"/>
          </w:tcPr>
          <w:p w:rsidR="00CD36B5" w:rsidRPr="003B5EA4" w:rsidRDefault="00CD36B5" w:rsidP="00CD36B5">
            <w:pPr>
              <w:spacing w:line="240" w:lineRule="exact"/>
              <w:ind w:left="57" w:right="113"/>
              <w:rPr>
                <w:i/>
                <w:sz w:val="18"/>
                <w:szCs w:val="18"/>
              </w:rPr>
            </w:pPr>
            <w:r w:rsidRPr="003B5EA4">
              <w:rPr>
                <w:i/>
                <w:sz w:val="18"/>
                <w:szCs w:val="18"/>
              </w:rPr>
              <w:t>UIT</w:t>
            </w:r>
          </w:p>
        </w:tc>
        <w:tc>
          <w:tcPr>
            <w:tcW w:w="380" w:type="dxa"/>
            <w:textDirection w:val="btLr"/>
            <w:tcFitText/>
            <w:vAlign w:val="center"/>
          </w:tcPr>
          <w:p w:rsidR="00CD36B5" w:rsidRPr="003B5EA4" w:rsidRDefault="00CD36B5" w:rsidP="00CD36B5">
            <w:pPr>
              <w:spacing w:line="240" w:lineRule="exact"/>
              <w:ind w:left="57" w:right="113"/>
              <w:rPr>
                <w:i/>
                <w:sz w:val="18"/>
                <w:szCs w:val="18"/>
              </w:rPr>
            </w:pPr>
            <w:r w:rsidRPr="003B5EA4">
              <w:rPr>
                <w:i/>
                <w:sz w:val="18"/>
                <w:szCs w:val="18"/>
              </w:rPr>
              <w:t>UNESCO</w:t>
            </w:r>
          </w:p>
        </w:tc>
        <w:tc>
          <w:tcPr>
            <w:tcW w:w="381" w:type="dxa"/>
            <w:textDirection w:val="btLr"/>
            <w:tcFitText/>
            <w:vAlign w:val="center"/>
          </w:tcPr>
          <w:p w:rsidR="00CD36B5" w:rsidRPr="003B5EA4" w:rsidRDefault="00CD36B5" w:rsidP="00CD36B5">
            <w:pPr>
              <w:spacing w:line="240" w:lineRule="exact"/>
              <w:ind w:left="57" w:right="113"/>
              <w:rPr>
                <w:i/>
                <w:sz w:val="18"/>
                <w:szCs w:val="18"/>
              </w:rPr>
            </w:pPr>
            <w:r w:rsidRPr="003B5EA4">
              <w:rPr>
                <w:i/>
                <w:sz w:val="18"/>
                <w:szCs w:val="18"/>
              </w:rPr>
              <w:t>ONUDI</w:t>
            </w:r>
          </w:p>
        </w:tc>
        <w:tc>
          <w:tcPr>
            <w:tcW w:w="380" w:type="dxa"/>
            <w:textDirection w:val="btLr"/>
            <w:tcFitText/>
            <w:vAlign w:val="center"/>
          </w:tcPr>
          <w:p w:rsidR="00CD36B5" w:rsidRPr="003B5EA4" w:rsidRDefault="00CD36B5" w:rsidP="00CD36B5">
            <w:pPr>
              <w:spacing w:line="240" w:lineRule="exact"/>
              <w:ind w:left="57" w:right="113"/>
              <w:rPr>
                <w:i/>
                <w:sz w:val="18"/>
                <w:szCs w:val="18"/>
              </w:rPr>
            </w:pPr>
            <w:r w:rsidRPr="003B5EA4">
              <w:rPr>
                <w:i/>
                <w:sz w:val="18"/>
                <w:szCs w:val="18"/>
              </w:rPr>
              <w:t>OMT</w:t>
            </w:r>
          </w:p>
        </w:tc>
        <w:tc>
          <w:tcPr>
            <w:tcW w:w="382" w:type="dxa"/>
            <w:textDirection w:val="btLr"/>
            <w:tcFitText/>
            <w:vAlign w:val="center"/>
          </w:tcPr>
          <w:p w:rsidR="00CD36B5" w:rsidRPr="003B5EA4" w:rsidRDefault="00CD36B5" w:rsidP="00CD36B5">
            <w:pPr>
              <w:spacing w:line="240" w:lineRule="exact"/>
              <w:ind w:left="57" w:right="113"/>
              <w:rPr>
                <w:i/>
                <w:sz w:val="18"/>
                <w:szCs w:val="18"/>
              </w:rPr>
            </w:pPr>
            <w:r w:rsidRPr="003B5EA4">
              <w:rPr>
                <w:i/>
                <w:sz w:val="18"/>
                <w:szCs w:val="18"/>
              </w:rPr>
              <w:t>UPU</w:t>
            </w:r>
          </w:p>
        </w:tc>
        <w:tc>
          <w:tcPr>
            <w:tcW w:w="380" w:type="dxa"/>
            <w:textDirection w:val="btLr"/>
            <w:tcFitText/>
            <w:vAlign w:val="center"/>
          </w:tcPr>
          <w:p w:rsidR="00CD36B5" w:rsidRPr="003B5EA4" w:rsidRDefault="00CD36B5" w:rsidP="00CD36B5">
            <w:pPr>
              <w:spacing w:line="240" w:lineRule="exact"/>
              <w:ind w:left="57" w:right="113"/>
              <w:rPr>
                <w:i/>
                <w:sz w:val="18"/>
                <w:szCs w:val="18"/>
              </w:rPr>
            </w:pPr>
            <w:r w:rsidRPr="003B5EA4">
              <w:rPr>
                <w:i/>
                <w:sz w:val="18"/>
                <w:szCs w:val="18"/>
              </w:rPr>
              <w:t>OMS</w:t>
            </w:r>
          </w:p>
        </w:tc>
        <w:tc>
          <w:tcPr>
            <w:tcW w:w="381" w:type="dxa"/>
            <w:textDirection w:val="btLr"/>
            <w:tcFitText/>
            <w:vAlign w:val="center"/>
          </w:tcPr>
          <w:p w:rsidR="00CD36B5" w:rsidRPr="003B5EA4" w:rsidRDefault="00CD36B5" w:rsidP="00CD36B5">
            <w:pPr>
              <w:spacing w:line="240" w:lineRule="exact"/>
              <w:ind w:left="57" w:right="113"/>
              <w:rPr>
                <w:i/>
                <w:sz w:val="18"/>
                <w:szCs w:val="18"/>
              </w:rPr>
            </w:pPr>
            <w:r w:rsidRPr="003B5EA4">
              <w:rPr>
                <w:i/>
                <w:sz w:val="18"/>
                <w:szCs w:val="18"/>
              </w:rPr>
              <w:t>OMPI</w:t>
            </w:r>
          </w:p>
        </w:tc>
        <w:tc>
          <w:tcPr>
            <w:tcW w:w="387" w:type="dxa"/>
            <w:textDirection w:val="btLr"/>
            <w:tcFitText/>
            <w:vAlign w:val="center"/>
          </w:tcPr>
          <w:p w:rsidR="00CD36B5" w:rsidRPr="003B5EA4" w:rsidRDefault="00CD36B5" w:rsidP="00CD36B5">
            <w:pPr>
              <w:spacing w:line="240" w:lineRule="exact"/>
              <w:ind w:left="57" w:right="113"/>
              <w:rPr>
                <w:i/>
                <w:sz w:val="18"/>
                <w:szCs w:val="18"/>
              </w:rPr>
            </w:pPr>
            <w:r w:rsidRPr="003B5EA4">
              <w:rPr>
                <w:i/>
                <w:sz w:val="18"/>
                <w:szCs w:val="18"/>
              </w:rPr>
              <w:t>OMM</w:t>
            </w:r>
          </w:p>
        </w:tc>
      </w:tr>
      <w:tr w:rsidR="00CD36B5" w:rsidRPr="003B5EA4" w:rsidTr="0087238E">
        <w:trPr>
          <w:gridAfter w:val="1"/>
          <w:wAfter w:w="6" w:type="dxa"/>
          <w:trHeight w:val="360"/>
        </w:trPr>
        <w:tc>
          <w:tcPr>
            <w:tcW w:w="281" w:type="dxa"/>
            <w:vMerge w:val="restart"/>
            <w:noWrap/>
            <w:textDirection w:val="btLr"/>
          </w:tcPr>
          <w:p w:rsidR="00CD36B5" w:rsidRPr="003B5EA4" w:rsidRDefault="00CD36B5" w:rsidP="0087238E">
            <w:pPr>
              <w:pStyle w:val="SingleTxtG"/>
              <w:spacing w:after="0"/>
              <w:ind w:left="28" w:right="0"/>
            </w:pPr>
          </w:p>
        </w:tc>
        <w:tc>
          <w:tcPr>
            <w:tcW w:w="1717" w:type="dxa"/>
            <w:vAlign w:val="center"/>
          </w:tcPr>
          <w:p w:rsidR="00CD36B5" w:rsidRPr="003B5EA4" w:rsidRDefault="0090377E" w:rsidP="00CD36B5">
            <w:pPr>
              <w:spacing w:before="60" w:after="60" w:line="200" w:lineRule="exact"/>
              <w:ind w:left="57" w:right="-113"/>
              <w:outlineLvl w:val="4"/>
              <w:rPr>
                <w:b/>
                <w:sz w:val="18"/>
                <w:szCs w:val="18"/>
              </w:rPr>
            </w:pPr>
            <w:r w:rsidRPr="003B5EA4">
              <w:rPr>
                <w:b/>
                <w:bCs/>
                <w:sz w:val="18"/>
                <w:szCs w:val="18"/>
              </w:rPr>
              <w:t>Pour suite à donner</w:t>
            </w:r>
          </w:p>
        </w:tc>
        <w:tc>
          <w:tcPr>
            <w:tcW w:w="372" w:type="dxa"/>
            <w:vAlign w:val="center"/>
          </w:tcPr>
          <w:p w:rsidR="00CD36B5" w:rsidRPr="003B5EA4" w:rsidRDefault="00CD36B5" w:rsidP="00CD36B5">
            <w:pPr>
              <w:spacing w:before="60" w:after="60"/>
              <w:jc w:val="center"/>
              <w:rPr>
                <w:b/>
                <w:sz w:val="18"/>
                <w:szCs w:val="18"/>
              </w:rPr>
            </w:pPr>
          </w:p>
        </w:tc>
        <w:tc>
          <w:tcPr>
            <w:tcW w:w="382" w:type="dxa"/>
            <w:tcFitText/>
            <w:vAlign w:val="center"/>
          </w:tcPr>
          <w:p w:rsidR="00CD36B5" w:rsidRPr="003B5EA4" w:rsidRDefault="00783CFE" w:rsidP="00783CFE">
            <w:pPr>
              <w:spacing w:before="60" w:after="60" w:line="240" w:lineRule="auto"/>
              <w:jc w:val="center"/>
              <w:rPr>
                <w:b/>
                <w:sz w:val="18"/>
                <w:szCs w:val="18"/>
              </w:rPr>
            </w:pPr>
            <w:r w:rsidRPr="0074747A">
              <w:rPr>
                <w:spacing w:val="145"/>
                <w:sz w:val="18"/>
                <w:szCs w:val="18"/>
                <w:highlight w:val="darkGray"/>
              </w:rPr>
              <w:fldChar w:fldCharType="begin">
                <w:ffData>
                  <w:name w:val=""/>
                  <w:enabled/>
                  <w:calcOnExit w:val="0"/>
                  <w:checkBox>
                    <w:sizeAuto/>
                    <w:default w:val="0"/>
                  </w:checkBox>
                </w:ffData>
              </w:fldChar>
            </w:r>
            <w:r w:rsidRPr="0074747A">
              <w:rPr>
                <w:spacing w:val="145"/>
                <w:sz w:val="18"/>
                <w:szCs w:val="18"/>
                <w:highlight w:val="darkGray"/>
              </w:rPr>
              <w:instrText xml:space="preserve"> FORMCHECKBOX </w:instrText>
            </w:r>
            <w:r w:rsidR="00ED0903" w:rsidRPr="0074747A">
              <w:rPr>
                <w:spacing w:val="145"/>
                <w:sz w:val="18"/>
                <w:szCs w:val="18"/>
                <w:highlight w:val="darkGray"/>
              </w:rPr>
            </w:r>
            <w:r w:rsidR="00ED0903" w:rsidRPr="0074747A">
              <w:rPr>
                <w:spacing w:val="145"/>
                <w:sz w:val="18"/>
                <w:szCs w:val="18"/>
                <w:highlight w:val="darkGray"/>
              </w:rPr>
              <w:fldChar w:fldCharType="separate"/>
            </w:r>
            <w:r w:rsidRPr="0074747A">
              <w:rPr>
                <w:spacing w:val="145"/>
                <w:sz w:val="18"/>
                <w:szCs w:val="18"/>
                <w:highlight w:val="darkGray"/>
              </w:rPr>
              <w:fldChar w:fldCharType="end"/>
            </w:r>
          </w:p>
        </w:tc>
        <w:tc>
          <w:tcPr>
            <w:tcW w:w="371" w:type="dxa"/>
            <w:vAlign w:val="center"/>
          </w:tcPr>
          <w:p w:rsidR="00CD36B5" w:rsidRPr="003B5EA4" w:rsidRDefault="00CD36B5" w:rsidP="00CD36B5">
            <w:pPr>
              <w:spacing w:before="60" w:after="60" w:line="240" w:lineRule="auto"/>
              <w:jc w:val="center"/>
              <w:rPr>
                <w:spacing w:val="38"/>
                <w:sz w:val="18"/>
                <w:szCs w:val="18"/>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tcBorders>
              <w:right w:val="double" w:sz="4" w:space="0" w:color="auto"/>
            </w:tcBorders>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tcBorders>
              <w:left w:val="double" w:sz="4" w:space="0" w:color="auto"/>
            </w:tcBorders>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0"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0"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0"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7"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r>
      <w:tr w:rsidR="00CD36B5" w:rsidRPr="003B5EA4" w:rsidTr="0087238E">
        <w:trPr>
          <w:gridAfter w:val="1"/>
          <w:wAfter w:w="6" w:type="dxa"/>
          <w:trHeight w:val="360"/>
        </w:trPr>
        <w:tc>
          <w:tcPr>
            <w:tcW w:w="281" w:type="dxa"/>
            <w:vMerge/>
          </w:tcPr>
          <w:p w:rsidR="00CD36B5" w:rsidRPr="003B5EA4" w:rsidRDefault="00CD36B5" w:rsidP="00CD36B5">
            <w:pPr>
              <w:pStyle w:val="SingleTxtG"/>
              <w:ind w:left="0"/>
            </w:pPr>
          </w:p>
        </w:tc>
        <w:tc>
          <w:tcPr>
            <w:tcW w:w="1717" w:type="dxa"/>
            <w:vAlign w:val="center"/>
          </w:tcPr>
          <w:p w:rsidR="00CD36B5" w:rsidRPr="003B5EA4" w:rsidRDefault="0090377E" w:rsidP="00CD36B5">
            <w:pPr>
              <w:spacing w:before="60" w:after="60" w:line="200" w:lineRule="exact"/>
              <w:ind w:left="57" w:right="-113"/>
              <w:outlineLvl w:val="4"/>
              <w:rPr>
                <w:sz w:val="18"/>
                <w:szCs w:val="18"/>
              </w:rPr>
            </w:pPr>
            <w:r w:rsidRPr="003B5EA4">
              <w:rPr>
                <w:b/>
                <w:bCs/>
                <w:sz w:val="18"/>
                <w:szCs w:val="18"/>
              </w:rPr>
              <w:t>Pour information</w:t>
            </w:r>
          </w:p>
        </w:tc>
        <w:tc>
          <w:tcPr>
            <w:tcW w:w="372" w:type="dxa"/>
            <w:vAlign w:val="center"/>
          </w:tcPr>
          <w:p w:rsidR="00CD36B5" w:rsidRPr="003B5EA4" w:rsidRDefault="00CD36B5" w:rsidP="00CD36B5">
            <w:pPr>
              <w:spacing w:before="60" w:after="60"/>
              <w:jc w:val="center"/>
              <w:rPr>
                <w:sz w:val="18"/>
                <w:szCs w:val="18"/>
              </w:rPr>
            </w:pPr>
          </w:p>
        </w:tc>
        <w:tc>
          <w:tcPr>
            <w:tcW w:w="38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1"/>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tcBorders>
              <w:right w:val="double" w:sz="4" w:space="0" w:color="auto"/>
            </w:tcBorders>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tcBorders>
              <w:left w:val="double" w:sz="4" w:space="0" w:color="auto"/>
            </w:tcBorders>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73"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0"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0"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2"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0"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1"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c>
          <w:tcPr>
            <w:tcW w:w="387" w:type="dxa"/>
            <w:vAlign w:val="center"/>
          </w:tcPr>
          <w:p w:rsidR="00CD36B5" w:rsidRPr="003B5EA4" w:rsidRDefault="00CD36B5" w:rsidP="00CD36B5">
            <w:pPr>
              <w:spacing w:before="60" w:after="60" w:line="240" w:lineRule="auto"/>
              <w:jc w:val="center"/>
              <w:rPr>
                <w:spacing w:val="38"/>
                <w:sz w:val="18"/>
                <w:szCs w:val="18"/>
                <w:highlight w:val="darkGray"/>
              </w:rPr>
            </w:pPr>
            <w:r w:rsidRPr="003B5EA4">
              <w:rPr>
                <w:spacing w:val="38"/>
                <w:sz w:val="18"/>
                <w:szCs w:val="18"/>
                <w:highlight w:val="darkGray"/>
              </w:rPr>
              <w:fldChar w:fldCharType="begin">
                <w:ffData>
                  <w:name w:val="Check3"/>
                  <w:enabled/>
                  <w:calcOnExit w:val="0"/>
                  <w:checkBox>
                    <w:sizeAuto/>
                    <w:default w:val="0"/>
                  </w:checkBox>
                </w:ffData>
              </w:fldChar>
            </w:r>
            <w:r w:rsidRPr="003B5EA4">
              <w:rPr>
                <w:spacing w:val="38"/>
                <w:sz w:val="18"/>
                <w:szCs w:val="18"/>
                <w:highlight w:val="darkGray"/>
              </w:rPr>
              <w:instrText xml:space="preserve"> FORMCHECKBOX </w:instrText>
            </w:r>
            <w:r w:rsidR="00ED0903">
              <w:rPr>
                <w:spacing w:val="38"/>
                <w:sz w:val="18"/>
                <w:szCs w:val="18"/>
                <w:highlight w:val="darkGray"/>
              </w:rPr>
            </w:r>
            <w:r w:rsidR="00ED0903">
              <w:rPr>
                <w:spacing w:val="38"/>
                <w:sz w:val="18"/>
                <w:szCs w:val="18"/>
                <w:highlight w:val="darkGray"/>
              </w:rPr>
              <w:fldChar w:fldCharType="separate"/>
            </w:r>
            <w:r w:rsidRPr="003B5EA4">
              <w:rPr>
                <w:spacing w:val="38"/>
                <w:sz w:val="18"/>
                <w:szCs w:val="18"/>
                <w:highlight w:val="darkGray"/>
              </w:rPr>
              <w:fldChar w:fldCharType="end"/>
            </w:r>
          </w:p>
        </w:tc>
      </w:tr>
      <w:tr w:rsidR="00CD36B5" w:rsidRPr="003B5EA4" w:rsidTr="0087238E">
        <w:trPr>
          <w:gridAfter w:val="1"/>
          <w:wAfter w:w="6" w:type="dxa"/>
        </w:trPr>
        <w:tc>
          <w:tcPr>
            <w:tcW w:w="1998" w:type="dxa"/>
            <w:gridSpan w:val="2"/>
            <w:vAlign w:val="center"/>
          </w:tcPr>
          <w:p w:rsidR="00CD36B5" w:rsidRPr="003B5EA4" w:rsidRDefault="00CD36B5" w:rsidP="00CD36B5">
            <w:pPr>
              <w:spacing w:before="60" w:after="60" w:line="240" w:lineRule="auto"/>
              <w:ind w:left="57"/>
              <w:rPr>
                <w:b/>
                <w:sz w:val="18"/>
                <w:szCs w:val="18"/>
              </w:rPr>
            </w:pPr>
            <w:r w:rsidRPr="003B5EA4">
              <w:rPr>
                <w:b/>
                <w:sz w:val="18"/>
                <w:szCs w:val="18"/>
              </w:rPr>
              <w:t>Recommandation 1</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f</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2" w:type="dxa"/>
            <w:tcBorders>
              <w:righ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tcBorders>
              <w:left w:val="double" w:sz="4" w:space="0" w:color="auto"/>
            </w:tcBorders>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2"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7" w:type="dxa"/>
            <w:vAlign w:val="center"/>
          </w:tcPr>
          <w:p w:rsidR="00CD36B5" w:rsidRPr="003B5EA4" w:rsidRDefault="00CD36B5" w:rsidP="00CD36B5">
            <w:pPr>
              <w:spacing w:before="60" w:after="60"/>
              <w:jc w:val="center"/>
              <w:rPr>
                <w:b/>
                <w:sz w:val="18"/>
                <w:szCs w:val="18"/>
              </w:rPr>
            </w:pPr>
            <w:r w:rsidRPr="003B5EA4">
              <w:rPr>
                <w:b/>
                <w:sz w:val="18"/>
                <w:szCs w:val="18"/>
              </w:rPr>
              <w:t>L</w:t>
            </w:r>
          </w:p>
        </w:tc>
      </w:tr>
      <w:tr w:rsidR="00CD36B5" w:rsidRPr="003B5EA4" w:rsidTr="0087238E">
        <w:trPr>
          <w:gridAfter w:val="1"/>
          <w:wAfter w:w="6" w:type="dxa"/>
        </w:trPr>
        <w:tc>
          <w:tcPr>
            <w:tcW w:w="1998" w:type="dxa"/>
            <w:gridSpan w:val="2"/>
            <w:vAlign w:val="center"/>
          </w:tcPr>
          <w:p w:rsidR="00CD36B5" w:rsidRPr="003B5EA4" w:rsidRDefault="00CD36B5" w:rsidP="00CD36B5">
            <w:pPr>
              <w:spacing w:before="60" w:after="60" w:line="240" w:lineRule="auto"/>
              <w:ind w:left="57"/>
              <w:rPr>
                <w:b/>
                <w:sz w:val="18"/>
                <w:szCs w:val="18"/>
              </w:rPr>
            </w:pPr>
            <w:r w:rsidRPr="003B5EA4">
              <w:rPr>
                <w:b/>
                <w:sz w:val="18"/>
                <w:szCs w:val="18"/>
              </w:rPr>
              <w:t>Recommandation 2</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d</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2" w:type="dxa"/>
            <w:tcBorders>
              <w:righ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tcBorders>
              <w:lef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87" w:type="dxa"/>
            <w:vAlign w:val="center"/>
          </w:tcPr>
          <w:p w:rsidR="00CD36B5" w:rsidRPr="003B5EA4" w:rsidRDefault="00CD36B5" w:rsidP="00CD36B5">
            <w:pPr>
              <w:spacing w:before="60" w:after="60"/>
              <w:jc w:val="center"/>
              <w:rPr>
                <w:b/>
                <w:sz w:val="18"/>
                <w:szCs w:val="18"/>
              </w:rPr>
            </w:pPr>
            <w:r w:rsidRPr="003B5EA4">
              <w:rPr>
                <w:b/>
                <w:sz w:val="18"/>
                <w:szCs w:val="18"/>
              </w:rPr>
              <w:t>L</w:t>
            </w:r>
          </w:p>
        </w:tc>
      </w:tr>
      <w:tr w:rsidR="00CD36B5" w:rsidRPr="003B5EA4" w:rsidTr="0087238E">
        <w:trPr>
          <w:gridAfter w:val="1"/>
          <w:wAfter w:w="6" w:type="dxa"/>
        </w:trPr>
        <w:tc>
          <w:tcPr>
            <w:tcW w:w="1998" w:type="dxa"/>
            <w:gridSpan w:val="2"/>
            <w:vAlign w:val="center"/>
          </w:tcPr>
          <w:p w:rsidR="00CD36B5" w:rsidRPr="003B5EA4" w:rsidRDefault="0090377E" w:rsidP="00CD36B5">
            <w:pPr>
              <w:spacing w:before="60" w:after="60" w:line="240" w:lineRule="auto"/>
              <w:ind w:left="57"/>
              <w:rPr>
                <w:b/>
                <w:sz w:val="18"/>
                <w:szCs w:val="18"/>
              </w:rPr>
            </w:pPr>
            <w:r w:rsidRPr="003B5EA4">
              <w:rPr>
                <w:b/>
                <w:sz w:val="18"/>
                <w:szCs w:val="18"/>
              </w:rPr>
              <w:t xml:space="preserve">Recommandation </w:t>
            </w:r>
            <w:r w:rsidR="00CD36B5" w:rsidRPr="003B5EA4">
              <w:rPr>
                <w:b/>
                <w:sz w:val="18"/>
                <w:szCs w:val="18"/>
              </w:rPr>
              <w:t>3</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h</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tcBorders>
              <w:righ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tcBorders>
              <w:lef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7"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r>
      <w:tr w:rsidR="00CD36B5" w:rsidRPr="003B5EA4" w:rsidTr="0087238E">
        <w:trPr>
          <w:gridAfter w:val="1"/>
          <w:wAfter w:w="6" w:type="dxa"/>
        </w:trPr>
        <w:tc>
          <w:tcPr>
            <w:tcW w:w="1998" w:type="dxa"/>
            <w:gridSpan w:val="2"/>
            <w:vAlign w:val="center"/>
          </w:tcPr>
          <w:p w:rsidR="00CD36B5" w:rsidRPr="003B5EA4" w:rsidRDefault="0090377E" w:rsidP="00CD36B5">
            <w:pPr>
              <w:spacing w:before="60" w:after="60" w:line="240" w:lineRule="auto"/>
              <w:ind w:left="57"/>
              <w:rPr>
                <w:b/>
                <w:sz w:val="18"/>
                <w:szCs w:val="18"/>
              </w:rPr>
            </w:pPr>
            <w:r w:rsidRPr="003B5EA4">
              <w:rPr>
                <w:b/>
                <w:sz w:val="18"/>
                <w:szCs w:val="18"/>
              </w:rPr>
              <w:t xml:space="preserve">Recommandation </w:t>
            </w:r>
            <w:r w:rsidR="00CD36B5" w:rsidRPr="003B5EA4">
              <w:rPr>
                <w:b/>
                <w:sz w:val="18"/>
                <w:szCs w:val="18"/>
              </w:rPr>
              <w:t>4</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tcBorders>
              <w:right w:val="double" w:sz="4" w:space="0" w:color="auto"/>
            </w:tcBorders>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tcBorders>
              <w:left w:val="double" w:sz="4" w:space="0" w:color="auto"/>
            </w:tcBorders>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7" w:type="dxa"/>
            <w:vAlign w:val="center"/>
          </w:tcPr>
          <w:p w:rsidR="00CD36B5" w:rsidRPr="003B5EA4" w:rsidRDefault="00CD36B5" w:rsidP="00CD36B5">
            <w:pPr>
              <w:spacing w:before="60" w:after="60"/>
              <w:jc w:val="center"/>
              <w:rPr>
                <w:b/>
                <w:sz w:val="18"/>
                <w:szCs w:val="18"/>
              </w:rPr>
            </w:pPr>
            <w:r w:rsidRPr="003B5EA4">
              <w:rPr>
                <w:b/>
                <w:sz w:val="18"/>
                <w:szCs w:val="18"/>
              </w:rPr>
              <w:t>E</w:t>
            </w:r>
          </w:p>
        </w:tc>
      </w:tr>
      <w:tr w:rsidR="00CD36B5" w:rsidRPr="003B5EA4" w:rsidTr="0087238E">
        <w:trPr>
          <w:gridAfter w:val="1"/>
          <w:wAfter w:w="6" w:type="dxa"/>
        </w:trPr>
        <w:tc>
          <w:tcPr>
            <w:tcW w:w="1998" w:type="dxa"/>
            <w:gridSpan w:val="2"/>
            <w:vAlign w:val="center"/>
          </w:tcPr>
          <w:p w:rsidR="00CD36B5" w:rsidRPr="003B5EA4" w:rsidRDefault="0090377E" w:rsidP="00CD36B5">
            <w:pPr>
              <w:spacing w:before="60" w:after="60" w:line="240" w:lineRule="auto"/>
              <w:ind w:left="57"/>
              <w:rPr>
                <w:b/>
                <w:sz w:val="18"/>
                <w:szCs w:val="18"/>
              </w:rPr>
            </w:pPr>
            <w:r w:rsidRPr="003B5EA4">
              <w:rPr>
                <w:b/>
                <w:sz w:val="18"/>
                <w:szCs w:val="18"/>
              </w:rPr>
              <w:t xml:space="preserve">Recommandation </w:t>
            </w:r>
            <w:r w:rsidR="00CD36B5" w:rsidRPr="003B5EA4">
              <w:rPr>
                <w:b/>
                <w:sz w:val="18"/>
                <w:szCs w:val="18"/>
              </w:rPr>
              <w:t>5</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tcBorders>
              <w:right w:val="double" w:sz="4" w:space="0" w:color="auto"/>
            </w:tcBorders>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tcBorders>
              <w:left w:val="double" w:sz="4" w:space="0" w:color="auto"/>
            </w:tcBorders>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7" w:type="dxa"/>
            <w:vAlign w:val="center"/>
          </w:tcPr>
          <w:p w:rsidR="00CD36B5" w:rsidRPr="003B5EA4" w:rsidRDefault="00CD36B5" w:rsidP="00CD36B5">
            <w:pPr>
              <w:spacing w:before="60" w:after="60"/>
              <w:jc w:val="center"/>
              <w:rPr>
                <w:b/>
                <w:sz w:val="18"/>
                <w:szCs w:val="18"/>
              </w:rPr>
            </w:pPr>
            <w:r w:rsidRPr="003B5EA4">
              <w:rPr>
                <w:b/>
                <w:sz w:val="18"/>
                <w:szCs w:val="18"/>
              </w:rPr>
              <w:t>E</w:t>
            </w:r>
          </w:p>
        </w:tc>
      </w:tr>
      <w:tr w:rsidR="00CD36B5" w:rsidRPr="003B5EA4" w:rsidTr="0087238E">
        <w:trPr>
          <w:gridAfter w:val="1"/>
          <w:wAfter w:w="6" w:type="dxa"/>
        </w:trPr>
        <w:tc>
          <w:tcPr>
            <w:tcW w:w="1998" w:type="dxa"/>
            <w:gridSpan w:val="2"/>
            <w:vAlign w:val="center"/>
          </w:tcPr>
          <w:p w:rsidR="00CD36B5" w:rsidRPr="003B5EA4" w:rsidRDefault="0090377E" w:rsidP="00CD36B5">
            <w:pPr>
              <w:spacing w:before="60" w:after="60" w:line="240" w:lineRule="auto"/>
              <w:ind w:left="57"/>
              <w:rPr>
                <w:b/>
                <w:sz w:val="18"/>
                <w:szCs w:val="18"/>
              </w:rPr>
            </w:pPr>
            <w:r w:rsidRPr="003B5EA4">
              <w:rPr>
                <w:b/>
                <w:sz w:val="18"/>
                <w:szCs w:val="18"/>
              </w:rPr>
              <w:t xml:space="preserve">Recommandation </w:t>
            </w:r>
            <w:r w:rsidR="00CD36B5" w:rsidRPr="003B5EA4">
              <w:rPr>
                <w:b/>
                <w:sz w:val="18"/>
                <w:szCs w:val="18"/>
              </w:rPr>
              <w:t>6</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h</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tcBorders>
              <w:right w:val="double" w:sz="4" w:space="0" w:color="auto"/>
            </w:tcBorders>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tcBorders>
              <w:left w:val="double" w:sz="4" w:space="0" w:color="auto"/>
            </w:tcBorders>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73"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2"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0"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1" w:type="dxa"/>
            <w:vAlign w:val="center"/>
          </w:tcPr>
          <w:p w:rsidR="00CD36B5" w:rsidRPr="003B5EA4" w:rsidRDefault="00CD36B5" w:rsidP="00CD36B5">
            <w:pPr>
              <w:spacing w:before="60" w:after="60"/>
              <w:jc w:val="center"/>
              <w:rPr>
                <w:b/>
                <w:sz w:val="18"/>
                <w:szCs w:val="18"/>
              </w:rPr>
            </w:pPr>
            <w:r w:rsidRPr="003B5EA4">
              <w:rPr>
                <w:b/>
                <w:sz w:val="18"/>
                <w:szCs w:val="18"/>
              </w:rPr>
              <w:t>E</w:t>
            </w:r>
          </w:p>
        </w:tc>
        <w:tc>
          <w:tcPr>
            <w:tcW w:w="387" w:type="dxa"/>
            <w:vAlign w:val="center"/>
          </w:tcPr>
          <w:p w:rsidR="00CD36B5" w:rsidRPr="003B5EA4" w:rsidRDefault="00CD36B5" w:rsidP="00CD36B5">
            <w:pPr>
              <w:spacing w:before="60" w:after="60"/>
              <w:jc w:val="center"/>
              <w:rPr>
                <w:b/>
                <w:sz w:val="18"/>
                <w:szCs w:val="18"/>
              </w:rPr>
            </w:pPr>
            <w:r w:rsidRPr="003B5EA4">
              <w:rPr>
                <w:b/>
                <w:sz w:val="18"/>
                <w:szCs w:val="18"/>
              </w:rPr>
              <w:t>E</w:t>
            </w:r>
          </w:p>
        </w:tc>
      </w:tr>
      <w:tr w:rsidR="00CD36B5" w:rsidRPr="003B5EA4" w:rsidTr="0087238E">
        <w:trPr>
          <w:gridAfter w:val="1"/>
          <w:wAfter w:w="6" w:type="dxa"/>
        </w:trPr>
        <w:tc>
          <w:tcPr>
            <w:tcW w:w="1998" w:type="dxa"/>
            <w:gridSpan w:val="2"/>
            <w:vAlign w:val="center"/>
          </w:tcPr>
          <w:p w:rsidR="00CD36B5" w:rsidRPr="003B5EA4" w:rsidRDefault="0090377E" w:rsidP="00CD36B5">
            <w:pPr>
              <w:spacing w:before="60" w:after="60" w:line="240" w:lineRule="auto"/>
              <w:ind w:left="57"/>
              <w:rPr>
                <w:b/>
                <w:sz w:val="18"/>
                <w:szCs w:val="18"/>
              </w:rPr>
            </w:pPr>
            <w:r w:rsidRPr="003B5EA4">
              <w:rPr>
                <w:b/>
                <w:sz w:val="18"/>
                <w:szCs w:val="18"/>
              </w:rPr>
              <w:t xml:space="preserve">Recommandation </w:t>
            </w:r>
            <w:r w:rsidR="00CD36B5" w:rsidRPr="003B5EA4">
              <w:rPr>
                <w:b/>
                <w:sz w:val="18"/>
                <w:szCs w:val="18"/>
              </w:rPr>
              <w:t>7</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d</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tcBorders>
              <w:righ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tcBorders>
              <w:lef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7"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r>
      <w:tr w:rsidR="00CD36B5" w:rsidRPr="003B5EA4" w:rsidTr="0087238E">
        <w:trPr>
          <w:gridAfter w:val="1"/>
          <w:wAfter w:w="6" w:type="dxa"/>
        </w:trPr>
        <w:tc>
          <w:tcPr>
            <w:tcW w:w="1998" w:type="dxa"/>
            <w:gridSpan w:val="2"/>
            <w:vAlign w:val="center"/>
          </w:tcPr>
          <w:p w:rsidR="00CD36B5" w:rsidRPr="003B5EA4" w:rsidRDefault="0090377E" w:rsidP="00CD36B5">
            <w:pPr>
              <w:spacing w:before="60" w:after="60" w:line="240" w:lineRule="auto"/>
              <w:ind w:left="57"/>
              <w:rPr>
                <w:b/>
                <w:sz w:val="18"/>
                <w:szCs w:val="18"/>
              </w:rPr>
            </w:pPr>
            <w:r w:rsidRPr="003B5EA4">
              <w:rPr>
                <w:b/>
                <w:sz w:val="18"/>
                <w:szCs w:val="18"/>
              </w:rPr>
              <w:t xml:space="preserve">Recommandation </w:t>
            </w:r>
            <w:r w:rsidR="00CD36B5" w:rsidRPr="003B5EA4">
              <w:rPr>
                <w:b/>
                <w:sz w:val="18"/>
                <w:szCs w:val="18"/>
              </w:rPr>
              <w:t>8</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d</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tcBorders>
              <w:righ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tcBorders>
              <w:lef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7"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r>
      <w:tr w:rsidR="00CD36B5" w:rsidRPr="003B5EA4" w:rsidTr="0087238E">
        <w:trPr>
          <w:gridAfter w:val="1"/>
          <w:wAfter w:w="6" w:type="dxa"/>
        </w:trPr>
        <w:tc>
          <w:tcPr>
            <w:tcW w:w="1998" w:type="dxa"/>
            <w:gridSpan w:val="2"/>
            <w:vAlign w:val="center"/>
          </w:tcPr>
          <w:p w:rsidR="00CD36B5" w:rsidRPr="003B5EA4" w:rsidRDefault="0090377E" w:rsidP="00CD36B5">
            <w:pPr>
              <w:spacing w:before="60" w:after="60" w:line="240" w:lineRule="auto"/>
              <w:ind w:left="57"/>
              <w:rPr>
                <w:b/>
                <w:sz w:val="18"/>
                <w:szCs w:val="18"/>
              </w:rPr>
            </w:pPr>
            <w:r w:rsidRPr="003B5EA4">
              <w:rPr>
                <w:b/>
                <w:sz w:val="18"/>
                <w:szCs w:val="18"/>
              </w:rPr>
              <w:t xml:space="preserve">Recommandation </w:t>
            </w:r>
            <w:r w:rsidR="00CD36B5" w:rsidRPr="003B5EA4">
              <w:rPr>
                <w:b/>
                <w:sz w:val="18"/>
                <w:szCs w:val="18"/>
              </w:rPr>
              <w:t>9</w:t>
            </w:r>
          </w:p>
        </w:tc>
        <w:tc>
          <w:tcPr>
            <w:tcW w:w="372" w:type="dxa"/>
            <w:vAlign w:val="center"/>
          </w:tcPr>
          <w:p w:rsidR="00CD36B5" w:rsidRPr="003B5EA4" w:rsidRDefault="00CD36B5" w:rsidP="00CD36B5">
            <w:pPr>
              <w:spacing w:before="60" w:after="60"/>
              <w:jc w:val="center"/>
              <w:rPr>
                <w:b/>
                <w:sz w:val="18"/>
                <w:szCs w:val="18"/>
              </w:rPr>
            </w:pPr>
            <w:r w:rsidRPr="003B5EA4">
              <w:rPr>
                <w:b/>
                <w:sz w:val="18"/>
                <w:szCs w:val="18"/>
              </w:rPr>
              <w:t>c</w:t>
            </w:r>
          </w:p>
        </w:tc>
        <w:tc>
          <w:tcPr>
            <w:tcW w:w="382" w:type="dxa"/>
            <w:vAlign w:val="center"/>
          </w:tcPr>
          <w:p w:rsidR="00CD36B5" w:rsidRPr="003B5EA4" w:rsidRDefault="00CD36B5" w:rsidP="00CD36B5">
            <w:pPr>
              <w:spacing w:before="60" w:after="60"/>
              <w:jc w:val="center"/>
              <w:rPr>
                <w:b/>
                <w:sz w:val="18"/>
                <w:szCs w:val="18"/>
              </w:rPr>
            </w:pPr>
          </w:p>
        </w:tc>
        <w:tc>
          <w:tcPr>
            <w:tcW w:w="371" w:type="dxa"/>
            <w:vAlign w:val="center"/>
          </w:tcPr>
          <w:p w:rsidR="00CD36B5" w:rsidRPr="003B5EA4" w:rsidRDefault="00CD36B5" w:rsidP="00CD36B5">
            <w:pPr>
              <w:spacing w:before="60" w:after="60"/>
              <w:jc w:val="center"/>
              <w:rPr>
                <w:b/>
                <w:sz w:val="18"/>
                <w:szCs w:val="18"/>
              </w:rPr>
            </w:pPr>
            <w:r w:rsidRPr="003B5EA4">
              <w:rPr>
                <w:b/>
                <w:sz w:val="18"/>
                <w:szCs w:val="18"/>
              </w:rPr>
              <w:t>L</w:t>
            </w: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tcBorders>
              <w:righ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tcBorders>
              <w:left w:val="double" w:sz="4" w:space="0" w:color="auto"/>
            </w:tcBorders>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73"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2"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0"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1"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c>
          <w:tcPr>
            <w:tcW w:w="387" w:type="dxa"/>
            <w:shd w:val="clear" w:color="auto" w:fill="A6A6A6" w:themeFill="background1" w:themeFillShade="A6"/>
            <w:vAlign w:val="center"/>
          </w:tcPr>
          <w:p w:rsidR="00CD36B5" w:rsidRPr="003B5EA4" w:rsidRDefault="00CD36B5" w:rsidP="00CD36B5">
            <w:pPr>
              <w:spacing w:before="60" w:after="60"/>
              <w:jc w:val="center"/>
              <w:rPr>
                <w:b/>
                <w:sz w:val="18"/>
                <w:szCs w:val="18"/>
              </w:rPr>
            </w:pPr>
          </w:p>
        </w:tc>
      </w:tr>
    </w:tbl>
    <w:p w:rsidR="0087238E" w:rsidRPr="003B5EA4" w:rsidRDefault="0087238E" w:rsidP="0087238E">
      <w:pPr>
        <w:tabs>
          <w:tab w:val="right" w:pos="1701"/>
        </w:tabs>
        <w:spacing w:before="120" w:line="240" w:lineRule="auto"/>
        <w:ind w:left="284" w:firstLine="170"/>
        <w:rPr>
          <w:sz w:val="18"/>
          <w:szCs w:val="18"/>
        </w:rPr>
      </w:pPr>
      <w:r w:rsidRPr="003B5EA4">
        <w:rPr>
          <w:b/>
          <w:bCs/>
          <w:sz w:val="18"/>
          <w:szCs w:val="18"/>
        </w:rPr>
        <w:t>Légende</w:t>
      </w:r>
      <w:r w:rsidR="00734FBD" w:rsidRPr="003B5EA4">
        <w:rPr>
          <w:b/>
          <w:bCs/>
          <w:sz w:val="18"/>
          <w:szCs w:val="18"/>
        </w:rPr>
        <w:t> </w:t>
      </w:r>
      <w:r w:rsidRPr="003B5EA4">
        <w:rPr>
          <w:b/>
          <w:bCs/>
          <w:sz w:val="18"/>
          <w:szCs w:val="18"/>
        </w:rPr>
        <w:t>:</w:t>
      </w:r>
      <w:r w:rsidRPr="003B5EA4">
        <w:rPr>
          <w:b/>
          <w:bCs/>
          <w:sz w:val="18"/>
          <w:szCs w:val="18"/>
        </w:rPr>
        <w:tab/>
        <w:t>L</w:t>
      </w:r>
      <w:r w:rsidR="00734FBD" w:rsidRPr="003B5EA4">
        <w:rPr>
          <w:b/>
          <w:bCs/>
          <w:sz w:val="18"/>
          <w:szCs w:val="18"/>
        </w:rPr>
        <w:t> </w:t>
      </w:r>
      <w:r w:rsidRPr="003B5EA4">
        <w:rPr>
          <w:b/>
          <w:bCs/>
          <w:sz w:val="18"/>
          <w:szCs w:val="18"/>
        </w:rPr>
        <w:t>:</w:t>
      </w:r>
      <w:r w:rsidRPr="003B5EA4">
        <w:rPr>
          <w:sz w:val="18"/>
          <w:szCs w:val="18"/>
        </w:rPr>
        <w:tab/>
        <w:t xml:space="preserve">Recommandation </w:t>
      </w:r>
      <w:r w:rsidR="00331F2E" w:rsidRPr="003B5EA4">
        <w:rPr>
          <w:sz w:val="18"/>
          <w:szCs w:val="18"/>
        </w:rPr>
        <w:t>appelant une décision de l</w:t>
      </w:r>
      <w:r w:rsidR="00762E0A">
        <w:rPr>
          <w:sz w:val="18"/>
          <w:szCs w:val="18"/>
        </w:rPr>
        <w:t>’</w:t>
      </w:r>
      <w:r w:rsidR="00331F2E" w:rsidRPr="003B5EA4">
        <w:rPr>
          <w:sz w:val="18"/>
          <w:szCs w:val="18"/>
        </w:rPr>
        <w:t>organe délibérant</w:t>
      </w:r>
      <w:r w:rsidRPr="003B5EA4">
        <w:rPr>
          <w:sz w:val="18"/>
          <w:szCs w:val="18"/>
        </w:rPr>
        <w:t>.</w:t>
      </w:r>
    </w:p>
    <w:p w:rsidR="0087238E" w:rsidRPr="003B5EA4" w:rsidRDefault="0087238E" w:rsidP="0087238E">
      <w:pPr>
        <w:tabs>
          <w:tab w:val="right" w:pos="1701"/>
        </w:tabs>
        <w:spacing w:line="240" w:lineRule="auto"/>
        <w:ind w:left="284" w:firstLine="170"/>
        <w:rPr>
          <w:sz w:val="18"/>
          <w:szCs w:val="18"/>
        </w:rPr>
      </w:pPr>
      <w:r w:rsidRPr="003B5EA4">
        <w:rPr>
          <w:b/>
          <w:bCs/>
          <w:sz w:val="18"/>
          <w:szCs w:val="18"/>
        </w:rPr>
        <w:tab/>
        <w:t>E</w:t>
      </w:r>
      <w:r w:rsidR="00734FBD" w:rsidRPr="003B5EA4">
        <w:rPr>
          <w:b/>
          <w:bCs/>
          <w:sz w:val="18"/>
          <w:szCs w:val="18"/>
        </w:rPr>
        <w:t> </w:t>
      </w:r>
      <w:r w:rsidRPr="003B5EA4">
        <w:rPr>
          <w:b/>
          <w:bCs/>
          <w:sz w:val="18"/>
          <w:szCs w:val="18"/>
        </w:rPr>
        <w:t>:</w:t>
      </w:r>
      <w:r w:rsidRPr="003B5EA4">
        <w:rPr>
          <w:sz w:val="18"/>
          <w:szCs w:val="18"/>
        </w:rPr>
        <w:tab/>
      </w:r>
      <w:r w:rsidR="009A4038" w:rsidRPr="003B5EA4">
        <w:rPr>
          <w:sz w:val="18"/>
          <w:szCs w:val="18"/>
        </w:rPr>
        <w:t xml:space="preserve">Recommandation </w:t>
      </w:r>
      <w:r w:rsidR="009A4038" w:rsidRPr="003B5EA4">
        <w:rPr>
          <w:bCs/>
          <w:sz w:val="18"/>
          <w:szCs w:val="18"/>
        </w:rPr>
        <w:t xml:space="preserve">adressée au </w:t>
      </w:r>
      <w:r w:rsidR="009A4038" w:rsidRPr="003B5EA4">
        <w:rPr>
          <w:sz w:val="18"/>
          <w:szCs w:val="18"/>
        </w:rPr>
        <w:t>chef de secrétariat pour qu</w:t>
      </w:r>
      <w:r w:rsidR="00762E0A">
        <w:rPr>
          <w:sz w:val="18"/>
          <w:szCs w:val="18"/>
        </w:rPr>
        <w:t>’</w:t>
      </w:r>
      <w:r w:rsidR="009A4038" w:rsidRPr="003B5EA4">
        <w:rPr>
          <w:sz w:val="18"/>
          <w:szCs w:val="18"/>
        </w:rPr>
        <w:t>il y donne suite</w:t>
      </w:r>
      <w:r w:rsidRPr="003B5EA4">
        <w:rPr>
          <w:sz w:val="18"/>
          <w:szCs w:val="18"/>
        </w:rPr>
        <w:t>.</w:t>
      </w:r>
    </w:p>
    <w:p w:rsidR="0087238E" w:rsidRPr="003B5EA4" w:rsidRDefault="0087238E" w:rsidP="0087238E">
      <w:pPr>
        <w:tabs>
          <w:tab w:val="right" w:pos="1701"/>
        </w:tabs>
        <w:spacing w:line="240" w:lineRule="auto"/>
        <w:ind w:left="284" w:firstLine="170"/>
        <w:rPr>
          <w:sz w:val="18"/>
          <w:szCs w:val="18"/>
        </w:rPr>
      </w:pPr>
      <w:r w:rsidRPr="003B5EA4">
        <w:rPr>
          <w:sz w:val="18"/>
          <w:szCs w:val="18"/>
        </w:rPr>
        <w:tab/>
      </w:r>
      <w:r w:rsidRPr="003B5EA4">
        <w:rPr>
          <w:noProof/>
          <w:sz w:val="18"/>
          <w:szCs w:val="18"/>
          <w:lang w:eastAsia="fr-CH"/>
        </w:rPr>
        <mc:AlternateContent>
          <mc:Choice Requires="wps">
            <w:drawing>
              <wp:inline distT="0" distB="0" distL="0" distR="0">
                <wp:extent cx="152400" cy="114300"/>
                <wp:effectExtent l="5715" t="8890" r="13335" b="10160"/>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969696"/>
                        </a:solidFill>
                        <a:ln w="9525">
                          <a:solidFill>
                            <a:srgbClr val="333333"/>
                          </a:solidFill>
                          <a:miter lim="800000"/>
                          <a:headEnd/>
                          <a:tailEnd/>
                        </a:ln>
                      </wps:spPr>
                      <wps:txbx>
                        <w:txbxContent>
                          <w:p w:rsidR="00ED0903" w:rsidRDefault="00ED0903" w:rsidP="0087238E"/>
                        </w:txbxContent>
                      </wps:txbx>
                      <wps:bodyPr rot="0" vert="horz" wrap="square" lIns="91440" tIns="45720" rIns="91440" bIns="45720" anchor="t" anchorCtr="0" upright="1">
                        <a:noAutofit/>
                      </wps:bodyPr>
                    </wps:wsp>
                  </a:graphicData>
                </a:graphic>
              </wp:inline>
            </w:drawing>
          </mc:Choice>
          <mc:Fallback>
            <w:pict>
              <v:shape id="Zone de texte 31" o:spid="_x0000_s1042" type="#_x0000_t202" style="width:1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" fillcolor="#969696" strokecolor="#333">
                <v:textbox>
                  <w:txbxContent>
                    <w:p w:rsidR="00ED0903" w:rsidRDefault="00ED0903" w:rsidP="0087238E"/>
                  </w:txbxContent>
                </v:textbox>
                <w10:anchorlock/>
              </v:shape>
            </w:pict>
          </mc:Fallback>
        </mc:AlternateContent>
      </w:r>
      <w:r w:rsidRPr="003B5EA4">
        <w:rPr>
          <w:sz w:val="18"/>
          <w:szCs w:val="18"/>
        </w:rPr>
        <w:tab/>
        <w:t>La recommandation n</w:t>
      </w:r>
      <w:r w:rsidR="00762E0A">
        <w:rPr>
          <w:sz w:val="18"/>
          <w:szCs w:val="18"/>
        </w:rPr>
        <w:t>’</w:t>
      </w:r>
      <w:r w:rsidRPr="003B5EA4">
        <w:rPr>
          <w:sz w:val="18"/>
          <w:szCs w:val="18"/>
        </w:rPr>
        <w:t>appelle pas de mesure de la part de cet organis</w:t>
      </w:r>
      <w:r w:rsidR="00331F2E" w:rsidRPr="003B5EA4">
        <w:rPr>
          <w:sz w:val="18"/>
          <w:szCs w:val="18"/>
        </w:rPr>
        <w:t>me</w:t>
      </w:r>
      <w:r w:rsidRPr="003B5EA4">
        <w:rPr>
          <w:sz w:val="18"/>
          <w:szCs w:val="18"/>
        </w:rPr>
        <w:t>.</w:t>
      </w:r>
    </w:p>
    <w:p w:rsidR="0087238E" w:rsidRPr="003B5EA4" w:rsidRDefault="0087238E" w:rsidP="0087238E">
      <w:pPr>
        <w:spacing w:line="240" w:lineRule="auto"/>
        <w:ind w:left="284" w:firstLine="170"/>
        <w:rPr>
          <w:sz w:val="18"/>
          <w:szCs w:val="18"/>
        </w:rPr>
      </w:pPr>
      <w:r w:rsidRPr="003B5EA4">
        <w:rPr>
          <w:b/>
          <w:bCs/>
          <w:sz w:val="18"/>
          <w:szCs w:val="18"/>
        </w:rPr>
        <w:t>Effet escompté</w:t>
      </w:r>
      <w:r w:rsidR="0041056F" w:rsidRPr="003B5EA4">
        <w:rPr>
          <w:b/>
          <w:bCs/>
          <w:sz w:val="18"/>
          <w:szCs w:val="18"/>
        </w:rPr>
        <w:t> </w:t>
      </w:r>
      <w:r w:rsidRPr="003B5EA4">
        <w:rPr>
          <w:bCs/>
          <w:sz w:val="18"/>
          <w:szCs w:val="18"/>
        </w:rPr>
        <w:t xml:space="preserve">: </w:t>
      </w:r>
      <w:r w:rsidRPr="003B5EA4">
        <w:rPr>
          <w:b/>
          <w:bCs/>
          <w:sz w:val="18"/>
          <w:szCs w:val="18"/>
        </w:rPr>
        <w:t>a</w:t>
      </w:r>
      <w:r w:rsidR="0041056F" w:rsidRPr="003B5EA4">
        <w:rPr>
          <w:b/>
          <w:bCs/>
          <w:sz w:val="18"/>
          <w:szCs w:val="18"/>
        </w:rPr>
        <w:t> </w:t>
      </w:r>
      <w:r w:rsidRPr="003B5EA4">
        <w:rPr>
          <w:bCs/>
          <w:sz w:val="18"/>
          <w:szCs w:val="18"/>
        </w:rPr>
        <w:t xml:space="preserve">: </w:t>
      </w:r>
      <w:r w:rsidR="009A4038" w:rsidRPr="003B5EA4">
        <w:rPr>
          <w:bCs/>
          <w:sz w:val="18"/>
          <w:szCs w:val="18"/>
        </w:rPr>
        <w:t>transparence et responsabilisation renforcées </w:t>
      </w:r>
      <w:r w:rsidRPr="003B5EA4">
        <w:rPr>
          <w:sz w:val="18"/>
          <w:szCs w:val="18"/>
        </w:rPr>
        <w:t xml:space="preserve">; </w:t>
      </w:r>
      <w:r w:rsidRPr="003B5EA4">
        <w:rPr>
          <w:b/>
          <w:bCs/>
          <w:sz w:val="18"/>
          <w:szCs w:val="18"/>
        </w:rPr>
        <w:t>b</w:t>
      </w:r>
      <w:r w:rsidR="0041056F" w:rsidRPr="003B5EA4">
        <w:rPr>
          <w:b/>
          <w:bCs/>
          <w:sz w:val="18"/>
          <w:szCs w:val="18"/>
        </w:rPr>
        <w:t> </w:t>
      </w:r>
      <w:r w:rsidRPr="003B5EA4">
        <w:rPr>
          <w:bCs/>
          <w:sz w:val="18"/>
          <w:szCs w:val="18"/>
        </w:rPr>
        <w:t>:</w:t>
      </w:r>
      <w:r w:rsidRPr="003B5EA4">
        <w:rPr>
          <w:sz w:val="18"/>
          <w:szCs w:val="18"/>
        </w:rPr>
        <w:t xml:space="preserve"> </w:t>
      </w:r>
      <w:r w:rsidR="009A4038" w:rsidRPr="003B5EA4">
        <w:rPr>
          <w:sz w:val="18"/>
          <w:szCs w:val="18"/>
        </w:rPr>
        <w:t>diffusion de bonnes/meilleures pratiques </w:t>
      </w:r>
      <w:r w:rsidRPr="003B5EA4">
        <w:rPr>
          <w:sz w:val="18"/>
          <w:szCs w:val="18"/>
        </w:rPr>
        <w:t xml:space="preserve">; </w:t>
      </w:r>
      <w:r w:rsidRPr="003B5EA4">
        <w:rPr>
          <w:b/>
          <w:bCs/>
          <w:sz w:val="18"/>
          <w:szCs w:val="18"/>
        </w:rPr>
        <w:t>c</w:t>
      </w:r>
      <w:r w:rsidR="0041056F" w:rsidRPr="003B5EA4">
        <w:rPr>
          <w:b/>
          <w:bCs/>
          <w:sz w:val="18"/>
          <w:szCs w:val="18"/>
        </w:rPr>
        <w:t> </w:t>
      </w:r>
      <w:r w:rsidRPr="003B5EA4">
        <w:rPr>
          <w:bCs/>
          <w:sz w:val="18"/>
          <w:szCs w:val="18"/>
        </w:rPr>
        <w:t xml:space="preserve">: </w:t>
      </w:r>
      <w:r w:rsidRPr="003B5EA4">
        <w:rPr>
          <w:sz w:val="18"/>
          <w:szCs w:val="18"/>
        </w:rPr>
        <w:t xml:space="preserve">coordination et coopération </w:t>
      </w:r>
      <w:r w:rsidR="009A4038" w:rsidRPr="003B5EA4">
        <w:rPr>
          <w:sz w:val="18"/>
          <w:szCs w:val="18"/>
        </w:rPr>
        <w:t>renforcées </w:t>
      </w:r>
      <w:r w:rsidRPr="003B5EA4">
        <w:rPr>
          <w:sz w:val="18"/>
          <w:szCs w:val="18"/>
        </w:rPr>
        <w:t xml:space="preserve">; </w:t>
      </w:r>
      <w:r w:rsidRPr="003B5EA4">
        <w:rPr>
          <w:b/>
          <w:bCs/>
          <w:sz w:val="18"/>
          <w:szCs w:val="18"/>
        </w:rPr>
        <w:t>d</w:t>
      </w:r>
      <w:r w:rsidR="0041056F" w:rsidRPr="003B5EA4">
        <w:rPr>
          <w:b/>
          <w:bCs/>
          <w:sz w:val="18"/>
          <w:szCs w:val="18"/>
        </w:rPr>
        <w:t> </w:t>
      </w:r>
      <w:r w:rsidRPr="003B5EA4">
        <w:rPr>
          <w:bCs/>
          <w:sz w:val="18"/>
          <w:szCs w:val="18"/>
        </w:rPr>
        <w:t>:</w:t>
      </w:r>
      <w:r w:rsidRPr="003B5EA4">
        <w:rPr>
          <w:sz w:val="18"/>
          <w:szCs w:val="18"/>
        </w:rPr>
        <w:t xml:space="preserve"> </w:t>
      </w:r>
      <w:r w:rsidR="009A4038" w:rsidRPr="003B5EA4">
        <w:rPr>
          <w:sz w:val="18"/>
          <w:szCs w:val="18"/>
        </w:rPr>
        <w:t>cohérence et harmonisation renforcées</w:t>
      </w:r>
      <w:r w:rsidR="00FD13E6" w:rsidRPr="003B5EA4">
        <w:rPr>
          <w:sz w:val="18"/>
          <w:szCs w:val="18"/>
        </w:rPr>
        <w:t> </w:t>
      </w:r>
      <w:r w:rsidRPr="003B5EA4">
        <w:rPr>
          <w:sz w:val="18"/>
          <w:szCs w:val="18"/>
        </w:rPr>
        <w:t>;</w:t>
      </w:r>
      <w:r w:rsidR="00C04B16" w:rsidRPr="003B5EA4">
        <w:rPr>
          <w:sz w:val="18"/>
          <w:szCs w:val="18"/>
        </w:rPr>
        <w:t xml:space="preserve"> </w:t>
      </w:r>
      <w:r w:rsidRPr="003B5EA4">
        <w:rPr>
          <w:b/>
          <w:bCs/>
          <w:sz w:val="18"/>
          <w:szCs w:val="18"/>
        </w:rPr>
        <w:t>e</w:t>
      </w:r>
      <w:r w:rsidR="00C04B16" w:rsidRPr="003B5EA4">
        <w:rPr>
          <w:b/>
          <w:bCs/>
          <w:sz w:val="18"/>
          <w:szCs w:val="18"/>
        </w:rPr>
        <w:t> </w:t>
      </w:r>
      <w:r w:rsidRPr="003B5EA4">
        <w:rPr>
          <w:bCs/>
          <w:sz w:val="18"/>
          <w:szCs w:val="18"/>
        </w:rPr>
        <w:t xml:space="preserve">: </w:t>
      </w:r>
      <w:r w:rsidR="00FD13E6" w:rsidRPr="003B5EA4">
        <w:rPr>
          <w:sz w:val="18"/>
          <w:szCs w:val="18"/>
        </w:rPr>
        <w:t>contrôle et conformité renforcés </w:t>
      </w:r>
      <w:r w:rsidRPr="003B5EA4">
        <w:rPr>
          <w:sz w:val="18"/>
          <w:szCs w:val="18"/>
        </w:rPr>
        <w:t>;</w:t>
      </w:r>
      <w:r w:rsidRPr="003B5EA4">
        <w:rPr>
          <w:bCs/>
          <w:sz w:val="18"/>
          <w:szCs w:val="18"/>
        </w:rPr>
        <w:t xml:space="preserve"> </w:t>
      </w:r>
      <w:r w:rsidRPr="003B5EA4">
        <w:rPr>
          <w:b/>
          <w:bCs/>
          <w:sz w:val="18"/>
          <w:szCs w:val="18"/>
        </w:rPr>
        <w:t>f</w:t>
      </w:r>
      <w:r w:rsidR="00C04B16" w:rsidRPr="003B5EA4">
        <w:rPr>
          <w:b/>
          <w:bCs/>
          <w:sz w:val="18"/>
          <w:szCs w:val="18"/>
        </w:rPr>
        <w:t> </w:t>
      </w:r>
      <w:r w:rsidRPr="003B5EA4">
        <w:rPr>
          <w:bCs/>
          <w:sz w:val="18"/>
          <w:szCs w:val="18"/>
        </w:rPr>
        <w:t>:</w:t>
      </w:r>
      <w:r w:rsidRPr="003B5EA4">
        <w:rPr>
          <w:sz w:val="18"/>
          <w:szCs w:val="18"/>
        </w:rPr>
        <w:t xml:space="preserve"> </w:t>
      </w:r>
      <w:r w:rsidR="00FD13E6" w:rsidRPr="003B5EA4">
        <w:rPr>
          <w:sz w:val="18"/>
          <w:szCs w:val="18"/>
        </w:rPr>
        <w:t>efficacité renforcée </w:t>
      </w:r>
      <w:r w:rsidRPr="003B5EA4">
        <w:rPr>
          <w:sz w:val="18"/>
          <w:szCs w:val="18"/>
        </w:rPr>
        <w:t xml:space="preserve">; </w:t>
      </w:r>
      <w:r w:rsidRPr="003B5EA4">
        <w:rPr>
          <w:b/>
          <w:bCs/>
          <w:sz w:val="18"/>
          <w:szCs w:val="18"/>
        </w:rPr>
        <w:t>g</w:t>
      </w:r>
      <w:r w:rsidR="00C04B16" w:rsidRPr="003B5EA4">
        <w:rPr>
          <w:b/>
          <w:bCs/>
          <w:sz w:val="18"/>
          <w:szCs w:val="18"/>
        </w:rPr>
        <w:t> </w:t>
      </w:r>
      <w:r w:rsidRPr="003B5EA4">
        <w:rPr>
          <w:bCs/>
          <w:sz w:val="18"/>
          <w:szCs w:val="18"/>
        </w:rPr>
        <w:t xml:space="preserve">: </w:t>
      </w:r>
      <w:r w:rsidR="00FD13E6" w:rsidRPr="003B5EA4">
        <w:rPr>
          <w:sz w:val="18"/>
          <w:szCs w:val="18"/>
        </w:rPr>
        <w:t>économies importantes </w:t>
      </w:r>
      <w:r w:rsidRPr="003B5EA4">
        <w:rPr>
          <w:sz w:val="18"/>
          <w:szCs w:val="18"/>
        </w:rPr>
        <w:t>;</w:t>
      </w:r>
      <w:r w:rsidRPr="003B5EA4">
        <w:rPr>
          <w:bCs/>
          <w:sz w:val="18"/>
          <w:szCs w:val="18"/>
        </w:rPr>
        <w:t xml:space="preserve"> </w:t>
      </w:r>
      <w:r w:rsidR="00FD13E6" w:rsidRPr="003B5EA4">
        <w:rPr>
          <w:b/>
          <w:bCs/>
          <w:sz w:val="18"/>
          <w:szCs w:val="18"/>
        </w:rPr>
        <w:t>h</w:t>
      </w:r>
      <w:r w:rsidR="00C04B16" w:rsidRPr="003B5EA4">
        <w:rPr>
          <w:b/>
          <w:bCs/>
          <w:sz w:val="18"/>
          <w:szCs w:val="18"/>
        </w:rPr>
        <w:t> </w:t>
      </w:r>
      <w:r w:rsidRPr="003B5EA4">
        <w:rPr>
          <w:bCs/>
          <w:sz w:val="18"/>
          <w:szCs w:val="18"/>
        </w:rPr>
        <w:t xml:space="preserve">: </w:t>
      </w:r>
      <w:r w:rsidR="00FD13E6" w:rsidRPr="003B5EA4">
        <w:rPr>
          <w:bCs/>
          <w:sz w:val="18"/>
          <w:szCs w:val="18"/>
        </w:rPr>
        <w:t>efficience renforcée</w:t>
      </w:r>
      <w:r w:rsidR="00FD2983" w:rsidRPr="003B5EA4">
        <w:rPr>
          <w:bCs/>
          <w:sz w:val="18"/>
          <w:szCs w:val="18"/>
        </w:rPr>
        <w:t xml:space="preserve"> ; </w:t>
      </w:r>
      <w:r w:rsidR="00FD2983" w:rsidRPr="003B5EA4">
        <w:rPr>
          <w:b/>
          <w:bCs/>
          <w:sz w:val="18"/>
          <w:szCs w:val="18"/>
        </w:rPr>
        <w:t>i </w:t>
      </w:r>
      <w:r w:rsidR="00FD2983" w:rsidRPr="003B5EA4">
        <w:rPr>
          <w:bCs/>
          <w:sz w:val="18"/>
          <w:szCs w:val="18"/>
        </w:rPr>
        <w:t>: autre</w:t>
      </w:r>
      <w:r w:rsidRPr="003B5EA4">
        <w:rPr>
          <w:sz w:val="18"/>
          <w:szCs w:val="18"/>
        </w:rPr>
        <w:t>.</w:t>
      </w:r>
    </w:p>
    <w:p w:rsidR="00A06C62" w:rsidRPr="003B5EA4" w:rsidRDefault="0087238E" w:rsidP="00C04B16">
      <w:pPr>
        <w:spacing w:line="240" w:lineRule="auto"/>
        <w:ind w:left="284" w:firstLine="170"/>
        <w:rPr>
          <w:sz w:val="18"/>
          <w:szCs w:val="18"/>
        </w:rPr>
      </w:pPr>
      <w:r w:rsidRPr="003B5EA4">
        <w:rPr>
          <w:sz w:val="18"/>
          <w:szCs w:val="18"/>
        </w:rPr>
        <w:t>*</w:t>
      </w:r>
      <w:r w:rsidR="0085427A" w:rsidRPr="003B5EA4">
        <w:rPr>
          <w:sz w:val="18"/>
          <w:szCs w:val="18"/>
        </w:rPr>
        <w:t>*</w:t>
      </w:r>
      <w:r w:rsidRPr="003B5EA4">
        <w:rPr>
          <w:sz w:val="18"/>
          <w:szCs w:val="18"/>
        </w:rPr>
        <w:t xml:space="preserve">  </w:t>
      </w:r>
      <w:r w:rsidR="0085427A" w:rsidRPr="003B5EA4">
        <w:rPr>
          <w:sz w:val="18"/>
          <w:szCs w:val="18"/>
        </w:rPr>
        <w:t>S</w:t>
      </w:r>
      <w:r w:rsidR="00762E0A">
        <w:rPr>
          <w:sz w:val="18"/>
          <w:szCs w:val="18"/>
        </w:rPr>
        <w:t>’</w:t>
      </w:r>
      <w:r w:rsidR="0085427A" w:rsidRPr="003B5EA4">
        <w:rPr>
          <w:sz w:val="18"/>
          <w:szCs w:val="18"/>
        </w:rPr>
        <w:t>entend des entités énumérées dans la circulaire ST/SGB/2015/3</w:t>
      </w:r>
      <w:r w:rsidR="00DA6319" w:rsidRPr="003B5EA4">
        <w:rPr>
          <w:sz w:val="18"/>
          <w:szCs w:val="18"/>
        </w:rPr>
        <w:t>.</w:t>
      </w:r>
    </w:p>
    <w:p w:rsidR="00DA6319" w:rsidRPr="003B5EA4" w:rsidRDefault="00DA6319" w:rsidP="00DA6319">
      <w:pPr>
        <w:pStyle w:val="SingleTxtG"/>
        <w:spacing w:before="120" w:after="0"/>
        <w:jc w:val="center"/>
        <w:rPr>
          <w:u w:val="single"/>
        </w:rPr>
      </w:pPr>
      <w:r w:rsidRPr="003B5EA4">
        <w:rPr>
          <w:u w:val="single"/>
        </w:rPr>
        <w:tab/>
      </w:r>
      <w:r w:rsidRPr="003B5EA4">
        <w:rPr>
          <w:u w:val="single"/>
        </w:rPr>
        <w:tab/>
      </w:r>
      <w:r w:rsidRPr="003B5EA4">
        <w:rPr>
          <w:u w:val="single"/>
        </w:rPr>
        <w:tab/>
      </w:r>
    </w:p>
    <w:sectPr w:rsidR="00DA6319" w:rsidRPr="003B5EA4" w:rsidSect="00A06C62">
      <w:headerReference w:type="even" r:id="rId56"/>
      <w:headerReference w:type="default" r:id="rId57"/>
      <w:footerReference w:type="even" r:id="rId58"/>
      <w:footerReference w:type="default" r:id="rId59"/>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903" w:rsidRDefault="00ED0903" w:rsidP="00F95C08">
      <w:pPr>
        <w:spacing w:line="240" w:lineRule="auto"/>
      </w:pPr>
    </w:p>
  </w:endnote>
  <w:endnote w:type="continuationSeparator" w:id="0">
    <w:p w:rsidR="00ED0903" w:rsidRPr="00AC3823" w:rsidRDefault="00ED0903" w:rsidP="00AC3823">
      <w:pPr>
        <w:pStyle w:val="Pieddepage"/>
      </w:pPr>
    </w:p>
  </w:endnote>
  <w:endnote w:type="continuationNotice" w:id="1">
    <w:p w:rsidR="00ED0903" w:rsidRDefault="00ED09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Default="00ED0903">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71526" w:rsidRDefault="00ED0903" w:rsidP="00A71526">
    <w:pPr>
      <w:pStyle w:val="Pieddepage"/>
    </w:pPr>
    <w:r>
      <w:rPr>
        <w:noProof/>
        <w:lang w:eastAsia="fr-CH"/>
      </w:rPr>
      <mc:AlternateContent>
        <mc:Choice Requires="wps">
          <w:drawing>
            <wp:anchor distT="0" distB="0" distL="114300" distR="114300" simplePos="0" relativeHeight="25168896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94122B" w:rsidRDefault="00ED0903" w:rsidP="00A71526">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4747A">
                            <w:rPr>
                              <w:b/>
                              <w:noProof/>
                              <w:sz w:val="18"/>
                            </w:rPr>
                            <w:t>84</w:t>
                          </w:r>
                          <w:r>
                            <w:rPr>
                              <w:b/>
                              <w:sz w:val="18"/>
                            </w:rPr>
                            <w:fldChar w:fldCharType="end"/>
                          </w:r>
                          <w:r>
                            <w:rPr>
                              <w:b/>
                              <w:sz w:val="18"/>
                            </w:rPr>
                            <w:tab/>
                          </w:r>
                          <w:r w:rsidRPr="0094122B">
                            <w:t>GE.17-14276</w:t>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8" o:spid="_x0000_s1049" type="#_x0000_t202" style="position:absolute;margin-left:-34pt;margin-top:0;width:17pt;height:481.9pt;z-index:2516889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j2/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0hqI9v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ED0903" w:rsidRPr="0094122B" w:rsidRDefault="00ED0903" w:rsidP="00A71526">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4747A">
                      <w:rPr>
                        <w:b/>
                        <w:noProof/>
                        <w:sz w:val="18"/>
                      </w:rPr>
                      <w:t>84</w:t>
                    </w:r>
                    <w:r>
                      <w:rPr>
                        <w:b/>
                        <w:sz w:val="18"/>
                      </w:rPr>
                      <w:fldChar w:fldCharType="end"/>
                    </w:r>
                    <w:r>
                      <w:rPr>
                        <w:b/>
                        <w:sz w:val="18"/>
                      </w:rPr>
                      <w:tab/>
                    </w:r>
                    <w:r w:rsidRPr="0094122B">
                      <w:t>GE.17-14276</w:t>
                    </w:r>
                  </w:p>
                  <w:p w:rsidR="00ED0903" w:rsidRDefault="00ED0903"/>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71526" w:rsidRDefault="00ED0903" w:rsidP="00A71526">
    <w:pPr>
      <w:pStyle w:val="Pieddepage"/>
    </w:pPr>
    <w:r>
      <w:rPr>
        <w:noProof/>
        <w:lang w:eastAsia="fr-CH"/>
      </w:rPr>
      <mc:AlternateContent>
        <mc:Choice Requires="wps">
          <w:drawing>
            <wp:anchor distT="0" distB="0" distL="114300" distR="114300" simplePos="0" relativeHeight="251680768"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94122B" w:rsidRDefault="00ED0903" w:rsidP="00A71526">
                          <w:pPr>
                            <w:pStyle w:val="Pieddepage"/>
                            <w:tabs>
                              <w:tab w:val="right" w:pos="9638"/>
                            </w:tabs>
                            <w:rPr>
                              <w:b/>
                              <w:sz w:val="18"/>
                            </w:rPr>
                          </w:pPr>
                          <w:r>
                            <w:t>GE.</w:t>
                          </w:r>
                          <w:r w:rsidRPr="0094122B">
                            <w:t>17</w:t>
                          </w:r>
                          <w:r>
                            <w:t>-</w:t>
                          </w:r>
                          <w:r w:rsidRPr="0094122B">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85</w:t>
                          </w:r>
                          <w:r>
                            <w:rPr>
                              <w:b/>
                              <w:sz w:val="18"/>
                            </w:rPr>
                            <w:fldChar w:fldCharType="end"/>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1" o:spid="_x0000_s1050" type="#_x0000_t202" style="position:absolute;margin-left:-34pt;margin-top:0;width:17pt;height:481.9pt;z-index:2516807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N3AAMAALoGAAAOAAAAZHJzL2Uyb0RvYy54bWzEVU1v2zAMvQ/YfxB0T21nado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D0NUN3AAMAALo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ED0903" w:rsidRPr="0094122B" w:rsidRDefault="00ED0903" w:rsidP="00A71526">
                    <w:pPr>
                      <w:pStyle w:val="Pieddepage"/>
                      <w:tabs>
                        <w:tab w:val="right" w:pos="9638"/>
                      </w:tabs>
                      <w:rPr>
                        <w:b/>
                        <w:sz w:val="18"/>
                      </w:rPr>
                    </w:pPr>
                    <w:r>
                      <w:t>GE.</w:t>
                    </w:r>
                    <w:r w:rsidRPr="0094122B">
                      <w:t>17</w:t>
                    </w:r>
                    <w:r>
                      <w:t>-</w:t>
                    </w:r>
                    <w:r w:rsidRPr="0094122B">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85</w:t>
                    </w:r>
                    <w:r>
                      <w:rPr>
                        <w:b/>
                        <w:sz w:val="18"/>
                      </w:rPr>
                      <w:fldChar w:fldCharType="end"/>
                    </w:r>
                  </w:p>
                  <w:p w:rsidR="00ED0903" w:rsidRDefault="00ED0903"/>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7A1" w:rsidRDefault="00ED0903" w:rsidP="000B57A1">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4747A">
      <w:rPr>
        <w:b/>
        <w:noProof/>
        <w:sz w:val="18"/>
      </w:rPr>
      <w:t>86</w:t>
    </w:r>
    <w:r>
      <w:rPr>
        <w:b/>
        <w:sz w:val="18"/>
      </w:rPr>
      <w:fldChar w:fldCharType="end"/>
    </w:r>
    <w:r>
      <w:rPr>
        <w:b/>
        <w:sz w:val="18"/>
      </w:rPr>
      <w:tab/>
    </w:r>
    <w:r w:rsidRPr="000B57A1">
      <w:t>GE.17-14276</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7A1" w:rsidRDefault="00ED0903" w:rsidP="000B57A1">
    <w:pPr>
      <w:pStyle w:val="Pieddepage"/>
      <w:tabs>
        <w:tab w:val="right" w:pos="9638"/>
      </w:tabs>
      <w:rPr>
        <w:b/>
        <w:sz w:val="18"/>
      </w:rPr>
    </w:pPr>
    <w:r>
      <w:t>GE.</w:t>
    </w:r>
    <w:r w:rsidRPr="000B57A1">
      <w:t>17</w:t>
    </w:r>
    <w:r>
      <w:t>-</w:t>
    </w:r>
    <w:r w:rsidRPr="000B57A1">
      <w:t>14276</w:t>
    </w:r>
    <w:r>
      <w:tab/>
    </w:r>
    <w:r>
      <w:rPr>
        <w:b/>
        <w:sz w:val="18"/>
      </w:rPr>
      <w:fldChar w:fldCharType="begin"/>
    </w:r>
    <w:r>
      <w:rPr>
        <w:b/>
        <w:sz w:val="18"/>
      </w:rPr>
      <w:instrText xml:space="preserve"> PAGE  \* MERGEFORMAT </w:instrText>
    </w:r>
    <w:r>
      <w:rPr>
        <w:b/>
        <w:sz w:val="18"/>
      </w:rPr>
      <w:fldChar w:fldCharType="separate"/>
    </w:r>
    <w:r>
      <w:rPr>
        <w:b/>
        <w:noProof/>
        <w:sz w:val="18"/>
      </w:rPr>
      <w:t>99</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2A5753" w:rsidRDefault="00ED0903" w:rsidP="002A5753">
    <w:pPr>
      <w:pStyle w:val="Pieddepage"/>
    </w:pPr>
    <w:r>
      <w:rPr>
        <w:noProof/>
        <w:lang w:eastAsia="fr-CH"/>
      </w:rPr>
      <mc:AlternateContent>
        <mc:Choice Requires="wps">
          <w:drawing>
            <wp:anchor distT="0" distB="0" distL="114300" distR="114300" simplePos="0" relativeHeight="25164800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0B57A1" w:rsidRDefault="00ED0903" w:rsidP="002A575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4747A">
                            <w:rPr>
                              <w:b/>
                              <w:noProof/>
                              <w:sz w:val="18"/>
                            </w:rPr>
                            <w:t>94</w:t>
                          </w:r>
                          <w:r>
                            <w:rPr>
                              <w:b/>
                              <w:sz w:val="18"/>
                            </w:rPr>
                            <w:fldChar w:fldCharType="end"/>
                          </w:r>
                          <w:r>
                            <w:rPr>
                              <w:b/>
                              <w:sz w:val="18"/>
                            </w:rPr>
                            <w:tab/>
                          </w:r>
                          <w:r w:rsidRPr="000B57A1">
                            <w:t>GE.17-14276</w:t>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4" o:spid="_x0000_s1053" type="#_x0000_t202" style="position:absolute;margin-left:-34pt;margin-top:0;width:17pt;height:481.9pt;z-index:2516480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At/wI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HX7cC3/AgAAuw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0903" w:rsidRPr="000B57A1" w:rsidRDefault="00ED0903" w:rsidP="002A575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4747A">
                      <w:rPr>
                        <w:b/>
                        <w:noProof/>
                        <w:sz w:val="18"/>
                      </w:rPr>
                      <w:t>94</w:t>
                    </w:r>
                    <w:r>
                      <w:rPr>
                        <w:b/>
                        <w:sz w:val="18"/>
                      </w:rPr>
                      <w:fldChar w:fldCharType="end"/>
                    </w:r>
                    <w:r>
                      <w:rPr>
                        <w:b/>
                        <w:sz w:val="18"/>
                      </w:rPr>
                      <w:tab/>
                    </w:r>
                    <w:r w:rsidRPr="000B57A1">
                      <w:t>GE.17-14276</w:t>
                    </w:r>
                  </w:p>
                  <w:p w:rsidR="00ED0903" w:rsidRDefault="00ED0903"/>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2A5753" w:rsidRDefault="00ED0903" w:rsidP="002A5753">
    <w:pPr>
      <w:pStyle w:val="Pieddepage"/>
    </w:pPr>
    <w:r>
      <w:rPr>
        <w:noProof/>
        <w:lang w:eastAsia="fr-CH"/>
      </w:rPr>
      <mc:AlternateContent>
        <mc:Choice Requires="wps">
          <w:drawing>
            <wp:anchor distT="0" distB="0" distL="114300" distR="114300" simplePos="0" relativeHeight="25167667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0B57A1" w:rsidRDefault="00ED0903" w:rsidP="002A5753">
                          <w:pPr>
                            <w:pStyle w:val="Pieddepage"/>
                            <w:tabs>
                              <w:tab w:val="right" w:pos="9638"/>
                            </w:tabs>
                            <w:rPr>
                              <w:b/>
                              <w:sz w:val="18"/>
                            </w:rPr>
                          </w:pPr>
                          <w:r>
                            <w:t>GE.</w:t>
                          </w:r>
                          <w:r w:rsidRPr="000B57A1">
                            <w:t>17</w:t>
                          </w:r>
                          <w:r>
                            <w:t>-</w:t>
                          </w:r>
                          <w:r w:rsidRPr="000B57A1">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95</w:t>
                          </w:r>
                          <w:r>
                            <w:rPr>
                              <w:b/>
                              <w:sz w:val="18"/>
                            </w:rPr>
                            <w:fldChar w:fldCharType="end"/>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6" o:spid="_x0000_s1054" type="#_x0000_t202" style="position:absolute;margin-left:-34pt;margin-top:0;width:17pt;height:481.9pt;z-index:2516766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Fd/wI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NkkQV3/AgAAuw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0903" w:rsidRPr="000B57A1" w:rsidRDefault="00ED0903" w:rsidP="002A5753">
                    <w:pPr>
                      <w:pStyle w:val="Pieddepage"/>
                      <w:tabs>
                        <w:tab w:val="right" w:pos="9638"/>
                      </w:tabs>
                      <w:rPr>
                        <w:b/>
                        <w:sz w:val="18"/>
                      </w:rPr>
                    </w:pPr>
                    <w:r>
                      <w:t>GE.</w:t>
                    </w:r>
                    <w:r w:rsidRPr="000B57A1">
                      <w:t>17</w:t>
                    </w:r>
                    <w:r>
                      <w:t>-</w:t>
                    </w:r>
                    <w:r w:rsidRPr="000B57A1">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95</w:t>
                    </w:r>
                    <w:r>
                      <w:rPr>
                        <w:b/>
                        <w:sz w:val="18"/>
                      </w:rPr>
                      <w:fldChar w:fldCharType="end"/>
                    </w:r>
                  </w:p>
                  <w:p w:rsidR="00ED0903" w:rsidRDefault="00ED0903"/>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170" w:rsidRDefault="00ED0903" w:rsidP="000B5170">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4747A">
      <w:rPr>
        <w:b/>
        <w:noProof/>
        <w:sz w:val="18"/>
      </w:rPr>
      <w:t>98</w:t>
    </w:r>
    <w:r>
      <w:rPr>
        <w:b/>
        <w:sz w:val="18"/>
      </w:rPr>
      <w:fldChar w:fldCharType="end"/>
    </w:r>
    <w:r>
      <w:rPr>
        <w:b/>
        <w:sz w:val="18"/>
      </w:rPr>
      <w:tab/>
    </w:r>
    <w:r w:rsidRPr="000B5170">
      <w:t>GE.17-14276</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170" w:rsidRDefault="00ED0903" w:rsidP="000B5170">
    <w:pPr>
      <w:pStyle w:val="Pieddepage"/>
      <w:tabs>
        <w:tab w:val="right" w:pos="9638"/>
      </w:tabs>
      <w:rPr>
        <w:b/>
        <w:sz w:val="18"/>
      </w:rPr>
    </w:pPr>
    <w:r>
      <w:t>GE.</w:t>
    </w:r>
    <w:r w:rsidRPr="000B5170">
      <w:t>17</w:t>
    </w:r>
    <w:r>
      <w:t>-</w:t>
    </w:r>
    <w:r w:rsidRPr="000B5170">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97</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06C62" w:rsidRDefault="00ED0903" w:rsidP="00A06C62">
    <w:pPr>
      <w:pStyle w:val="Pieddepage"/>
    </w:pPr>
    <w:r>
      <w:rPr>
        <w:noProof/>
        <w:lang w:eastAsia="fr-CH"/>
      </w:rPr>
      <mc:AlternateContent>
        <mc:Choice Requires="wps">
          <w:drawing>
            <wp:anchor distT="0" distB="0" distL="114300" distR="114300" simplePos="0" relativeHeight="251656192"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0B5170" w:rsidRDefault="00ED0903" w:rsidP="00A06C6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99</w:t>
                          </w:r>
                          <w:r>
                            <w:rPr>
                              <w:b/>
                              <w:sz w:val="18"/>
                            </w:rPr>
                            <w:fldChar w:fldCharType="end"/>
                          </w:r>
                          <w:r>
                            <w:rPr>
                              <w:b/>
                              <w:sz w:val="18"/>
                            </w:rPr>
                            <w:tab/>
                          </w:r>
                          <w:r w:rsidRPr="000B5170">
                            <w:t>GE.17-14276</w:t>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8" o:spid="_x0000_s1057" type="#_x0000_t202" style="position:absolute;margin-left:-34pt;margin-top:0;width:17pt;height:481.9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cAAMAALs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" fillcolor="#4f81bd [3204]" stroked="f" strokeweight=".5pt">
              <v:fill opacity="0"/>
              <v:stroke joinstyle="round"/>
              <v:textbox style="layout-flow:vertical" inset="0,0,0,0">
                <w:txbxContent>
                  <w:p w:rsidR="00ED0903" w:rsidRPr="000B5170" w:rsidRDefault="00ED0903" w:rsidP="00A06C62">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99</w:t>
                    </w:r>
                    <w:r>
                      <w:rPr>
                        <w:b/>
                        <w:sz w:val="18"/>
                      </w:rPr>
                      <w:fldChar w:fldCharType="end"/>
                    </w:r>
                    <w:r>
                      <w:rPr>
                        <w:b/>
                        <w:sz w:val="18"/>
                      </w:rPr>
                      <w:tab/>
                    </w:r>
                    <w:r w:rsidRPr="000B5170">
                      <w:t>GE.17-14276</w:t>
                    </w:r>
                  </w:p>
                  <w:p w:rsidR="00ED0903" w:rsidRDefault="00ED0903"/>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06C62" w:rsidRDefault="00ED0903" w:rsidP="00A06C62">
    <w:pPr>
      <w:pStyle w:val="Pieddepage"/>
    </w:pPr>
    <w:r>
      <w:rPr>
        <w:noProof/>
        <w:lang w:eastAsia="fr-CH"/>
      </w:rPr>
      <mc:AlternateContent>
        <mc:Choice Requires="wps">
          <w:drawing>
            <wp:anchor distT="0" distB="0" distL="114300" distR="114300" simplePos="0" relativeHeight="2516643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0B5170" w:rsidRDefault="00ED0903" w:rsidP="00A06C62">
                          <w:pPr>
                            <w:pStyle w:val="Pieddepage"/>
                            <w:tabs>
                              <w:tab w:val="right" w:pos="9638"/>
                            </w:tabs>
                            <w:rPr>
                              <w:b/>
                              <w:sz w:val="18"/>
                            </w:rPr>
                          </w:pPr>
                          <w:r>
                            <w:t>GE.</w:t>
                          </w:r>
                          <w:r w:rsidRPr="000B5170">
                            <w:t>17</w:t>
                          </w:r>
                          <w:r>
                            <w:t>-</w:t>
                          </w:r>
                          <w:r w:rsidRPr="000B5170">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99</w:t>
                          </w:r>
                          <w:r>
                            <w:rPr>
                              <w:b/>
                              <w:sz w:val="18"/>
                            </w:rPr>
                            <w:fldChar w:fldCharType="end"/>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30" o:spid="_x0000_s1058"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" fillcolor="#4f81bd [3204]" stroked="f" strokeweight=".5pt">
              <v:fill opacity="0"/>
              <v:stroke joinstyle="round"/>
              <v:textbox style="layout-flow:vertical" inset="0,0,0,0">
                <w:txbxContent>
                  <w:p w:rsidR="00ED0903" w:rsidRPr="000B5170" w:rsidRDefault="00ED0903" w:rsidP="00A06C62">
                    <w:pPr>
                      <w:pStyle w:val="Pieddepage"/>
                      <w:tabs>
                        <w:tab w:val="right" w:pos="9638"/>
                      </w:tabs>
                      <w:rPr>
                        <w:b/>
                        <w:sz w:val="18"/>
                      </w:rPr>
                    </w:pPr>
                    <w:r>
                      <w:t>GE.</w:t>
                    </w:r>
                    <w:r w:rsidRPr="000B5170">
                      <w:t>17</w:t>
                    </w:r>
                    <w:r>
                      <w:t>-</w:t>
                    </w:r>
                    <w:r w:rsidRPr="000B5170">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99</w:t>
                    </w:r>
                    <w:r>
                      <w:rPr>
                        <w:b/>
                        <w:sz w:val="18"/>
                      </w:rPr>
                      <w:fldChar w:fldCharType="end"/>
                    </w:r>
                  </w:p>
                  <w:p w:rsidR="00ED0903" w:rsidRDefault="00ED0903"/>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rsidP="00BA31FC">
    <w:pPr>
      <w:pStyle w:val="Pieddepage"/>
      <w:tabs>
        <w:tab w:val="right" w:pos="9638"/>
      </w:tabs>
    </w:pPr>
    <w:r w:rsidRPr="00BA31FC">
      <w:rPr>
        <w:b/>
        <w:sz w:val="18"/>
      </w:rPr>
      <w:fldChar w:fldCharType="begin"/>
    </w:r>
    <w:r w:rsidRPr="00BA31FC">
      <w:rPr>
        <w:b/>
        <w:sz w:val="18"/>
      </w:rPr>
      <w:instrText xml:space="preserve"> PAGE  \* MERGEFORMAT </w:instrText>
    </w:r>
    <w:r w:rsidRPr="00BA31FC">
      <w:rPr>
        <w:b/>
        <w:sz w:val="18"/>
      </w:rPr>
      <w:fldChar w:fldCharType="separate"/>
    </w:r>
    <w:r w:rsidR="0074747A">
      <w:rPr>
        <w:b/>
        <w:noProof/>
        <w:sz w:val="18"/>
      </w:rPr>
      <w:t>vi</w:t>
    </w:r>
    <w:r w:rsidRPr="00BA31FC">
      <w:rPr>
        <w:b/>
        <w:sz w:val="18"/>
      </w:rPr>
      <w:fldChar w:fldCharType="end"/>
    </w:r>
    <w:r>
      <w:rPr>
        <w:b/>
        <w:sz w:val="18"/>
      </w:rPr>
      <w:tab/>
    </w:r>
    <w:r>
      <w:t>GE.17-14276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rsidP="00BA31FC">
    <w:pPr>
      <w:pStyle w:val="Pieddepage"/>
      <w:tabs>
        <w:tab w:val="right" w:pos="9638"/>
      </w:tabs>
      <w:rPr>
        <w:b/>
        <w:sz w:val="18"/>
      </w:rPr>
    </w:pPr>
    <w:r>
      <w:t>GE.17-14276</w:t>
    </w:r>
    <w:r>
      <w:tab/>
    </w:r>
    <w:r>
      <w:rPr>
        <w:b/>
        <w:sz w:val="18"/>
      </w:rPr>
      <w:fldChar w:fldCharType="begin"/>
    </w:r>
    <w:r>
      <w:rPr>
        <w:b/>
        <w:sz w:val="18"/>
      </w:rPr>
      <w:instrText xml:space="preserve"> PAGE  \* MERGEFORMAT </w:instrText>
    </w:r>
    <w:r>
      <w:rPr>
        <w:b/>
        <w:sz w:val="18"/>
      </w:rPr>
      <w:fldChar w:fldCharType="separate"/>
    </w:r>
    <w:r w:rsidR="0074747A">
      <w:rPr>
        <w:b/>
        <w:noProof/>
        <w:sz w:val="18"/>
      </w:rPr>
      <w:t>vii</w:t>
    </w:r>
    <w:r>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rsidP="00BA31FC">
    <w:pPr>
      <w:pStyle w:val="Pieddepage"/>
      <w:tabs>
        <w:tab w:val="right" w:pos="9638"/>
      </w:tabs>
      <w:spacing w:before="120"/>
      <w:rPr>
        <w:b/>
        <w:sz w:val="18"/>
      </w:rPr>
    </w:pPr>
    <w:r>
      <w:rPr>
        <w:sz w:val="20"/>
      </w:rPr>
      <w:t>GE.17-14276  (F)    201017    071117</w:t>
    </w:r>
    <w:r>
      <w:rPr>
        <w:sz w:val="20"/>
      </w:rPr>
      <w:tab/>
    </w:r>
    <w:r w:rsidRPr="00BA31FC">
      <w:rPr>
        <w:b/>
        <w:sz w:val="18"/>
      </w:rPr>
      <w:fldChar w:fldCharType="begin"/>
    </w:r>
    <w:r w:rsidRPr="00BA31FC">
      <w:rPr>
        <w:b/>
        <w:sz w:val="18"/>
      </w:rPr>
      <w:instrText xml:space="preserve"> PAGE  \* MERGEFORMAT </w:instrText>
    </w:r>
    <w:r w:rsidRPr="00BA31FC">
      <w:rPr>
        <w:b/>
        <w:sz w:val="18"/>
      </w:rPr>
      <w:fldChar w:fldCharType="separate"/>
    </w:r>
    <w:r w:rsidR="0074747A">
      <w:rPr>
        <w:b/>
        <w:noProof/>
        <w:sz w:val="18"/>
      </w:rPr>
      <w:t>xi</w:t>
    </w:r>
    <w:r w:rsidRPr="00BA31FC">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rsidP="00BA31FC">
    <w:pPr>
      <w:pStyle w:val="Pieddepage"/>
      <w:tabs>
        <w:tab w:val="right" w:pos="9638"/>
      </w:tabs>
      <w:rPr>
        <w:b/>
        <w:sz w:val="18"/>
      </w:rPr>
    </w:pPr>
    <w:r>
      <w:t>GE.17-14276</w:t>
    </w:r>
    <w:r>
      <w:tab/>
    </w:r>
    <w:r>
      <w:rPr>
        <w:b/>
        <w:sz w:val="18"/>
      </w:rPr>
      <w:fldChar w:fldCharType="begin"/>
    </w:r>
    <w:r>
      <w:rPr>
        <w:b/>
        <w:sz w:val="18"/>
      </w:rPr>
      <w:instrText xml:space="preserve"> PAGE  \* MERGEFORMAT </w:instrText>
    </w:r>
    <w:r>
      <w:rPr>
        <w:b/>
        <w:sz w:val="18"/>
      </w:rPr>
      <w:fldChar w:fldCharType="separate"/>
    </w:r>
    <w:r w:rsidR="0074747A">
      <w:rPr>
        <w:b/>
        <w:noProof/>
        <w:sz w:val="18"/>
      </w:rPr>
      <w:t>3</w:t>
    </w:r>
    <w:r>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5E46A7" w:rsidRDefault="00ED0903" w:rsidP="005E46A7">
    <w:pPr>
      <w:pStyle w:val="Pieddepage"/>
    </w:pPr>
    <w:r>
      <w:rPr>
        <w:noProof/>
        <w:lang w:eastAsia="fr-CH"/>
      </w:rPr>
      <mc:AlternateContent>
        <mc:Choice Requires="wps">
          <w:drawing>
            <wp:anchor distT="0" distB="0" distL="114300" distR="114300" simplePos="0" relativeHeight="25163161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BA31FC" w:rsidRDefault="00ED0903" w:rsidP="005E46A7">
                          <w:pPr>
                            <w:pStyle w:val="Pieddepage"/>
                            <w:tabs>
                              <w:tab w:val="right" w:pos="9638"/>
                            </w:tabs>
                          </w:pPr>
                          <w:r w:rsidRPr="00BA31FC">
                            <w:rPr>
                              <w:b/>
                              <w:sz w:val="18"/>
                            </w:rPr>
                            <w:fldChar w:fldCharType="begin"/>
                          </w:r>
                          <w:r w:rsidRPr="00BA31FC">
                            <w:rPr>
                              <w:b/>
                              <w:sz w:val="18"/>
                            </w:rPr>
                            <w:instrText xml:space="preserve"> PAGE  \* MERGEFORMAT </w:instrText>
                          </w:r>
                          <w:r w:rsidRPr="00BA31FC">
                            <w:rPr>
                              <w:b/>
                              <w:sz w:val="18"/>
                            </w:rPr>
                            <w:fldChar w:fldCharType="separate"/>
                          </w:r>
                          <w:r>
                            <w:rPr>
                              <w:b/>
                              <w:noProof/>
                              <w:sz w:val="18"/>
                            </w:rPr>
                            <w:t>99</w:t>
                          </w:r>
                          <w:r w:rsidRPr="00BA31FC">
                            <w:rPr>
                              <w:b/>
                              <w:sz w:val="18"/>
                            </w:rPr>
                            <w:fldChar w:fldCharType="end"/>
                          </w:r>
                          <w:r>
                            <w:rPr>
                              <w:b/>
                              <w:sz w:val="18"/>
                            </w:rPr>
                            <w:tab/>
                          </w:r>
                          <w:r>
                            <w:t>GE.17-14276</w:t>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2" o:spid="_x0000_s1045" type="#_x0000_t202" style="position:absolute;margin-left:-34pt;margin-top:0;width:17pt;height:481.9pt;z-index:2516316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wz/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n1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U29tihlRa62KGTrAbDQTFn+LxG&#10;ylfM+VtmMYGgxFT1N1hKqUEOvZcoqbT99jt9sM9pWMEmTDQQ9euKWXBLflQYGXDpO8F2wqIT1Kq5&#10;1OiZLEYTRVywXnZiaXXzgGE7Da/giCmOSHKK11rx0rdzFcOai+k0GmHIGeav1J3hwXXgZSjt/faB&#10;WbPv8DBmrnU369j4WaO3tuGm0tOV12Udp0DAtUURyIcNBmSswX6Yhwn86z5aPf5yJj8B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vYw8M/4CAAC6BgAADgAAAAAAAAAAAAAAAAAuAgAAZHJzL2Uyb0RvYy54bWxQSwECLQAUAAYA&#10;CAAAACEAkl4qvNsAAAAIAQAADwAAAAAAAAAAAAAAAABYBQAAZHJzL2Rvd25yZXYueG1sUEsFBgAA&#10;AAAEAAQA8wAAAGAGAAAAAA==&#10;" fillcolor="#4f81bd [3204]" stroked="f" strokeweight=".5pt">
              <v:fill opacity="0"/>
              <v:stroke joinstyle="round"/>
              <v:textbox style="layout-flow:vertical" inset="0,0,0,0">
                <w:txbxContent>
                  <w:p w:rsidR="00ED0903" w:rsidRPr="00BA31FC" w:rsidRDefault="00ED0903" w:rsidP="005E46A7">
                    <w:pPr>
                      <w:pStyle w:val="Pieddepage"/>
                      <w:tabs>
                        <w:tab w:val="right" w:pos="9638"/>
                      </w:tabs>
                    </w:pPr>
                    <w:r w:rsidRPr="00BA31FC">
                      <w:rPr>
                        <w:b/>
                        <w:sz w:val="18"/>
                      </w:rPr>
                      <w:fldChar w:fldCharType="begin"/>
                    </w:r>
                    <w:r w:rsidRPr="00BA31FC">
                      <w:rPr>
                        <w:b/>
                        <w:sz w:val="18"/>
                      </w:rPr>
                      <w:instrText xml:space="preserve"> PAGE  \* MERGEFORMAT </w:instrText>
                    </w:r>
                    <w:r w:rsidRPr="00BA31FC">
                      <w:rPr>
                        <w:b/>
                        <w:sz w:val="18"/>
                      </w:rPr>
                      <w:fldChar w:fldCharType="separate"/>
                    </w:r>
                    <w:r>
                      <w:rPr>
                        <w:b/>
                        <w:noProof/>
                        <w:sz w:val="18"/>
                      </w:rPr>
                      <w:t>99</w:t>
                    </w:r>
                    <w:r w:rsidRPr="00BA31FC">
                      <w:rPr>
                        <w:b/>
                        <w:sz w:val="18"/>
                      </w:rPr>
                      <w:fldChar w:fldCharType="end"/>
                    </w:r>
                    <w:r>
                      <w:rPr>
                        <w:b/>
                        <w:sz w:val="18"/>
                      </w:rPr>
                      <w:tab/>
                    </w:r>
                    <w:r>
                      <w:t>GE.17-14276</w:t>
                    </w:r>
                  </w:p>
                  <w:p w:rsidR="00ED0903" w:rsidRDefault="00ED0903"/>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5E46A7" w:rsidRDefault="00ED0903" w:rsidP="005E46A7">
    <w:pPr>
      <w:pStyle w:val="Pieddepage"/>
    </w:pPr>
    <w:r>
      <w:rPr>
        <w:noProof/>
        <w:lang w:eastAsia="fr-CH"/>
      </w:rPr>
      <mc:AlternateContent>
        <mc:Choice Requires="wps">
          <w:drawing>
            <wp:anchor distT="0" distB="0" distL="114300" distR="114300" simplePos="0" relativeHeight="25164390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BA31FC" w:rsidRDefault="00ED0903" w:rsidP="005E46A7">
                          <w:pPr>
                            <w:pStyle w:val="Pieddepage"/>
                            <w:tabs>
                              <w:tab w:val="right" w:pos="9638"/>
                            </w:tabs>
                            <w:rPr>
                              <w:b/>
                              <w:sz w:val="18"/>
                            </w:rPr>
                          </w:pPr>
                          <w:r>
                            <w:t>GE.17-14276</w:t>
                          </w:r>
                          <w:r>
                            <w:tab/>
                          </w:r>
                          <w:r>
                            <w:rPr>
                              <w:b/>
                              <w:sz w:val="18"/>
                            </w:rPr>
                            <w:fldChar w:fldCharType="begin"/>
                          </w:r>
                          <w:r>
                            <w:rPr>
                              <w:b/>
                              <w:sz w:val="18"/>
                            </w:rPr>
                            <w:instrText xml:space="preserve"> PAGE  \* MERGEFORMAT </w:instrText>
                          </w:r>
                          <w:r>
                            <w:rPr>
                              <w:b/>
                              <w:sz w:val="18"/>
                            </w:rPr>
                            <w:fldChar w:fldCharType="separate"/>
                          </w:r>
                          <w:r w:rsidR="0074747A">
                            <w:rPr>
                              <w:b/>
                              <w:noProof/>
                              <w:sz w:val="18"/>
                            </w:rPr>
                            <w:t>31</w:t>
                          </w:r>
                          <w:r>
                            <w:rPr>
                              <w:b/>
                              <w:sz w:val="18"/>
                            </w:rPr>
                            <w:fldChar w:fldCharType="end"/>
                          </w:r>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46" type="#_x0000_t202" style="position:absolute;margin-left:-34pt;margin-top:0;width:17pt;height:481.9pt;z-index:2516439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om/w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gN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U29thx1zILXezQSVaD4aCYM3xe&#10;I+Ur5vwts5hAUGKq+hsspdQgh95LlFTafvudPtjnNKxgEyYaiPp1xSy4JT8qjAy49J1gO2HRCWrV&#10;XGr0TBajiSIuWC87sbS6ecCwnYZXcMQURyQ5xWuteOnbuYphzcV0Go0w5AzzV+rO8OA68DKU9n77&#10;wKzZd3gYM9e6m3Vs/KzRW9twU+npyuuyjlMg4NqiCOTDBgMy1mA/zMME/nUfrR5/OZOf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Us+ib/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ED0903" w:rsidRPr="00BA31FC" w:rsidRDefault="00ED0903" w:rsidP="005E46A7">
                    <w:pPr>
                      <w:pStyle w:val="Pieddepage"/>
                      <w:tabs>
                        <w:tab w:val="right" w:pos="9638"/>
                      </w:tabs>
                      <w:rPr>
                        <w:b/>
                        <w:sz w:val="18"/>
                      </w:rPr>
                    </w:pPr>
                    <w:r>
                      <w:t>GE.17-14276</w:t>
                    </w:r>
                    <w:r>
                      <w:tab/>
                    </w:r>
                    <w:r>
                      <w:rPr>
                        <w:b/>
                        <w:sz w:val="18"/>
                      </w:rPr>
                      <w:fldChar w:fldCharType="begin"/>
                    </w:r>
                    <w:r>
                      <w:rPr>
                        <w:b/>
                        <w:sz w:val="18"/>
                      </w:rPr>
                      <w:instrText xml:space="preserve"> PAGE  \* MERGEFORMAT </w:instrText>
                    </w:r>
                    <w:r>
                      <w:rPr>
                        <w:b/>
                        <w:sz w:val="18"/>
                      </w:rPr>
                      <w:fldChar w:fldCharType="separate"/>
                    </w:r>
                    <w:r w:rsidR="0074747A">
                      <w:rPr>
                        <w:b/>
                        <w:noProof/>
                        <w:sz w:val="18"/>
                      </w:rPr>
                      <w:t>31</w:t>
                    </w:r>
                    <w:r>
                      <w:rPr>
                        <w:b/>
                        <w:sz w:val="18"/>
                      </w:rPr>
                      <w:fldChar w:fldCharType="end"/>
                    </w:r>
                  </w:p>
                  <w:p w:rsidR="00ED0903" w:rsidRDefault="00ED0903"/>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94122B" w:rsidRDefault="00ED0903" w:rsidP="0094122B">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74747A">
      <w:rPr>
        <w:b/>
        <w:noProof/>
        <w:sz w:val="18"/>
      </w:rPr>
      <w:t>64</w:t>
    </w:r>
    <w:r>
      <w:rPr>
        <w:b/>
        <w:sz w:val="18"/>
      </w:rPr>
      <w:fldChar w:fldCharType="end"/>
    </w:r>
    <w:r>
      <w:rPr>
        <w:b/>
        <w:sz w:val="18"/>
      </w:rPr>
      <w:tab/>
    </w:r>
    <w:r w:rsidRPr="0094122B">
      <w:t>GE.17-14276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94122B" w:rsidRDefault="00ED0903" w:rsidP="0094122B">
    <w:pPr>
      <w:pStyle w:val="Pieddepage"/>
      <w:tabs>
        <w:tab w:val="right" w:pos="9638"/>
      </w:tabs>
      <w:rPr>
        <w:b/>
        <w:sz w:val="18"/>
      </w:rPr>
    </w:pPr>
    <w:r>
      <w:t>GE.</w:t>
    </w:r>
    <w:r w:rsidRPr="0094122B">
      <w:t>17</w:t>
    </w:r>
    <w:r>
      <w:t>-</w:t>
    </w:r>
    <w:r w:rsidRPr="0094122B">
      <w:t>14276</w:t>
    </w:r>
    <w:r>
      <w:tab/>
    </w:r>
    <w:r>
      <w:rPr>
        <w:b/>
        <w:sz w:val="18"/>
      </w:rPr>
      <w:fldChar w:fldCharType="begin"/>
    </w:r>
    <w:r>
      <w:rPr>
        <w:b/>
        <w:sz w:val="18"/>
      </w:rPr>
      <w:instrText xml:space="preserve"> PAGE  \* MERGEFORMAT </w:instrText>
    </w:r>
    <w:r>
      <w:rPr>
        <w:b/>
        <w:sz w:val="18"/>
      </w:rPr>
      <w:fldChar w:fldCharType="separate"/>
    </w:r>
    <w:r w:rsidR="0074747A">
      <w:rPr>
        <w:b/>
        <w:noProof/>
        <w:sz w:val="18"/>
      </w:rPr>
      <w:t>65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903" w:rsidRPr="00AC3823" w:rsidRDefault="00ED0903" w:rsidP="00AC3823">
      <w:pPr>
        <w:pStyle w:val="Pieddepage"/>
        <w:tabs>
          <w:tab w:val="right" w:pos="2155"/>
        </w:tabs>
        <w:spacing w:after="80" w:line="240" w:lineRule="atLeast"/>
        <w:ind w:left="680"/>
        <w:rPr>
          <w:u w:val="single"/>
        </w:rPr>
      </w:pPr>
      <w:r>
        <w:rPr>
          <w:u w:val="single"/>
        </w:rPr>
        <w:tab/>
      </w:r>
    </w:p>
  </w:footnote>
  <w:footnote w:type="continuationSeparator" w:id="0">
    <w:p w:rsidR="00ED0903" w:rsidRPr="00AC3823" w:rsidRDefault="00ED0903" w:rsidP="00AC3823">
      <w:pPr>
        <w:pStyle w:val="Pieddepage"/>
        <w:tabs>
          <w:tab w:val="right" w:pos="2155"/>
        </w:tabs>
        <w:spacing w:after="80" w:line="240" w:lineRule="atLeast"/>
        <w:ind w:left="680"/>
        <w:rPr>
          <w:u w:val="single"/>
        </w:rPr>
      </w:pPr>
      <w:r>
        <w:rPr>
          <w:u w:val="single"/>
        </w:rPr>
        <w:tab/>
      </w:r>
    </w:p>
  </w:footnote>
  <w:footnote w:type="continuationNotice" w:id="1">
    <w:p w:rsidR="00ED0903" w:rsidRPr="00AC3823" w:rsidRDefault="00ED0903">
      <w:pPr>
        <w:spacing w:line="240" w:lineRule="auto"/>
        <w:rPr>
          <w:sz w:val="2"/>
          <w:szCs w:val="2"/>
        </w:rPr>
      </w:pPr>
    </w:p>
  </w:footnote>
  <w:footnote w:id="2">
    <w:p w:rsidR="00ED0903" w:rsidRPr="00D120EC" w:rsidRDefault="00ED0903">
      <w:pPr>
        <w:pStyle w:val="Notedebasdepage"/>
      </w:pPr>
      <w:r>
        <w:rPr>
          <w:rStyle w:val="Appelnotedebasdep"/>
        </w:rPr>
        <w:tab/>
      </w:r>
      <w:r w:rsidRPr="00D120EC">
        <w:rPr>
          <w:rStyle w:val="Appelnotedebasdep"/>
          <w:sz w:val="20"/>
          <w:vertAlign w:val="baseline"/>
        </w:rPr>
        <w:t>*</w:t>
      </w:r>
      <w:r>
        <w:rPr>
          <w:rStyle w:val="Appelnotedebasdep"/>
          <w:sz w:val="20"/>
          <w:vertAlign w:val="baseline"/>
        </w:rPr>
        <w:tab/>
      </w:r>
      <w:r>
        <w:t>Nouveau tirage pour raisons techniques (15 novembre 2017).</w:t>
      </w:r>
    </w:p>
  </w:footnote>
  <w:footnote w:id="3">
    <w:p w:rsidR="00ED0903" w:rsidRPr="0075304B" w:rsidRDefault="00ED0903" w:rsidP="00CC73D4">
      <w:pPr>
        <w:pStyle w:val="Notedebasdepage"/>
      </w:pPr>
      <w:r w:rsidRPr="0075304B">
        <w:tab/>
      </w:r>
      <w:r w:rsidRPr="0075304B">
        <w:rPr>
          <w:rStyle w:val="Appelnotedebasdep"/>
        </w:rPr>
        <w:footnoteRef/>
      </w:r>
      <w:r w:rsidRPr="0075304B">
        <w:tab/>
        <w:t>Voir les résolutions 60/255 (sect. IV), 62/238 (sect. XV), 63/268 (sect. II) et 65/268 (sect. IV) de l’Assemblée générale.</w:t>
      </w:r>
    </w:p>
  </w:footnote>
  <w:footnote w:id="4">
    <w:p w:rsidR="00ED0903" w:rsidRPr="0075304B" w:rsidRDefault="00ED0903" w:rsidP="00CC73D4">
      <w:pPr>
        <w:pStyle w:val="Notedebasdepage"/>
      </w:pPr>
      <w:r w:rsidRPr="0075304B">
        <w:tab/>
      </w:r>
      <w:r w:rsidRPr="0075304B">
        <w:rPr>
          <w:rStyle w:val="Appelnotedebasdep"/>
        </w:rPr>
        <w:footnoteRef/>
      </w:r>
      <w:r w:rsidRPr="0075304B">
        <w:tab/>
        <w:t>JIU/REP/74/3.</w:t>
      </w:r>
    </w:p>
  </w:footnote>
  <w:footnote w:id="5">
    <w:p w:rsidR="00ED0903" w:rsidRPr="0075304B" w:rsidRDefault="00ED0903" w:rsidP="00CC73D4">
      <w:pPr>
        <w:pStyle w:val="Notedebasdepage"/>
      </w:pPr>
      <w:r w:rsidRPr="0075304B">
        <w:tab/>
      </w:r>
      <w:r w:rsidRPr="0075304B">
        <w:rPr>
          <w:rStyle w:val="Appelnotedebasdep"/>
        </w:rPr>
        <w:footnoteRef/>
      </w:r>
      <w:r w:rsidRPr="0075304B">
        <w:tab/>
        <w:t>JIU/REP/75/1.</w:t>
      </w:r>
    </w:p>
  </w:footnote>
  <w:footnote w:id="6">
    <w:p w:rsidR="00ED0903" w:rsidRPr="0075304B" w:rsidRDefault="00ED0903" w:rsidP="00CC73D4">
      <w:pPr>
        <w:pStyle w:val="Notedebasdepage"/>
      </w:pPr>
      <w:r w:rsidRPr="0075304B">
        <w:tab/>
      </w:r>
      <w:r w:rsidRPr="0075304B">
        <w:rPr>
          <w:rStyle w:val="Appelnotedebasdep"/>
        </w:rPr>
        <w:footnoteRef/>
      </w:r>
      <w:r w:rsidRPr="0075304B">
        <w:tab/>
        <w:t>JIU/REP/76/2.</w:t>
      </w:r>
    </w:p>
  </w:footnote>
  <w:footnote w:id="7">
    <w:p w:rsidR="00ED0903" w:rsidRPr="00B72C78" w:rsidRDefault="00ED0903" w:rsidP="00CC73D4">
      <w:pPr>
        <w:pStyle w:val="Notedebasdepage"/>
        <w:rPr>
          <w:lang w:val="en-US"/>
        </w:rPr>
      </w:pPr>
      <w:r w:rsidRPr="0075304B">
        <w:tab/>
      </w:r>
      <w:r w:rsidRPr="0075304B">
        <w:rPr>
          <w:rStyle w:val="Appelnotedebasdep"/>
        </w:rPr>
        <w:footnoteRef/>
      </w:r>
      <w:r w:rsidRPr="00B72C78">
        <w:rPr>
          <w:lang w:val="en-US"/>
        </w:rPr>
        <w:tab/>
        <w:t>JIU/REP/77/3.</w:t>
      </w:r>
    </w:p>
  </w:footnote>
  <w:footnote w:id="8">
    <w:p w:rsidR="00ED0903" w:rsidRPr="00B72C78" w:rsidRDefault="00ED0903" w:rsidP="00CC73D4">
      <w:pPr>
        <w:pStyle w:val="Notedebasdepage"/>
        <w:rPr>
          <w:lang w:val="en-US"/>
        </w:rPr>
      </w:pPr>
      <w:r w:rsidRPr="00B72C78">
        <w:rPr>
          <w:color w:val="000000"/>
          <w:lang w:val="en-US"/>
        </w:rPr>
        <w:tab/>
      </w:r>
      <w:r w:rsidRPr="0075304B">
        <w:rPr>
          <w:rStyle w:val="Appelnotedebasdep"/>
        </w:rPr>
        <w:footnoteRef/>
      </w:r>
      <w:r w:rsidRPr="00B72C78">
        <w:rPr>
          <w:color w:val="000000"/>
          <w:lang w:val="en-US"/>
        </w:rPr>
        <w:tab/>
      </w:r>
      <w:r w:rsidRPr="00B72C78">
        <w:rPr>
          <w:lang w:val="en-US"/>
        </w:rPr>
        <w:t>JIU/REP/82/7.</w:t>
      </w:r>
    </w:p>
  </w:footnote>
  <w:footnote w:id="9">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JIU/REP/95/10.</w:t>
      </w:r>
    </w:p>
  </w:footnote>
  <w:footnote w:id="10">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JIU/REP/2004/10.</w:t>
      </w:r>
    </w:p>
  </w:footnote>
  <w:footnote w:id="11">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JIU/REP/2010/2.</w:t>
      </w:r>
    </w:p>
  </w:footnote>
  <w:footnote w:id="12">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JIU/REP/2012/9.</w:t>
      </w:r>
    </w:p>
  </w:footnote>
  <w:footnote w:id="13">
    <w:p w:rsidR="00ED0903" w:rsidRPr="0075304B" w:rsidRDefault="00ED0903" w:rsidP="00CC73D4">
      <w:pPr>
        <w:pStyle w:val="Notedebasdepage"/>
      </w:pPr>
      <w:r w:rsidRPr="00B72C78">
        <w:rPr>
          <w:lang w:val="en-US"/>
        </w:rPr>
        <w:tab/>
      </w:r>
      <w:r w:rsidRPr="0075304B">
        <w:rPr>
          <w:rStyle w:val="Appelnotedebasdep"/>
        </w:rPr>
        <w:footnoteRef/>
      </w:r>
      <w:r w:rsidRPr="0075304B">
        <w:tab/>
        <w:t>JIU/REP/2010/2, par. 3.</w:t>
      </w:r>
    </w:p>
  </w:footnote>
  <w:footnote w:id="14">
    <w:p w:rsidR="00ED0903" w:rsidRPr="0075304B" w:rsidRDefault="00ED0903" w:rsidP="00CC73D4">
      <w:pPr>
        <w:pStyle w:val="Notedebasdepage"/>
        <w:rPr>
          <w:rFonts w:asciiTheme="majorBidi" w:hAnsiTheme="majorBidi" w:cstheme="majorBidi"/>
        </w:rPr>
      </w:pPr>
      <w:r w:rsidRPr="0075304B">
        <w:tab/>
      </w:r>
      <w:r w:rsidRPr="0075304B">
        <w:rPr>
          <w:rStyle w:val="Appelnotedebasdep"/>
        </w:rPr>
        <w:footnoteRef/>
      </w:r>
      <w:r w:rsidRPr="0075304B">
        <w:tab/>
        <w:t xml:space="preserve">L’Agence internationale de l’énergie atomique </w:t>
      </w:r>
      <w:r w:rsidRPr="0075304B">
        <w:rPr>
          <w:rFonts w:asciiTheme="majorBidi" w:hAnsiTheme="majorBidi" w:cstheme="majorBidi"/>
        </w:rPr>
        <w:t>(AIEA), le Bureau des Nations Unies pour les services d’appui aux projets (UNOPS), le Centre du commerce international (CCI), l’Entité des Nations Unies pour l’égalité des sexes et l’autonomisation des femmes (ONU-Femmes), la FAO, le Fonds des Nations Unies pour la population (FNUAP), le Fonds des Nations Unies pour l’enfance (UNICEF), le Haut-Commissariat des Nations Unies pour les réfugiés (HCR), l’Office de secours et de travaux des Nations Unies pour les réfugiés de Palestine dans le Proche-Orient (UNRWA), l’Office des Nations Unies contre la drogue et le crime (ONUDC), l’OMS, l’Organisation de l’aviation civile internationale (OACI), l’Organisation des Nations Unies pour le développement industriel (ONUDI), l’Organisation internationale du Travail (OIT), l’Organisation maritime internationale (OMI), l’Organisation mondiale de la propriété intellectuelle (OMPI), l’Organisation mondiale du tourisme (OMT), le PAM, le Programme commun des Nations Unies sur le VIH/sida (ONUSIDA), le Programme des Nations Unies pour le développement (PNUD), le Siège de l’ONU et les bureaux hors Siège, l’UNESCO, l’Union internationale des télécommunications (UIT) et l’Union postale universelle (UPU).</w:t>
      </w:r>
    </w:p>
  </w:footnote>
  <w:footnote w:id="15">
    <w:p w:rsidR="00ED0903" w:rsidRPr="0075304B" w:rsidRDefault="00ED0903" w:rsidP="00CC73D4">
      <w:pPr>
        <w:pStyle w:val="Notedebasdepage"/>
      </w:pPr>
      <w:r w:rsidRPr="0075304B">
        <w:tab/>
      </w:r>
      <w:r w:rsidRPr="0075304B">
        <w:rPr>
          <w:rStyle w:val="Appelnotedebasdep"/>
        </w:rPr>
        <w:footnoteRef/>
      </w:r>
      <w:r w:rsidRPr="0075304B">
        <w:tab/>
        <w:t>Jusqu’en 2012 en outre, selon JIU/REP/2012/8, de nombreux organismes n’étaient pas passés aux Normes comptables internationales pour le secteur public qui auraient assuré la disponibilité des informations concernées sur les voyages en avion.</w:t>
      </w:r>
    </w:p>
  </w:footnote>
  <w:footnote w:id="16">
    <w:p w:rsidR="00ED0903" w:rsidRPr="0075304B" w:rsidRDefault="00ED0903" w:rsidP="00CC73D4">
      <w:pPr>
        <w:pStyle w:val="Notedebasdepage"/>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L’</w:t>
      </w:r>
      <w:r w:rsidRPr="0075304B">
        <w:rPr>
          <w:iCs/>
        </w:rPr>
        <w:t xml:space="preserve">Organisation météorologique </w:t>
      </w:r>
      <w:r w:rsidRPr="0075304B">
        <w:t>mondiale (OMM) et le Programme des Nations Unies pour les établissements humains (ONU-Habitat) n’ont pas répondu au questionnaire du CCI destiné aux organismes.</w:t>
      </w:r>
    </w:p>
  </w:footnote>
  <w:footnote w:id="17">
    <w:p w:rsidR="00ED0903" w:rsidRPr="0075304B" w:rsidRDefault="00ED0903" w:rsidP="00CC73D4">
      <w:pPr>
        <w:pStyle w:val="Notedebasdepage"/>
      </w:pPr>
      <w:r w:rsidRPr="0075304B">
        <w:tab/>
      </w:r>
      <w:r w:rsidRPr="0075304B">
        <w:rPr>
          <w:rStyle w:val="Appelnotedebasdep"/>
        </w:rPr>
        <w:footnoteRef/>
      </w:r>
      <w:r w:rsidRPr="0075304B">
        <w:tab/>
        <w:t>Des questionnaires ont été envoyés au secrétariat du Groupe des 77 et de la Chine (à New York) ainsi qu’au coordonnateur du Groupe de Genève (réunissant 18 pays), mais sont restés sans réponse.</w:t>
      </w:r>
    </w:p>
  </w:footnote>
  <w:footnote w:id="18">
    <w:p w:rsidR="00ED0903" w:rsidRPr="0075304B" w:rsidRDefault="00ED0903" w:rsidP="00CC73D4">
      <w:pPr>
        <w:pStyle w:val="Notedebasdepage"/>
      </w:pPr>
      <w:r w:rsidRPr="0075304B">
        <w:tab/>
      </w:r>
      <w:r w:rsidRPr="0075304B">
        <w:rPr>
          <w:rStyle w:val="Appelnotedebasdep"/>
        </w:rPr>
        <w:footnoteRef/>
      </w:r>
      <w:r w:rsidRPr="0075304B">
        <w:tab/>
        <w:t>La période 2012-2015 a été retenue dès lors qu’avant 2012 de nombreux organismes ne disposaient pas pour administrer leurs voyages des progiciels de gestion intégrés qui leur auraient permis de fournir les données requises, et qu’ils n’étaient pas non plus passés aux Normes comptables internationales pour le secteur public.</w:t>
      </w:r>
    </w:p>
  </w:footnote>
  <w:footnote w:id="19">
    <w:p w:rsidR="00ED0903" w:rsidRPr="0075304B" w:rsidRDefault="00ED0903" w:rsidP="00CC73D4">
      <w:pPr>
        <w:pStyle w:val="Notedebasdepage"/>
      </w:pPr>
      <w:r w:rsidRPr="0075304B">
        <w:tab/>
      </w:r>
      <w:r w:rsidRPr="0075304B">
        <w:rPr>
          <w:rStyle w:val="Appelnotedebasdep"/>
        </w:rPr>
        <w:footnoteRef/>
      </w:r>
      <w:r w:rsidRPr="0075304B">
        <w:tab/>
        <w:t>Les exceptions à la communication des informations financières relatives aux voyages en avion et aux prestations connexes se présentent comme suit : a) l’OACI n’a pas rendu compte de ses dépenses relatives aux voyages des non-fonctionnaires ; b) le CCI</w:t>
      </w:r>
      <w:r w:rsidRPr="0075304B">
        <w:rPr>
          <w:sz w:val="20"/>
        </w:rPr>
        <w:t>*</w:t>
      </w:r>
      <w:r w:rsidRPr="0075304B">
        <w:t xml:space="preserve"> a rendu compte de ses dépenses relatives aux billets d’avion seulement, sur la base de données extraites du système de son agence de voyages, et n’a pas inclus les billets remboursés ou échangés ; c) le Siège de l’ONU a rendu compte de ses dépenses relatives aux billets d’avion seulement ; d) ONU-Femmes n’a pas rendu compte de ses dépenses relatives aux voyages pour 2012, et les chiffres fournis représentent la totalité de ses dépenses au titre des voyages, pour toutes les sources de financement, à savoir les ressources ordinaires (ou ressources de base), les autres ressources (ou ressources autres que les ressources de base), les ressources extrabudgétaires et les ressources inscrites au budget ordinaire ; e) le PNUD a rendu compte de ses dépenses pour toutes les formes de voyage ; f) le FNUAP a rendu compte de ses dépenses relatives aux voyages telles qu’elles figuraient dans se</w:t>
      </w:r>
      <w:r w:rsidRPr="0075304B">
        <w:rPr>
          <w:rFonts w:eastAsia="Calibri"/>
          <w:color w:val="000000"/>
          <w:lang w:eastAsia="en-GB"/>
        </w:rPr>
        <w:t>s états financiers, relativement aux programmes et aux activités de gestion, pour toutes les sources de financement et toutes les formes de transport, les voyages statutaires ayant été exclus de ces chiffres ;</w:t>
      </w:r>
      <w:r w:rsidRPr="0075304B" w:rsidDel="00E02FE1">
        <w:t xml:space="preserve"> </w:t>
      </w:r>
      <w:r w:rsidRPr="0075304B">
        <w:t>g) l’UNICEF a rendu compte de ses dépenses relatives aux voyages des non-fonctionnaires en incluant tous les modes de transport (aérien, terrestre, par voie d’eau) ; h) l’OMT n’a pas rendu compte de ses dépenses relatives aux voyages des non-fonctionnaires pour 2014 et 2015 ; i) le PAM a rendu compte de ses dépenses pour tous les modes de transport ; bien que 70 % de tous les trajets soient effectués par route au moyen de véhicules du PAM, les voyages en avion et les prestations connexes constituent néanmoins la plus grosse part du poste des voyages au PAM (par exemple, 65 % en 2016).</w:t>
      </w:r>
    </w:p>
  </w:footnote>
  <w:footnote w:id="20">
    <w:p w:rsidR="00ED0903" w:rsidRPr="0075304B" w:rsidRDefault="00ED0903" w:rsidP="00CC73D4">
      <w:pPr>
        <w:pStyle w:val="Notedebasdepage"/>
      </w:pPr>
      <w:r w:rsidRPr="0075304B">
        <w:tab/>
      </w:r>
      <w:r w:rsidRPr="0075304B">
        <w:rPr>
          <w:rStyle w:val="Appelnotedebasdep"/>
        </w:rPr>
        <w:footnoteRef/>
      </w:r>
      <w:r w:rsidRPr="0075304B">
        <w:tab/>
        <w:t>L’OMM n’a pas rendu compte de ses dépenses relatives aux voyages. Dans le cas du Programme des Nations Unies pour l’environnement (PNUE), seules sont disponibles des données partielles portant principalement sur les voyages au départ ou à destination de leurs sièges. Dans le cas du Secrétariat de l’ONU, les données font défaut pour toutes les entités autres que le Siège de l’ONU, l’Office des Nations à Genève (ONUG), l’Office des Nations Unies à Nairobi (ONUN) et l’Office des Nations Unies à Vienne (ONUV) ; elles sont notamment absentes pour la Commission économique pour l’Afrique (CEA), la Commission économique pour l’Amérique latine et les Caraïbes (CEPALC), la Commission économique et sociale pour l’Asie et le Pacifique (CESAP), la Commission économique et sociale pour l’Asie occidentale (CESAO), le Tribunal pénal international pour le Rwanda (TPIR), le Tribunal pénal international pour l’ex-Yougoslavie (TPIY), l’Université des Nations Unies (UNU) et les Volontaires des Nations Unies (VNA).</w:t>
      </w:r>
    </w:p>
  </w:footnote>
  <w:footnote w:id="21">
    <w:p w:rsidR="00ED0903" w:rsidRPr="0075304B" w:rsidRDefault="00ED0903" w:rsidP="00CC73D4">
      <w:pPr>
        <w:pStyle w:val="Notedebasdepage"/>
      </w:pPr>
      <w:r w:rsidRPr="0075304B">
        <w:tab/>
      </w:r>
      <w:r w:rsidRPr="0075304B">
        <w:rPr>
          <w:rStyle w:val="Appelnotedebasdep"/>
        </w:rPr>
        <w:footnoteRef/>
      </w:r>
      <w:r w:rsidRPr="0075304B">
        <w:tab/>
        <w:t>Données relatives à ONU-Femmes indisponibles pour 2012.</w:t>
      </w:r>
    </w:p>
  </w:footnote>
  <w:footnote w:id="22">
    <w:p w:rsidR="00ED0903" w:rsidRPr="0075304B" w:rsidRDefault="00ED0903" w:rsidP="00CC73D4">
      <w:pPr>
        <w:pStyle w:val="Notedebasdepage"/>
      </w:pPr>
      <w:r w:rsidRPr="0075304B">
        <w:tab/>
      </w:r>
      <w:r w:rsidRPr="0075304B">
        <w:rPr>
          <w:rStyle w:val="Appelnotedebasdep"/>
        </w:rPr>
        <w:footnoteRef/>
      </w:r>
      <w:r w:rsidRPr="0075304B">
        <w:tab/>
        <w:t>L’AIEA étant un organisme dont les activités sont concentrées au siège, les déplacements de non</w:t>
      </w:r>
      <w:r w:rsidRPr="0075304B">
        <w:noBreakHyphen/>
        <w:t>fonctionnaires y représentent 62 % des dépenses relatives aux voyages, lesquelles sont principalement axées sur la prestation de services de coopération technique</w:t>
      </w:r>
      <w:r w:rsidRPr="0075304B">
        <w:rPr>
          <w:rFonts w:eastAsia="Calibri"/>
          <w:color w:val="000000"/>
          <w:lang w:eastAsia="en-GB"/>
        </w:rPr>
        <w:t>.</w:t>
      </w:r>
    </w:p>
  </w:footnote>
  <w:footnote w:id="23">
    <w:p w:rsidR="00ED0903" w:rsidRPr="0075304B" w:rsidRDefault="00ED0903" w:rsidP="00CC73D4">
      <w:pPr>
        <w:pStyle w:val="Notedebasdepage"/>
      </w:pPr>
      <w:r w:rsidRPr="0075304B">
        <w:tab/>
      </w:r>
      <w:r w:rsidRPr="0075304B">
        <w:rPr>
          <w:rStyle w:val="Appelnotedebasdep"/>
        </w:rPr>
        <w:footnoteRef/>
      </w:r>
      <w:r w:rsidRPr="0075304B">
        <w:tab/>
        <w:t>Le pourcentage effectif dans le cas du Secrétariat de l’ONU est plus élevé que ce qui est indiqué dans le tableau étant donné l’absence de données relatives aux voyages en avion des entités du Secrétariat de l’ONU autres que celles relevant du Siège et des bureaux hors Siège.</w:t>
      </w:r>
    </w:p>
  </w:footnote>
  <w:footnote w:id="24">
    <w:p w:rsidR="00ED0903" w:rsidRPr="0075304B" w:rsidRDefault="00ED0903" w:rsidP="00CC73D4">
      <w:pPr>
        <w:pStyle w:val="Notedebasdepage"/>
      </w:pPr>
      <w:r w:rsidRPr="0075304B">
        <w:tab/>
      </w:r>
      <w:r w:rsidRPr="0075304B">
        <w:rPr>
          <w:rStyle w:val="Appelnotedebasdep"/>
        </w:rPr>
        <w:footnoteRef/>
      </w:r>
      <w:r w:rsidRPr="0075304B">
        <w:tab/>
        <w:t>Voir les résolutions 42/214, 45/248 A, 63/268, 65/268, 67/254 et 69/274 de l’Assemblée générale ; la décision 57/589 de l’Assemblée générale ; et les rapports A/59/573, A/63/715, A/65/632, A/67/636, A/69/787 et A/71/822 du Comité consultatif pour les questions administratives et budgétaires.</w:t>
      </w:r>
    </w:p>
  </w:footnote>
  <w:footnote w:id="25">
    <w:p w:rsidR="00ED0903" w:rsidRPr="0075304B" w:rsidRDefault="00ED0903" w:rsidP="00CC73D4">
      <w:pPr>
        <w:pStyle w:val="Notedebasdepage"/>
      </w:pPr>
      <w:r w:rsidRPr="0075304B">
        <w:tab/>
      </w:r>
      <w:r w:rsidRPr="0075304B">
        <w:rPr>
          <w:rStyle w:val="Appelnotedebasdep"/>
        </w:rPr>
        <w:footnoteRef/>
      </w:r>
      <w:r w:rsidRPr="0075304B">
        <w:tab/>
        <w:t>Résolutions 42/214, 45/248 A, 53/214, 65/268 et 67/254 ; décisions 40/555, 44/442, 46/450 et 57/589.</w:t>
      </w:r>
    </w:p>
  </w:footnote>
  <w:footnote w:id="26">
    <w:p w:rsidR="00ED0903" w:rsidRPr="0075304B" w:rsidRDefault="00ED0903" w:rsidP="00CC73D4">
      <w:pPr>
        <w:pStyle w:val="Notedebasdepage"/>
      </w:pPr>
      <w:r w:rsidRPr="0075304B">
        <w:tab/>
      </w:r>
      <w:r w:rsidRPr="0075304B">
        <w:rPr>
          <w:rStyle w:val="Appelnotedebasdep"/>
        </w:rPr>
        <w:footnoteRef/>
      </w:r>
      <w:r w:rsidRPr="0075304B">
        <w:tab/>
      </w:r>
      <w:r w:rsidRPr="0075304B">
        <w:rPr>
          <w:rStyle w:val="Appelnotedebasdep"/>
          <w:vertAlign w:val="baseline"/>
        </w:rPr>
        <w:t>Résolution </w:t>
      </w:r>
      <w:r w:rsidRPr="0075304B">
        <w:t>60/255 de l’Assemblée générale, sect. IV, par. 2.</w:t>
      </w:r>
    </w:p>
  </w:footnote>
  <w:footnote w:id="27">
    <w:p w:rsidR="00ED0903" w:rsidRPr="0075304B" w:rsidRDefault="00ED0903" w:rsidP="00CC73D4">
      <w:pPr>
        <w:pStyle w:val="Notedebasdepage"/>
      </w:pPr>
      <w:r w:rsidRPr="0075304B">
        <w:tab/>
      </w:r>
      <w:r w:rsidRPr="0075304B">
        <w:rPr>
          <w:rStyle w:val="Appelnotedebasdep"/>
        </w:rPr>
        <w:footnoteRef/>
      </w:r>
      <w:r w:rsidRPr="0075304B">
        <w:tab/>
        <w:t>A/65/386, par. 6.</w:t>
      </w:r>
    </w:p>
  </w:footnote>
  <w:footnote w:id="28">
    <w:p w:rsidR="00ED0903" w:rsidRPr="0075304B" w:rsidRDefault="00ED0903" w:rsidP="00CC73D4">
      <w:pPr>
        <w:pStyle w:val="Notedebasdepage"/>
      </w:pPr>
      <w:r w:rsidRPr="0075304B">
        <w:tab/>
      </w:r>
      <w:r w:rsidRPr="0075304B">
        <w:rPr>
          <w:rStyle w:val="Appelnotedebasdep"/>
        </w:rPr>
        <w:footnoteRef/>
      </w:r>
      <w:r w:rsidRPr="0075304B">
        <w:tab/>
        <w:t>A/61/801, par. 1.</w:t>
      </w:r>
    </w:p>
  </w:footnote>
  <w:footnote w:id="29">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L’AIEA, l’OMI, l’OMM, l’OMPI, l’OMT, l’ONU et l’UIT.</w:t>
      </w:r>
    </w:p>
  </w:footnote>
  <w:footnote w:id="30">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Nomination, changement de lieu d’affectation, cessation de service et rapatriement, et visite familiale.</w:t>
      </w:r>
    </w:p>
  </w:footnote>
  <w:footnote w:id="31">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JIU/REP/2004/10, par. 20.</w:t>
      </w:r>
    </w:p>
  </w:footnote>
  <w:footnote w:id="32">
    <w:p w:rsidR="00ED0903" w:rsidRPr="0075304B" w:rsidRDefault="00ED0903" w:rsidP="00CC73D4">
      <w:pPr>
        <w:pStyle w:val="Notedebasdepage"/>
      </w:pPr>
      <w:r w:rsidRPr="0075304B">
        <w:tab/>
      </w:r>
      <w:r w:rsidRPr="0075304B">
        <w:rPr>
          <w:rStyle w:val="Appelnotedebasdep"/>
        </w:rPr>
        <w:footnoteRef/>
      </w:r>
      <w:r w:rsidRPr="0075304B">
        <w:tab/>
        <w:t>L’Administrateur du PNUD a droit à la classe affaires, peu importe la durée du voyage.</w:t>
      </w:r>
    </w:p>
  </w:footnote>
  <w:footnote w:id="33">
    <w:p w:rsidR="00ED0903" w:rsidRPr="0075304B" w:rsidRDefault="00ED0903" w:rsidP="00CC73D4">
      <w:pPr>
        <w:pStyle w:val="Notedebasdepage"/>
      </w:pPr>
      <w:r w:rsidRPr="0075304B">
        <w:tab/>
      </w:r>
      <w:r w:rsidRPr="0075304B">
        <w:rPr>
          <w:rStyle w:val="Appelnotedebasdep"/>
        </w:rPr>
        <w:footnoteRef/>
      </w:r>
      <w:r w:rsidRPr="0075304B">
        <w:tab/>
        <w:t>L’OACI, l’OIT, l’OMI et l’OMM à l’époque.</w:t>
      </w:r>
    </w:p>
  </w:footnote>
  <w:footnote w:id="34">
    <w:p w:rsidR="00ED0903" w:rsidRPr="0075304B" w:rsidRDefault="00ED0903" w:rsidP="00CC73D4">
      <w:pPr>
        <w:pStyle w:val="Notedebasdepage"/>
      </w:pPr>
      <w:r w:rsidRPr="0075304B">
        <w:tab/>
      </w:r>
      <w:r w:rsidRPr="0075304B">
        <w:rPr>
          <w:rStyle w:val="Appelnotedebasdep"/>
        </w:rPr>
        <w:footnoteRef/>
      </w:r>
      <w:r w:rsidRPr="0075304B">
        <w:tab/>
        <w:t xml:space="preserve">Pour les </w:t>
      </w:r>
      <w:r w:rsidRPr="0075304B">
        <w:rPr>
          <w:rFonts w:eastAsia="Calibri"/>
          <w:color w:val="000000"/>
          <w:lang w:eastAsia="en-GB"/>
        </w:rPr>
        <w:t>missions de courte durée, c’est-à-dire qui comprennent un séjour de trois jours ou moins au lieu de destination, si le temps de vol moyen est de plus de neuf heures par l’itinéraire le plus direct, le voyage peut s’effectuer dans la classe immédiatement supérieure à la classe économique. Pour tous les autres déplacements, y compris les autres formes de voyage, la classe économique est de rigueur.</w:t>
      </w:r>
    </w:p>
  </w:footnote>
  <w:footnote w:id="35">
    <w:p w:rsidR="00ED0903" w:rsidRPr="0075304B" w:rsidRDefault="00ED0903" w:rsidP="00CC73D4">
      <w:pPr>
        <w:pStyle w:val="Notedebasdepage"/>
      </w:pPr>
      <w:r w:rsidRPr="0075304B">
        <w:tab/>
      </w:r>
      <w:r w:rsidRPr="0075304B">
        <w:rPr>
          <w:rStyle w:val="Appelnotedebasdep"/>
        </w:rPr>
        <w:footnoteRef/>
      </w:r>
      <w:r w:rsidRPr="0075304B">
        <w:tab/>
        <w:t>ST/AI/2013/3, par. 4.3 d).</w:t>
      </w:r>
    </w:p>
  </w:footnote>
  <w:footnote w:id="36">
    <w:p w:rsidR="00ED0903" w:rsidRPr="0075304B" w:rsidRDefault="00ED0903" w:rsidP="00CC73D4">
      <w:pPr>
        <w:pStyle w:val="Notedebasdepage"/>
      </w:pPr>
      <w:r w:rsidRPr="0075304B">
        <w:tab/>
      </w:r>
      <w:r w:rsidRPr="0075304B">
        <w:rPr>
          <w:rStyle w:val="Appelnotedebasdep"/>
        </w:rPr>
        <w:footnoteRef/>
      </w:r>
      <w:r w:rsidRPr="0075304B">
        <w:tab/>
        <w:t>ST/AI/2013/3, par. 4.2.</w:t>
      </w:r>
    </w:p>
  </w:footnote>
  <w:footnote w:id="37">
    <w:p w:rsidR="00ED0903" w:rsidRPr="00D120EC" w:rsidRDefault="00ED0903" w:rsidP="00CC73D4">
      <w:pPr>
        <w:pStyle w:val="Notedebasdepage"/>
        <w:rPr>
          <w:lang w:val="en-US"/>
        </w:rPr>
      </w:pPr>
      <w:r w:rsidRPr="0075304B">
        <w:tab/>
      </w:r>
      <w:r w:rsidRPr="0075304B">
        <w:rPr>
          <w:rStyle w:val="Appelnotedebasdep"/>
        </w:rPr>
        <w:footnoteRef/>
      </w:r>
      <w:r w:rsidRPr="00B72C78">
        <w:rPr>
          <w:lang w:val="en-US"/>
        </w:rPr>
        <w:tab/>
        <w:t>OIT, IGDS n</w:t>
      </w:r>
      <w:r w:rsidRPr="00B72C78">
        <w:rPr>
          <w:vertAlign w:val="superscript"/>
          <w:lang w:val="en-US"/>
        </w:rPr>
        <w:t>o</w:t>
      </w:r>
      <w:r w:rsidRPr="00B72C78">
        <w:rPr>
          <w:lang w:val="en-US"/>
        </w:rPr>
        <w:t> 437 (version 1), sect. </w:t>
      </w:r>
      <w:r w:rsidRPr="00D120EC">
        <w:rPr>
          <w:lang w:val="en-US"/>
        </w:rPr>
        <w:t>6.1.2 a).</w:t>
      </w:r>
    </w:p>
  </w:footnote>
  <w:footnote w:id="38">
    <w:p w:rsidR="00ED0903" w:rsidRPr="0075304B" w:rsidRDefault="00ED0903" w:rsidP="00CC73D4">
      <w:pPr>
        <w:pStyle w:val="Notedebasdepage"/>
      </w:pPr>
      <w:r w:rsidRPr="00D120EC">
        <w:rPr>
          <w:lang w:val="en-US"/>
        </w:rPr>
        <w:tab/>
      </w:r>
      <w:r w:rsidRPr="0075304B">
        <w:rPr>
          <w:rStyle w:val="Appelnotedebasdep"/>
        </w:rPr>
        <w:footnoteRef/>
      </w:r>
      <w:r w:rsidRPr="0075304B">
        <w:tab/>
        <w:t>AIEA, Manuel administratif (AM.II/9), sect. 9, par. 28.</w:t>
      </w:r>
    </w:p>
  </w:footnote>
  <w:footnote w:id="39">
    <w:p w:rsidR="00ED0903" w:rsidRPr="0075304B" w:rsidRDefault="00ED0903" w:rsidP="00CC73D4">
      <w:pPr>
        <w:pStyle w:val="Notedebasdepage"/>
      </w:pPr>
      <w:r w:rsidRPr="0075304B">
        <w:tab/>
      </w:r>
      <w:r w:rsidRPr="0075304B">
        <w:rPr>
          <w:rStyle w:val="Appelnotedebasdep"/>
        </w:rPr>
        <w:footnoteRef/>
      </w:r>
      <w:r w:rsidRPr="0075304B">
        <w:tab/>
        <w:t>OACI, Règlement du personnel, règle 107.1 (Code du personnel, art. VII, par. 22).</w:t>
      </w:r>
    </w:p>
  </w:footnote>
  <w:footnote w:id="40">
    <w:p w:rsidR="00ED0903" w:rsidRPr="0075304B" w:rsidRDefault="00ED0903" w:rsidP="00CC73D4">
      <w:pPr>
        <w:pStyle w:val="Notedebasdepage"/>
      </w:pPr>
      <w:r w:rsidRPr="0075304B">
        <w:tab/>
      </w:r>
      <w:r w:rsidRPr="0075304B">
        <w:rPr>
          <w:rStyle w:val="Appelnotedebasdep"/>
        </w:rPr>
        <w:footnoteRef/>
      </w:r>
      <w:r w:rsidRPr="0075304B">
        <w:tab/>
        <w:t>PAM, Manuel des voyages, sect. 1.3.2.</w:t>
      </w:r>
    </w:p>
  </w:footnote>
  <w:footnote w:id="41">
    <w:p w:rsidR="00ED0903" w:rsidRPr="0075304B" w:rsidRDefault="00ED0903" w:rsidP="00CC73D4">
      <w:pPr>
        <w:pStyle w:val="Notedebasdepage"/>
        <w:rPr>
          <w:rFonts w:asciiTheme="majorBidi" w:hAnsiTheme="majorBidi"/>
        </w:rPr>
      </w:pPr>
      <w:r w:rsidRPr="0075304B">
        <w:rPr>
          <w:rFonts w:asciiTheme="majorBidi" w:hAnsiTheme="majorBidi"/>
        </w:rPr>
        <w:tab/>
      </w:r>
      <w:r w:rsidRPr="0075304B">
        <w:rPr>
          <w:rStyle w:val="Appelnotedebasdep"/>
        </w:rPr>
        <w:footnoteRef/>
      </w:r>
      <w:r w:rsidRPr="0075304B">
        <w:rPr>
          <w:rFonts w:asciiTheme="majorBidi" w:hAnsiTheme="majorBidi"/>
        </w:rPr>
        <w:tab/>
        <w:t>FAO, réponses au questionnaire et Rapport sur l’exécution du programme 2012-2013 (C 2015/8), par. 428.</w:t>
      </w:r>
    </w:p>
  </w:footnote>
  <w:footnote w:id="42">
    <w:p w:rsidR="00ED0903" w:rsidRPr="0075304B" w:rsidRDefault="00ED0903" w:rsidP="00CC73D4">
      <w:pPr>
        <w:pStyle w:val="Notedebasdepage"/>
      </w:pPr>
      <w:r w:rsidRPr="0075304B">
        <w:tab/>
      </w:r>
      <w:r w:rsidRPr="0075304B">
        <w:rPr>
          <w:rStyle w:val="Appelnotedebasdep"/>
        </w:rPr>
        <w:footnoteRef/>
      </w:r>
      <w:r w:rsidRPr="0075304B">
        <w:tab/>
      </w:r>
      <w:r w:rsidRPr="0075304B">
        <w:rPr>
          <w:rFonts w:asciiTheme="majorBidi" w:hAnsiTheme="majorBidi"/>
        </w:rPr>
        <w:t>Note de la Directrice générale de l’UNESCO : DG/NOTE/12/11REV, par. 2 a).</w:t>
      </w:r>
    </w:p>
  </w:footnote>
  <w:footnote w:id="43">
    <w:p w:rsidR="00ED0903" w:rsidRPr="00B72C78" w:rsidRDefault="00ED0903" w:rsidP="00CC73D4">
      <w:pPr>
        <w:pStyle w:val="Notedebasdepage"/>
        <w:rPr>
          <w:rFonts w:asciiTheme="majorBidi" w:hAnsiTheme="majorBidi"/>
          <w:lang w:val="en-US"/>
        </w:rPr>
      </w:pPr>
      <w:r w:rsidRPr="0075304B">
        <w:tab/>
      </w:r>
      <w:r w:rsidRPr="0075304B">
        <w:rPr>
          <w:rStyle w:val="Appelnotedebasdep"/>
        </w:rPr>
        <w:footnoteRef/>
      </w:r>
      <w:r w:rsidRPr="00B72C78">
        <w:rPr>
          <w:lang w:val="en-US"/>
        </w:rPr>
        <w:tab/>
        <w:t>AIEA, SEC/DIR/218 −</w:t>
      </w:r>
      <w:r w:rsidRPr="00B72C78">
        <w:rPr>
          <w:rFonts w:asciiTheme="majorBidi" w:hAnsiTheme="majorBidi"/>
          <w:lang w:val="en-US"/>
        </w:rPr>
        <w:t xml:space="preserve"> Revised Staff Rules and Procedures Relating to Common Staff Cost Travel.</w:t>
      </w:r>
    </w:p>
  </w:footnote>
  <w:footnote w:id="44">
    <w:p w:rsidR="00ED0903" w:rsidRPr="00B72C78" w:rsidRDefault="00ED0903" w:rsidP="00CC73D4">
      <w:pPr>
        <w:pStyle w:val="Notedebasdepage"/>
        <w:rPr>
          <w:rFonts w:asciiTheme="majorBidi" w:hAnsiTheme="majorBidi"/>
          <w:lang w:val="en-US"/>
        </w:rPr>
      </w:pPr>
      <w:r w:rsidRPr="00B72C78">
        <w:rPr>
          <w:rFonts w:asciiTheme="majorBidi" w:hAnsiTheme="majorBidi"/>
          <w:lang w:val="en-US"/>
        </w:rPr>
        <w:tab/>
      </w:r>
      <w:r w:rsidRPr="0075304B">
        <w:rPr>
          <w:rStyle w:val="Appelnotedebasdep"/>
        </w:rPr>
        <w:footnoteRef/>
      </w:r>
      <w:r w:rsidRPr="00B72C78">
        <w:rPr>
          <w:rFonts w:asciiTheme="majorBidi" w:hAnsiTheme="majorBidi"/>
          <w:lang w:val="en-US"/>
        </w:rPr>
        <w:tab/>
        <w:t>AIEA, SEC/DIR/220 − Revised Staff Rules and Procedures Relating to Travel.</w:t>
      </w:r>
    </w:p>
  </w:footnote>
  <w:footnote w:id="45">
    <w:p w:rsidR="00ED0903" w:rsidRPr="0075304B" w:rsidRDefault="00ED0903" w:rsidP="00CC73D4">
      <w:pPr>
        <w:pStyle w:val="Notedebasdepage"/>
        <w:rPr>
          <w:rFonts w:asciiTheme="majorBidi" w:hAnsiTheme="majorBidi"/>
        </w:rPr>
      </w:pPr>
      <w:r w:rsidRPr="00B72C78">
        <w:rPr>
          <w:rFonts w:asciiTheme="majorBidi" w:hAnsiTheme="majorBidi"/>
          <w:lang w:val="en-US"/>
        </w:rPr>
        <w:tab/>
      </w:r>
      <w:r w:rsidRPr="0075304B">
        <w:rPr>
          <w:rStyle w:val="Appelnotedebasdep"/>
        </w:rPr>
        <w:footnoteRef/>
      </w:r>
      <w:r w:rsidRPr="0075304B">
        <w:rPr>
          <w:rFonts w:asciiTheme="majorBidi" w:hAnsiTheme="majorBidi"/>
        </w:rPr>
        <w:tab/>
        <w:t>ST/AI/2013/3, par. 4.3 e) et 4.5.</w:t>
      </w:r>
    </w:p>
  </w:footnote>
  <w:footnote w:id="46">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Les États-Unis (classe affaires à partir de 14 heures), la France (classe supérieure à la classe économique à partir de 7 heures) et le Royaume-Uni de Grande-Bretagne et d’Irlande du Nord (classe affaires à partir de 10 heures moyennant autorisation de la hiérarchie).</w:t>
      </w:r>
    </w:p>
  </w:footnote>
  <w:footnote w:id="47">
    <w:p w:rsidR="00ED0903" w:rsidRPr="0075304B" w:rsidRDefault="00ED0903" w:rsidP="00CC73D4">
      <w:pPr>
        <w:pStyle w:val="Notedebasdepage"/>
      </w:pPr>
      <w:r w:rsidRPr="0075304B">
        <w:tab/>
      </w:r>
      <w:r w:rsidRPr="0075304B">
        <w:rPr>
          <w:rStyle w:val="Appelnotedebasdep"/>
        </w:rPr>
        <w:footnoteRef/>
      </w:r>
      <w:r w:rsidRPr="0075304B">
        <w:tab/>
        <w:t>FIDA, Manuel des voyages, sect. 1.1.2.</w:t>
      </w:r>
    </w:p>
  </w:footnote>
  <w:footnote w:id="48">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 xml:space="preserve">OCDE, Direction exécutive, </w:t>
      </w:r>
      <w:r w:rsidRPr="0075304B">
        <w:rPr>
          <w:rFonts w:asciiTheme="majorBidi" w:hAnsiTheme="majorBidi" w:cstheme="majorBidi"/>
          <w:i/>
        </w:rPr>
        <w:t>Human resources management on mission</w:t>
      </w:r>
      <w:r w:rsidRPr="0075304B">
        <w:rPr>
          <w:rFonts w:asciiTheme="majorBidi" w:hAnsiTheme="majorBidi" w:cstheme="majorBidi"/>
        </w:rPr>
        <w:t>, par. 5.</w:t>
      </w:r>
    </w:p>
  </w:footnote>
  <w:footnote w:id="49">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Classe économique entre Genève et Washington pour tout le personnel sauf les membres du Comité exécutif de direction.</w:t>
      </w:r>
    </w:p>
  </w:footnote>
  <w:footnote w:id="50">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 xml:space="preserve">Classe affaires pour l’équipe exécutive (président, vice-président exécutif et vice-présidents), les directeurs généraux, les directeurs et les autres cadres supérieurs. </w:t>
      </w:r>
      <w:r w:rsidRPr="0075304B">
        <w:rPr>
          <w:rFonts w:asciiTheme="majorBidi" w:hAnsiTheme="majorBidi" w:cstheme="majorBidi"/>
          <w:i/>
        </w:rPr>
        <w:t>Source</w:t>
      </w:r>
      <w:r w:rsidRPr="0075304B">
        <w:rPr>
          <w:rFonts w:asciiTheme="majorBidi" w:hAnsiTheme="majorBidi" w:cstheme="majorBidi"/>
        </w:rPr>
        <w:t xml:space="preserve"> : AM-501 − </w:t>
      </w:r>
      <w:r w:rsidRPr="008C1C43">
        <w:rPr>
          <w:rFonts w:asciiTheme="majorBidi" w:hAnsiTheme="majorBidi" w:cstheme="majorBidi"/>
        </w:rPr>
        <w:t>Business Travel Policy</w:t>
      </w:r>
      <w:r w:rsidRPr="0075304B">
        <w:rPr>
          <w:rFonts w:asciiTheme="majorBidi" w:hAnsiTheme="majorBidi" w:cstheme="majorBidi"/>
        </w:rPr>
        <w:t>.</w:t>
      </w:r>
    </w:p>
  </w:footnote>
  <w:footnote w:id="51">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 xml:space="preserve">Les catégories de non-fonctionnaires comprennent notamment les consultants et vacataires, les experts, les volontaires des Nations Unies, les stagiaires, les membres des conseils d’administration et des conseils exécutifs, les participants aux réunions, les hautes personnalités et les personnalités éminentes, et les membres des groupes et comités d’experts établis soit par les organes délibérants, soit par les chefs de secrétariat des organismes. </w:t>
      </w:r>
    </w:p>
  </w:footnote>
  <w:footnote w:id="52">
    <w:p w:rsidR="00ED0903" w:rsidRPr="0075304B" w:rsidRDefault="00ED0903" w:rsidP="00CC73D4">
      <w:pPr>
        <w:pStyle w:val="Notedebasdepage"/>
        <w:rPr>
          <w:rFonts w:ascii="Times" w:eastAsiaTheme="minorEastAsia" w:hAnsi="Times" w:cstheme="minorBidi"/>
          <w:highlight w:val="cyan"/>
        </w:rPr>
      </w:pPr>
      <w:r w:rsidRPr="0075304B">
        <w:tab/>
      </w:r>
      <w:r w:rsidRPr="0075304B">
        <w:rPr>
          <w:rStyle w:val="Appelnotedebasdep"/>
        </w:rPr>
        <w:footnoteRef/>
      </w:r>
      <w:r w:rsidRPr="0075304B">
        <w:tab/>
        <w:t xml:space="preserve">Les organes subsidiaires de l’Assemblée générale se répartissent entre commissions, comités, conseils, groupes de travail et groupes d’experts et autres. La liste complète est consultable à l’adresse suivante : </w:t>
      </w:r>
      <w:hyperlink r:id="rId1" w:history="1">
        <w:r w:rsidRPr="0075304B">
          <w:rPr>
            <w:rStyle w:val="Lienhypertexte"/>
          </w:rPr>
          <w:t>www.un.org/fr/ga/about/subsidiary/index.shtml</w:t>
        </w:r>
      </w:hyperlink>
      <w:r w:rsidRPr="0075304B">
        <w:t>.</w:t>
      </w:r>
    </w:p>
  </w:footnote>
  <w:footnote w:id="53">
    <w:p w:rsidR="00ED0903" w:rsidRPr="0075304B" w:rsidRDefault="00ED0903" w:rsidP="00CC73D4">
      <w:pPr>
        <w:pStyle w:val="Notedebasdepage"/>
      </w:pPr>
      <w:r w:rsidRPr="0075304B">
        <w:tab/>
      </w:r>
      <w:r w:rsidRPr="0075304B">
        <w:rPr>
          <w:rStyle w:val="Appelnotedebasdep"/>
        </w:rPr>
        <w:footnoteRef/>
      </w:r>
      <w:r w:rsidRPr="0075304B">
        <w:tab/>
        <w:t>Seulement pour les membres du Conseil d’administration à ONU-Femmes.</w:t>
      </w:r>
    </w:p>
  </w:footnote>
  <w:footnote w:id="54">
    <w:p w:rsidR="00ED0903" w:rsidRPr="0075304B" w:rsidRDefault="00ED0903" w:rsidP="00CC73D4">
      <w:pPr>
        <w:pStyle w:val="Notedebasdepage"/>
      </w:pPr>
      <w:r w:rsidRPr="0075304B">
        <w:tab/>
      </w:r>
      <w:r w:rsidRPr="0075304B">
        <w:rPr>
          <w:rStyle w:val="Appelnotedebasdep"/>
        </w:rPr>
        <w:footnoteRef/>
      </w:r>
      <w:r w:rsidRPr="0075304B">
        <w:tab/>
        <w:t xml:space="preserve">Seulement pour les représentants permanents accrédités et les membres du Comité pour l’élimination de la discrimination à l’égard des femmes, conformément à la circulaire </w:t>
      </w:r>
      <w:r w:rsidRPr="0075304B">
        <w:rPr>
          <w:rFonts w:eastAsia="Calibri"/>
          <w:color w:val="000000"/>
          <w:lang w:eastAsia="en-GB"/>
        </w:rPr>
        <w:t>ST/SGB/107/Rev.6</w:t>
      </w:r>
      <w:r w:rsidRPr="0075304B">
        <w:t>.</w:t>
      </w:r>
    </w:p>
  </w:footnote>
  <w:footnote w:id="55">
    <w:p w:rsidR="00ED0903" w:rsidRPr="0075304B" w:rsidRDefault="00ED0903" w:rsidP="00CC73D4">
      <w:pPr>
        <w:pStyle w:val="Notedebasdepage"/>
      </w:pPr>
      <w:r w:rsidRPr="0075304B">
        <w:tab/>
      </w:r>
      <w:r w:rsidRPr="0075304B">
        <w:rPr>
          <w:rStyle w:val="Appelnotedebasdep"/>
        </w:rPr>
        <w:footnoteRef/>
      </w:r>
      <w:r w:rsidRPr="0075304B">
        <w:tab/>
        <w:t>Cette catégorie représente la plus grosse part des déplacements de personnes n’appartenant pas au personnel de l’AIEA aux fins de l’exécution de ses programmes, notamment de la prestation de ses services de coopération technique.</w:t>
      </w:r>
    </w:p>
  </w:footnote>
  <w:footnote w:id="56">
    <w:p w:rsidR="00ED0903" w:rsidRPr="0075304B" w:rsidRDefault="00ED0903" w:rsidP="00CC73D4">
      <w:pPr>
        <w:pStyle w:val="Notedebasdepage"/>
      </w:pPr>
      <w:r w:rsidRPr="0075304B">
        <w:tab/>
      </w:r>
      <w:r w:rsidRPr="0075304B">
        <w:rPr>
          <w:rStyle w:val="Appelnotedebasdep"/>
        </w:rPr>
        <w:footnoteRef/>
      </w:r>
      <w:r w:rsidRPr="0075304B">
        <w:tab/>
        <w:t>ONU-Femmes</w:t>
      </w:r>
      <w:r w:rsidRPr="0075304B">
        <w:rPr>
          <w:rFonts w:eastAsia="Calibri"/>
          <w:color w:val="000000"/>
          <w:lang w:eastAsia="en-GB"/>
        </w:rPr>
        <w:t xml:space="preserve"> applique la classe économique, peu importe la durée du voyage, aux représentants gouvernementaux, à moins que les personnes en question ne soient membres de la Commission de la condition de la femme ou du </w:t>
      </w:r>
      <w:r w:rsidRPr="0075304B">
        <w:t>Comité pour l’élimination de la discrimination à l’égard des femmes</w:t>
      </w:r>
      <w:r w:rsidRPr="0075304B">
        <w:rPr>
          <w:rFonts w:eastAsia="Calibri"/>
          <w:color w:val="000000"/>
          <w:lang w:eastAsia="en-GB"/>
        </w:rPr>
        <w:t>. Seuls les représentants éminents, tels les ministres, se voient proposer la classe affaires au cas par cas.</w:t>
      </w:r>
    </w:p>
  </w:footnote>
  <w:footnote w:id="57">
    <w:p w:rsidR="00ED0903" w:rsidRPr="0075304B" w:rsidRDefault="00ED0903" w:rsidP="00C93DF2">
      <w:pPr>
        <w:pStyle w:val="Notedebasdepage"/>
      </w:pPr>
      <w:r w:rsidRPr="0075304B">
        <w:tab/>
      </w:r>
      <w:r w:rsidRPr="0075304B">
        <w:rPr>
          <w:rStyle w:val="Appelnotedebasdep"/>
        </w:rPr>
        <w:footnoteRef/>
      </w:r>
      <w:r w:rsidRPr="0075304B">
        <w:tab/>
        <w:t>Seulement pour le Président et les membres du Conseil d’administration du PAM.</w:t>
      </w:r>
    </w:p>
  </w:footnote>
  <w:footnote w:id="58">
    <w:p w:rsidR="00ED0903" w:rsidRPr="0075304B" w:rsidRDefault="00ED0903" w:rsidP="00CC73D4">
      <w:pPr>
        <w:pStyle w:val="Notedebasdepage"/>
      </w:pPr>
      <w:r w:rsidRPr="0075304B">
        <w:tab/>
      </w:r>
      <w:r w:rsidRPr="0075304B">
        <w:rPr>
          <w:rStyle w:val="Appelnotedebasdep"/>
        </w:rPr>
        <w:footnoteRef/>
      </w:r>
      <w:r w:rsidRPr="0075304B">
        <w:tab/>
        <w:t>Seulement pour les représentants aux réunions des Assemblées des États membres et aux sessions des comités permanents de l’OMPI.</w:t>
      </w:r>
    </w:p>
  </w:footnote>
  <w:footnote w:id="59">
    <w:p w:rsidR="00ED0903" w:rsidRPr="0075304B" w:rsidRDefault="00ED0903" w:rsidP="00CC73D4">
      <w:pPr>
        <w:pStyle w:val="Notedebasdepage"/>
      </w:pPr>
      <w:r w:rsidRPr="0075304B">
        <w:tab/>
      </w:r>
      <w:r w:rsidRPr="0075304B">
        <w:rPr>
          <w:rStyle w:val="Appelnotedebasdep"/>
        </w:rPr>
        <w:footnoteRef/>
      </w:r>
      <w:r w:rsidRPr="0075304B">
        <w:tab/>
        <w:t>A/71/741 et Corr.1</w:t>
      </w:r>
      <w:r w:rsidRPr="0075304B">
        <w:rPr>
          <w:bCs/>
        </w:rPr>
        <w:t>.</w:t>
      </w:r>
    </w:p>
  </w:footnote>
  <w:footnote w:id="60">
    <w:p w:rsidR="00ED0903" w:rsidRPr="0075304B" w:rsidRDefault="00ED0903" w:rsidP="00CC73D4">
      <w:pPr>
        <w:pStyle w:val="Notedebasdepage"/>
      </w:pPr>
      <w:r w:rsidRPr="0075304B">
        <w:tab/>
      </w:r>
      <w:r w:rsidRPr="0075304B">
        <w:rPr>
          <w:rStyle w:val="Appelnotedebasdep"/>
        </w:rPr>
        <w:footnoteRef/>
      </w:r>
      <w:r w:rsidRPr="0075304B">
        <w:tab/>
        <w:t>JIU/REP/2004/10, recommandation 12.</w:t>
      </w:r>
    </w:p>
  </w:footnote>
  <w:footnote w:id="61">
    <w:p w:rsidR="00ED0903" w:rsidRPr="0075304B" w:rsidRDefault="00ED0903" w:rsidP="00CC73D4">
      <w:pPr>
        <w:pStyle w:val="Notedebasdepage"/>
        <w:rPr>
          <w:spacing w:val="-2"/>
        </w:rPr>
      </w:pPr>
      <w:r w:rsidRPr="0075304B">
        <w:tab/>
      </w:r>
      <w:r w:rsidRPr="0075304B">
        <w:rPr>
          <w:rStyle w:val="Appelnotedebasdep"/>
        </w:rPr>
        <w:footnoteRef/>
      </w:r>
      <w:r w:rsidRPr="0075304B">
        <w:tab/>
      </w:r>
      <w:r w:rsidRPr="0075304B">
        <w:rPr>
          <w:spacing w:val="-2"/>
        </w:rPr>
        <w:t>AIEA, CCI</w:t>
      </w:r>
      <w:r w:rsidRPr="0075304B">
        <w:rPr>
          <w:spacing w:val="-2"/>
          <w:sz w:val="20"/>
        </w:rPr>
        <w:t>*</w:t>
      </w:r>
      <w:r w:rsidRPr="0075304B">
        <w:rPr>
          <w:spacing w:val="-2"/>
        </w:rPr>
        <w:t>, FAO (seulement les vacataires), FNUAP, HCR, OIT, OMPI, ONU, ONU-Femmes, ONUDC, ONUDI, ONUSIDA, PAM, PNUD, PNUE, UIT, UNESCO, UNICEF, UNOPS, UNRWA et UPU.</w:t>
      </w:r>
    </w:p>
  </w:footnote>
  <w:footnote w:id="62">
    <w:p w:rsidR="00ED0903" w:rsidRPr="0075304B" w:rsidRDefault="00ED0903" w:rsidP="00CC73D4">
      <w:pPr>
        <w:pStyle w:val="Notedebasdepage"/>
      </w:pPr>
      <w:r w:rsidRPr="0075304B">
        <w:tab/>
      </w:r>
      <w:r w:rsidRPr="0075304B">
        <w:rPr>
          <w:rStyle w:val="Appelnotedebasdep"/>
        </w:rPr>
        <w:footnoteRef/>
      </w:r>
      <w:r w:rsidRPr="0075304B">
        <w:tab/>
        <w:t>Seuils ouvrant droit à la classe affaires : OMI, 7 heures ; OACI, OMS et OMT,</w:t>
      </w:r>
      <w:r w:rsidRPr="0075304B" w:rsidDel="00601B2F">
        <w:t xml:space="preserve"> </w:t>
      </w:r>
      <w:r w:rsidRPr="0075304B">
        <w:t>9 heures ; FAO, 12 heures pour les consultants (les vacataires n’ayant droit qu’à la classe économique).</w:t>
      </w:r>
    </w:p>
  </w:footnote>
  <w:footnote w:id="63">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ST/AI/2013/3, par. 4.5.</w:t>
      </w:r>
    </w:p>
  </w:footnote>
  <w:footnote w:id="64">
    <w:p w:rsidR="00ED0903" w:rsidRPr="0075304B" w:rsidRDefault="00ED0903" w:rsidP="00CC73D4">
      <w:pPr>
        <w:pStyle w:val="Notedebasdepage"/>
      </w:pPr>
      <w:r w:rsidRPr="0075304B">
        <w:tab/>
      </w:r>
      <w:r w:rsidRPr="0075304B">
        <w:rPr>
          <w:rStyle w:val="Appelnotedebasdep"/>
        </w:rPr>
        <w:footnoteRef/>
      </w:r>
      <w:r>
        <w:tab/>
      </w:r>
      <w:r w:rsidRPr="0075304B">
        <w:t xml:space="preserve">AIEA, CCI*, FAO, HCR, OIT, OMI, OMPI, OMS, ONU-Femmes, ONUDI, ONUSIDA, PAM, UIT, UNESCO, UNICEF et UPU. </w:t>
      </w:r>
    </w:p>
  </w:footnote>
  <w:footnote w:id="65">
    <w:p w:rsidR="00ED0903" w:rsidRPr="0075304B" w:rsidRDefault="00ED0903" w:rsidP="00CC73D4">
      <w:pPr>
        <w:pStyle w:val="Notedebasdepage"/>
        <w:rPr>
          <w:rFonts w:asciiTheme="majorBidi" w:hAnsiTheme="majorBidi" w:cstheme="majorBidi"/>
        </w:rPr>
      </w:pPr>
      <w:r w:rsidRPr="0075304B">
        <w:tab/>
      </w:r>
      <w:r w:rsidRPr="0075304B">
        <w:rPr>
          <w:rStyle w:val="Appelnotedebasdep"/>
        </w:rPr>
        <w:footnoteRef/>
      </w:r>
      <w:r w:rsidRPr="0075304B">
        <w:tab/>
      </w:r>
      <w:r w:rsidRPr="0075304B">
        <w:rPr>
          <w:rFonts w:asciiTheme="majorBidi" w:hAnsiTheme="majorBidi" w:cstheme="majorBidi"/>
        </w:rPr>
        <w:t>Ces exceptions se présentent comme suit : a) le CCI* a rendu compte du coût des billets d’avion seulement ; b) ONU-Femmes a rendu compte des dépenses relatives à 2014 et 2015 seulement ; c) l’ONUDI n’a pas fourni de dépenses ventilées pour 2012 ; et d) l’UNICEF a rendu compte des frais de voyage des non-fonctionnaires tous modes de transport confondus (aérien, terrestre et par voie navigable).</w:t>
      </w:r>
    </w:p>
  </w:footnote>
  <w:footnote w:id="66">
    <w:p w:rsidR="00ED0903" w:rsidRPr="00B72C78" w:rsidRDefault="00ED0903" w:rsidP="00CC73D4">
      <w:pPr>
        <w:pStyle w:val="Notedebasdepage"/>
        <w:rPr>
          <w:lang w:val="en-US"/>
        </w:rPr>
      </w:pPr>
      <w:r w:rsidRPr="0075304B">
        <w:tab/>
      </w:r>
      <w:r w:rsidRPr="0075304B">
        <w:rPr>
          <w:rStyle w:val="Appelnotedebasdep"/>
        </w:rPr>
        <w:footnoteRef/>
      </w:r>
      <w:r w:rsidRPr="00B72C78">
        <w:rPr>
          <w:lang w:val="en-US"/>
        </w:rPr>
        <w:tab/>
        <w:t>JIU/REP/72/4, JIU/REP/82/7, JIU/REP/95/10 et JIU/REP/2004/10.</w:t>
      </w:r>
    </w:p>
  </w:footnote>
  <w:footnote w:id="67">
    <w:p w:rsidR="00ED0903" w:rsidRPr="0075304B" w:rsidRDefault="00ED0903" w:rsidP="00CC73D4">
      <w:pPr>
        <w:pStyle w:val="Notedebasdepage"/>
      </w:pPr>
      <w:r w:rsidRPr="00B72C78">
        <w:rPr>
          <w:lang w:val="en-US"/>
        </w:rPr>
        <w:tab/>
      </w:r>
      <w:r w:rsidRPr="0075304B">
        <w:rPr>
          <w:rStyle w:val="Appelnotedebasdep"/>
        </w:rPr>
        <w:footnoteRef/>
      </w:r>
      <w:r w:rsidRPr="0075304B">
        <w:tab/>
        <w:t>A/59/573.</w:t>
      </w:r>
    </w:p>
  </w:footnote>
  <w:footnote w:id="68">
    <w:p w:rsidR="00ED0903" w:rsidRPr="0075304B" w:rsidRDefault="00ED0903" w:rsidP="00CC73D4">
      <w:pPr>
        <w:pStyle w:val="Notedebasdepage"/>
      </w:pPr>
      <w:r w:rsidRPr="0075304B">
        <w:tab/>
      </w:r>
      <w:r w:rsidRPr="0075304B">
        <w:rPr>
          <w:rStyle w:val="Appelnotedebasdep"/>
        </w:rPr>
        <w:footnoteRef/>
      </w:r>
      <w:r w:rsidRPr="0075304B">
        <w:tab/>
        <w:t xml:space="preserve">AIEA, </w:t>
      </w:r>
      <w:r>
        <w:t>OACI, OMI, OMS, ONUSIDA et UIT.</w:t>
      </w:r>
    </w:p>
  </w:footnote>
  <w:footnote w:id="69">
    <w:p w:rsidR="00ED0903" w:rsidRPr="0075304B" w:rsidRDefault="00ED0903" w:rsidP="00CC73D4">
      <w:pPr>
        <w:pStyle w:val="Notedebasdepage"/>
      </w:pPr>
      <w:r w:rsidRPr="0075304B">
        <w:tab/>
      </w:r>
      <w:r w:rsidRPr="0075304B">
        <w:rPr>
          <w:rStyle w:val="Appelnotedebasdep"/>
        </w:rPr>
        <w:footnoteRef/>
      </w:r>
      <w:r w:rsidRPr="0075304B">
        <w:tab/>
        <w:t>CCI</w:t>
      </w:r>
      <w:r w:rsidRPr="0075304B">
        <w:rPr>
          <w:sz w:val="20"/>
        </w:rPr>
        <w:t>*</w:t>
      </w:r>
      <w:r w:rsidRPr="0075304B">
        <w:t xml:space="preserve"> (2011-2015), OIT (2013-2015, voyages concernant le personnel du siège seulement), OMT (2014-2015), ONU (2011-2015), ONU-Femmes (2013-2015), ONUDC (2012-2015), PAM (2014</w:t>
      </w:r>
      <w:r w:rsidRPr="0075304B">
        <w:noBreakHyphen/>
        <w:t>2015), UNESCO (2013-2015, voyages concernant le personnel du siège s</w:t>
      </w:r>
      <w:r>
        <w:t>eulement) et UNOPS (2011-2015).</w:t>
      </w:r>
    </w:p>
  </w:footnote>
  <w:footnote w:id="70">
    <w:p w:rsidR="00ED0903" w:rsidRPr="0075304B" w:rsidRDefault="00ED0903" w:rsidP="00CC73D4">
      <w:pPr>
        <w:pStyle w:val="Notedebasdepage"/>
      </w:pPr>
      <w:r w:rsidRPr="0075304B">
        <w:tab/>
      </w:r>
      <w:r w:rsidRPr="0075304B">
        <w:rPr>
          <w:rStyle w:val="Appelnotedebasdep"/>
        </w:rPr>
        <w:footnoteRef/>
      </w:r>
      <w:r w:rsidRPr="0075304B">
        <w:tab/>
        <w:t>Voyages en première classe : Siège et bureaux hors Siège de l’ONU (883), OACI (205), OMS (96), OMI (70), AIEA, OIT, UIT et UNESCO (28 à 39), PAM (15), ONUSIDA et ONUDC (2 à 4), CCI</w:t>
      </w:r>
      <w:r w:rsidRPr="0075304B">
        <w:rPr>
          <w:sz w:val="20"/>
        </w:rPr>
        <w:t>*</w:t>
      </w:r>
      <w:r w:rsidRPr="0075304B">
        <w:t>, ONU</w:t>
      </w:r>
      <w:r w:rsidRPr="0075304B">
        <w:noBreakHyphen/>
        <w:t>Femmes, UNOPS et OMT (0).</w:t>
      </w:r>
    </w:p>
  </w:footnote>
  <w:footnote w:id="71">
    <w:p w:rsidR="00ED0903" w:rsidRPr="0075304B" w:rsidRDefault="00ED0903" w:rsidP="00CC73D4">
      <w:pPr>
        <w:pStyle w:val="Notedebasdepage"/>
      </w:pPr>
      <w:r w:rsidRPr="0075304B">
        <w:tab/>
      </w:r>
      <w:r w:rsidRPr="0075304B">
        <w:rPr>
          <w:rStyle w:val="Appelnotedebasdep"/>
        </w:rPr>
        <w:footnoteRef/>
      </w:r>
      <w:r w:rsidRPr="0075304B">
        <w:tab/>
        <w:t>Genève (CCI</w:t>
      </w:r>
      <w:r w:rsidRPr="0075304B">
        <w:rPr>
          <w:sz w:val="20"/>
        </w:rPr>
        <w:t>*</w:t>
      </w:r>
      <w:r w:rsidRPr="0075304B">
        <w:t>, Commission économique pour l’Europe (CEE), Conférence des Nations Unies sur le commerce et le développement (CNUCED), HCR, OIM, OIT, OMM, OMPI, OMS, ONUG, ONUSIDA et UIT), Nairobi (PNUE, ONU-Habitat et UNON), New York (FNUAP, ONU, ONU</w:t>
      </w:r>
      <w:r w:rsidRPr="0075304B">
        <w:noBreakHyphen/>
        <w:t>Femmes, PNUD, et UNICEF), Paris (UNESCO), Rome (FAO, FIDA et PAM), Vienne (AIEA, ONUDC, ONUDI, ONUV et Organisation du Traité d’interdiction complète des essais nucléaires).</w:t>
      </w:r>
    </w:p>
  </w:footnote>
  <w:footnote w:id="72">
    <w:p w:rsidR="00ED0903" w:rsidRPr="00D120EC" w:rsidRDefault="00ED0903" w:rsidP="00CC73D4">
      <w:pPr>
        <w:pStyle w:val="Notedebasdepage"/>
      </w:pPr>
      <w:r w:rsidRPr="0075304B">
        <w:tab/>
      </w:r>
      <w:r w:rsidRPr="0075304B">
        <w:rPr>
          <w:rStyle w:val="Appelnotedebasdep"/>
        </w:rPr>
        <w:footnoteRef/>
      </w:r>
      <w:r w:rsidRPr="00D120EC">
        <w:tab/>
        <w:t>Addis-Abeba (CEA), Bangkok (CESAP), Beyrouth (CESAO), Genève (CEE) et Santiago (CEPALC).</w:t>
      </w:r>
    </w:p>
  </w:footnote>
  <w:footnote w:id="73">
    <w:p w:rsidR="00ED0903" w:rsidRPr="0075304B" w:rsidRDefault="00ED0903" w:rsidP="00CC73D4">
      <w:pPr>
        <w:pStyle w:val="Notedebasdepage"/>
        <w:rPr>
          <w:color w:val="000000"/>
        </w:rPr>
      </w:pPr>
      <w:r w:rsidRPr="00D120EC">
        <w:tab/>
      </w:r>
      <w:r w:rsidRPr="0075304B">
        <w:rPr>
          <w:rStyle w:val="Appelnotedebasdep"/>
        </w:rPr>
        <w:footnoteRef/>
      </w:r>
      <w:r w:rsidRPr="0075304B">
        <w:tab/>
        <w:t>Les tarifs de réservation anticipée ont été obtenus, d’une part, le 31 janvier 2017, à raison de quatre itinéraires (</w:t>
      </w:r>
      <w:r w:rsidRPr="0075304B">
        <w:rPr>
          <w:color w:val="000000"/>
        </w:rPr>
        <w:t xml:space="preserve">New York-Genève, Genève-Bangkok, New York-Rome, Genève-Nairobi) pour des vols prévus les 6 et 10 février 2017, les 6 et 10 mars 2017 et les 3 et 7 avril 2017, et d’autre part, le </w:t>
      </w:r>
      <w:r w:rsidRPr="0075304B">
        <w:t>7 février 2017, à raison de cinq itinéraires (</w:t>
      </w:r>
      <w:r w:rsidRPr="0075304B">
        <w:rPr>
          <w:color w:val="000000"/>
        </w:rPr>
        <w:t>Beyrouth-New York, Addis-Abeba-New York, Santiago</w:t>
      </w:r>
      <w:r w:rsidRPr="0075304B">
        <w:rPr>
          <w:color w:val="000000"/>
        </w:rPr>
        <w:noBreakHyphen/>
        <w:t>New York, Vienne-New York et Paris-New York) pour des vols prévus les 13 et 17 février 2017, les 13 et 17 mars 2017 et les 10 et 14 avril 2017.</w:t>
      </w:r>
    </w:p>
  </w:footnote>
  <w:footnote w:id="74">
    <w:p w:rsidR="00ED0903" w:rsidRPr="0075304B" w:rsidRDefault="00ED0903" w:rsidP="00CC73D4">
      <w:pPr>
        <w:pStyle w:val="Notedebasdepage"/>
      </w:pPr>
      <w:r w:rsidRPr="0075304B">
        <w:tab/>
      </w:r>
      <w:r w:rsidRPr="0075304B">
        <w:rPr>
          <w:rStyle w:val="Appelnotedebasdep"/>
        </w:rPr>
        <w:footnoteRef/>
      </w:r>
      <w:r w:rsidRPr="0075304B">
        <w:tab/>
        <w:t>Le prix moyen combiné a été obtenu en additionnant, pour le billet de la classe concernée, les prix payables à 5 jours, 31 jours et 60 jours du départ et en divisant le total en trois.</w:t>
      </w:r>
    </w:p>
  </w:footnote>
  <w:footnote w:id="75">
    <w:p w:rsidR="00ED0903" w:rsidRPr="0075304B" w:rsidRDefault="00ED0903" w:rsidP="00CC73D4">
      <w:pPr>
        <w:pStyle w:val="Notedebasdepage"/>
      </w:pPr>
      <w:r w:rsidRPr="0075304B">
        <w:tab/>
      </w:r>
      <w:r w:rsidRPr="0075304B">
        <w:rPr>
          <w:rStyle w:val="Appelnotedebasdep"/>
        </w:rPr>
        <w:footnoteRef/>
      </w:r>
      <w:r w:rsidRPr="0075304B">
        <w:tab/>
        <w:t>L’OMT ayant combiné les informations qu’elle a fournies concernant les vols en classe économique en 2014-2015 avec les dépenses se rapportant à des modes de transport non aériens, les données de cet organisme n’ont pas été incluses dans l’analyse.</w:t>
      </w:r>
    </w:p>
  </w:footnote>
  <w:footnote w:id="76">
    <w:p w:rsidR="00ED0903" w:rsidRPr="0075304B" w:rsidRDefault="00ED0903" w:rsidP="00CC73D4">
      <w:pPr>
        <w:pStyle w:val="Notedebasdepage"/>
      </w:pPr>
      <w:r w:rsidRPr="0075304B">
        <w:tab/>
      </w:r>
      <w:r w:rsidRPr="0075304B">
        <w:rPr>
          <w:rStyle w:val="Appelnotedebasdep"/>
        </w:rPr>
        <w:footnoteRef/>
      </w:r>
      <w:r w:rsidRPr="0075304B">
        <w:tab/>
        <w:t>Les 14 organismes ont organisé 140 567 voyages en classe affaires sur un total de 642 507 voyages toutes classes confondues.</w:t>
      </w:r>
    </w:p>
  </w:footnote>
  <w:footnote w:id="77">
    <w:p w:rsidR="00ED0903" w:rsidRPr="0075304B" w:rsidRDefault="00ED0903" w:rsidP="00CC73D4">
      <w:pPr>
        <w:pStyle w:val="Notedebasdepage"/>
      </w:pPr>
      <w:r w:rsidRPr="0075304B">
        <w:tab/>
      </w:r>
      <w:r w:rsidRPr="0075304B">
        <w:rPr>
          <w:rStyle w:val="Appelnotedebasdep"/>
        </w:rPr>
        <w:footnoteRef/>
      </w:r>
      <w:r w:rsidRPr="0075304B">
        <w:tab/>
        <w:t>A/71/741, par. 81.</w:t>
      </w:r>
    </w:p>
  </w:footnote>
  <w:footnote w:id="78">
    <w:p w:rsidR="00ED0903" w:rsidRPr="0075304B" w:rsidRDefault="00ED0903" w:rsidP="00CC73D4">
      <w:pPr>
        <w:pStyle w:val="Notedebasdepage"/>
      </w:pPr>
      <w:r w:rsidRPr="0075304B">
        <w:tab/>
      </w:r>
      <w:r w:rsidRPr="0075304B">
        <w:rPr>
          <w:rStyle w:val="Appelnotedebasdep"/>
        </w:rPr>
        <w:footnoteRef/>
      </w:r>
      <w:r w:rsidRPr="0075304B">
        <w:tab/>
        <w:t>A/69/787, par. 40.</w:t>
      </w:r>
    </w:p>
  </w:footnote>
  <w:footnote w:id="79">
    <w:p w:rsidR="00ED0903" w:rsidRPr="0075304B" w:rsidRDefault="00ED0903" w:rsidP="00CC73D4">
      <w:pPr>
        <w:pStyle w:val="Notedebasdepage"/>
      </w:pPr>
      <w:r w:rsidRPr="0075304B">
        <w:tab/>
      </w:r>
      <w:r w:rsidRPr="0075304B">
        <w:rPr>
          <w:rStyle w:val="Appelnotedebasdep"/>
        </w:rPr>
        <w:footnoteRef/>
      </w:r>
      <w:r w:rsidRPr="0075304B">
        <w:tab/>
        <w:t>Réponses de l’ONUSIDA au questionnaire du CCI.</w:t>
      </w:r>
    </w:p>
  </w:footnote>
  <w:footnote w:id="80">
    <w:p w:rsidR="00ED0903" w:rsidRPr="0075304B" w:rsidRDefault="00ED0903" w:rsidP="00CC73D4">
      <w:pPr>
        <w:pStyle w:val="Notedebasdepage"/>
        <w:rPr>
          <w:rFonts w:asciiTheme="majorBidi" w:hAnsiTheme="majorBidi"/>
        </w:rPr>
      </w:pPr>
      <w:r w:rsidRPr="0075304B">
        <w:rPr>
          <w:rFonts w:asciiTheme="majorBidi" w:hAnsiTheme="majorBidi"/>
        </w:rPr>
        <w:tab/>
      </w:r>
      <w:r w:rsidRPr="0075304B">
        <w:rPr>
          <w:rStyle w:val="Appelnotedebasdep"/>
        </w:rPr>
        <w:footnoteRef/>
      </w:r>
      <w:r w:rsidRPr="0075304B">
        <w:rPr>
          <w:rFonts w:asciiTheme="majorBidi" w:hAnsiTheme="majorBidi"/>
        </w:rPr>
        <w:tab/>
        <w:t>Note de la Directrice générale de l’UNESCO : DG/NOTE/12/11Rev (9 juillet 2012), par. 1 b).</w:t>
      </w:r>
    </w:p>
  </w:footnote>
  <w:footnote w:id="81">
    <w:p w:rsidR="00ED0903" w:rsidRPr="0075304B" w:rsidRDefault="00ED0903" w:rsidP="00CC73D4">
      <w:pPr>
        <w:pStyle w:val="Notedebasdepage"/>
      </w:pPr>
      <w:r w:rsidRPr="0075304B">
        <w:tab/>
      </w:r>
      <w:r w:rsidRPr="0075304B">
        <w:rPr>
          <w:rStyle w:val="Appelnotedebasdep"/>
        </w:rPr>
        <w:footnoteRef/>
      </w:r>
      <w:r w:rsidRPr="0075304B">
        <w:tab/>
        <w:t>Le CCI</w:t>
      </w:r>
      <w:r w:rsidRPr="0075304B">
        <w:rPr>
          <w:sz w:val="20"/>
        </w:rPr>
        <w:t>*</w:t>
      </w:r>
      <w:r w:rsidRPr="0075304B">
        <w:t xml:space="preserve">, le FNUAP, le HCR, l’OMPI, l’ONU, ONU-Femmes, l’ONUSIDA, </w:t>
      </w:r>
      <w:r>
        <w:t>l’</w:t>
      </w:r>
      <w:r w:rsidRPr="0075304B">
        <w:t>ONUV/ONUDC, le</w:t>
      </w:r>
      <w:r>
        <w:t> </w:t>
      </w:r>
      <w:r w:rsidRPr="0075304B">
        <w:t>PAM, le PNUD, l’UNICEF et l’UNOPS.</w:t>
      </w:r>
    </w:p>
  </w:footnote>
  <w:footnote w:id="82">
    <w:p w:rsidR="00ED0903" w:rsidRPr="0075304B" w:rsidRDefault="00ED0903" w:rsidP="00CC73D4">
      <w:pPr>
        <w:pStyle w:val="Notedebasdepage"/>
      </w:pPr>
      <w:r w:rsidRPr="0075304B">
        <w:tab/>
      </w:r>
      <w:r w:rsidRPr="0075304B">
        <w:rPr>
          <w:rStyle w:val="Appelnotedebasdep"/>
        </w:rPr>
        <w:footnoteRef/>
      </w:r>
      <w:r w:rsidRPr="0075304B">
        <w:tab/>
        <w:t>Le CCI*, le HCR, l’ONU, l’ONUDC/ONUV et l’UNICEF.</w:t>
      </w:r>
    </w:p>
  </w:footnote>
  <w:footnote w:id="83">
    <w:p w:rsidR="00ED0903" w:rsidRPr="0075304B" w:rsidRDefault="00ED0903" w:rsidP="00CC73D4">
      <w:pPr>
        <w:pStyle w:val="Notedebasdepage"/>
        <w:rPr>
          <w:highlight w:val="yellow"/>
        </w:rPr>
      </w:pPr>
      <w:r w:rsidRPr="0075304B">
        <w:tab/>
      </w:r>
      <w:r w:rsidRPr="0075304B">
        <w:rPr>
          <w:rStyle w:val="Appelnotedebasdep"/>
        </w:rPr>
        <w:footnoteRef/>
      </w:r>
      <w:r w:rsidRPr="0075304B">
        <w:tab/>
        <w:t>Informations relatives à une année (OMPI et PAM, 2015), deux années (FNUAP, ONUSIDA, UNOPS et UNRWA, 2014-2015) et quatre années (ONU-Femmes, 2012-2015).</w:t>
      </w:r>
    </w:p>
  </w:footnote>
  <w:footnote w:id="84">
    <w:p w:rsidR="00ED0903" w:rsidRPr="0075304B" w:rsidRDefault="00ED0903" w:rsidP="00CC73D4">
      <w:pPr>
        <w:pStyle w:val="Notedebasdepage"/>
      </w:pPr>
      <w:r w:rsidRPr="0075304B">
        <w:tab/>
      </w:r>
      <w:r w:rsidRPr="0075304B">
        <w:rPr>
          <w:rStyle w:val="Appelnotedebasdep"/>
        </w:rPr>
        <w:footnoteRef/>
      </w:r>
      <w:r w:rsidRPr="0075304B">
        <w:tab/>
        <w:t>L’AIEA, la FAO, l’OIT, l’ONUDI, l’OMS, l’OMT, le PNUE, l’UIT, l’UNESCO et l’UPU.</w:t>
      </w:r>
    </w:p>
  </w:footnote>
  <w:footnote w:id="85">
    <w:p w:rsidR="00ED0903" w:rsidRPr="0075304B" w:rsidRDefault="00ED0903" w:rsidP="009A78F8">
      <w:pPr>
        <w:pStyle w:val="Notedebasdepage"/>
      </w:pPr>
      <w:r w:rsidRPr="0075304B">
        <w:tab/>
      </w:r>
      <w:r w:rsidRPr="0075304B">
        <w:rPr>
          <w:rStyle w:val="Appelnotedebasdep"/>
        </w:rPr>
        <w:footnoteRef/>
      </w:r>
      <w:r w:rsidRPr="0075304B">
        <w:tab/>
        <w:t>L’AIEA, la FAO, l’OMS, l’ONUDI et l’UPU.</w:t>
      </w:r>
    </w:p>
  </w:footnote>
  <w:footnote w:id="86">
    <w:p w:rsidR="00ED0903" w:rsidRPr="0075304B" w:rsidRDefault="00ED0903" w:rsidP="00CC73D4">
      <w:pPr>
        <w:pStyle w:val="Notedebasdepage"/>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 xml:space="preserve">Voir les résolutions 67/254 et 69/274 de l’Assemblée générale, et les rapports A/67/636 et A/71/822 du Comité consultatif pour les questions administratives et budgétaires ; voir aussi les préoccupations </w:t>
      </w:r>
      <w:r w:rsidRPr="0075304B">
        <w:t>exprimées par les États Membres : États-Unis, 4 mars 2013, première partie de la reprise de la soixante-septième session de la Cinquième Commission ; Groupe des 77 et la Chine, 4 mars 2015, première partie de la reprise de la soixante-neuvième session de la Cinquième commission.</w:t>
      </w:r>
    </w:p>
  </w:footnote>
  <w:footnote w:id="87">
    <w:p w:rsidR="00ED0903" w:rsidRPr="0075304B" w:rsidRDefault="00ED0903" w:rsidP="00CC73D4">
      <w:pPr>
        <w:pStyle w:val="Notedebasdepage"/>
        <w:rPr>
          <w:highlight w:val="cyan"/>
        </w:rPr>
      </w:pPr>
      <w:r w:rsidRPr="0075304B">
        <w:tab/>
      </w:r>
      <w:r w:rsidRPr="0075304B">
        <w:rPr>
          <w:rStyle w:val="Appelnotedebasdep"/>
        </w:rPr>
        <w:footnoteRef/>
      </w:r>
      <w:r w:rsidRPr="0075304B">
        <w:tab/>
        <w:t>Voir les résolutions 42/214, 45/248A, 63/268 et 65/268 de l’Assemblée générale ; la décision 57/589 de l’Assemblée générale ; et les rapports A/59/573, A/63/715, A/65/632, A/67/636 et A/69/787 de la Commission consultative pour les questions administratives et budgétaires.</w:t>
      </w:r>
    </w:p>
  </w:footnote>
  <w:footnote w:id="88">
    <w:p w:rsidR="00ED0903" w:rsidRPr="0075304B" w:rsidRDefault="00ED0903" w:rsidP="00CC73D4">
      <w:pPr>
        <w:pStyle w:val="Notedebasdepage"/>
      </w:pPr>
      <w:r w:rsidRPr="0075304B">
        <w:tab/>
      </w:r>
      <w:r w:rsidRPr="0075304B">
        <w:rPr>
          <w:rStyle w:val="Appelnotedebasdep"/>
        </w:rPr>
        <w:footnoteRef/>
      </w:r>
      <w:r w:rsidRPr="0075304B">
        <w:tab/>
        <w:t>Résolution 65/268 de l’Assemblée générale, annexe, par. 2 d).</w:t>
      </w:r>
    </w:p>
  </w:footnote>
  <w:footnote w:id="89">
    <w:p w:rsidR="00ED0903" w:rsidRPr="0075304B" w:rsidRDefault="00ED0903" w:rsidP="00CC73D4">
      <w:pPr>
        <w:pStyle w:val="Notedebasdepage"/>
      </w:pPr>
      <w:r w:rsidRPr="0075304B">
        <w:tab/>
      </w:r>
      <w:r w:rsidRPr="0075304B">
        <w:rPr>
          <w:rStyle w:val="Appelnotedebasdep"/>
        </w:rPr>
        <w:footnoteRef/>
      </w:r>
      <w:r w:rsidRPr="0075304B">
        <w:tab/>
        <w:t>Résolution 69/274 de l’Assemblée générale, sect. IV, par. 3.</w:t>
      </w:r>
    </w:p>
  </w:footnote>
  <w:footnote w:id="90">
    <w:p w:rsidR="00ED0903" w:rsidRPr="0075304B" w:rsidRDefault="00ED0903" w:rsidP="00CC73D4">
      <w:pPr>
        <w:pStyle w:val="Notedebasdepage"/>
      </w:pPr>
      <w:r w:rsidRPr="0075304B">
        <w:tab/>
      </w:r>
      <w:r w:rsidRPr="0075304B">
        <w:rPr>
          <w:rStyle w:val="Appelnotedebasdep"/>
        </w:rPr>
        <w:footnoteRef/>
      </w:r>
      <w:r w:rsidRPr="0075304B">
        <w:tab/>
        <w:t>A/65/348 (pour 2006-2010), A/67/356 (pour 2010-2012) et A/71/741 (pour 2012-2016).</w:t>
      </w:r>
    </w:p>
  </w:footnote>
  <w:footnote w:id="91">
    <w:p w:rsidR="00ED0903" w:rsidRPr="0075304B" w:rsidRDefault="00ED0903" w:rsidP="00CC73D4">
      <w:pPr>
        <w:pStyle w:val="Notedebasdepage"/>
      </w:pPr>
      <w:r w:rsidRPr="0075304B">
        <w:tab/>
      </w:r>
      <w:r w:rsidRPr="0075304B">
        <w:rPr>
          <w:rStyle w:val="Appelnotedebasdep"/>
        </w:rPr>
        <w:footnoteRef/>
      </w:r>
      <w:r w:rsidRPr="0075304B">
        <w:tab/>
        <w:t>A/71/741.</w:t>
      </w:r>
    </w:p>
  </w:footnote>
  <w:footnote w:id="92">
    <w:p w:rsidR="00ED0903" w:rsidRPr="0075304B" w:rsidRDefault="00ED0903" w:rsidP="00CC73D4">
      <w:pPr>
        <w:pStyle w:val="Notedebasdepage"/>
        <w:rPr>
          <w:lang w:eastAsia="zh-CN"/>
        </w:rPr>
      </w:pPr>
      <w:r w:rsidRPr="0075304B">
        <w:tab/>
      </w:r>
      <w:r w:rsidRPr="0075304B">
        <w:rPr>
          <w:rStyle w:val="Appelnotedebasdep"/>
        </w:rPr>
        <w:footnoteRef/>
      </w:r>
      <w:r w:rsidRPr="0075304B">
        <w:tab/>
        <w:t>Voyage particulièrement fatiguant : « L’intéressé, après une journée entière de travail, est parfois appelé à voyager de nuit pour regagner son travail, participer à des réunions ou faire un exposé dès le lendemain matin ou dès son arrivée au lieu de destination. ».</w:t>
      </w:r>
      <w:r w:rsidRPr="0075304B">
        <w:rPr>
          <w:lang w:eastAsia="zh-CN"/>
        </w:rPr>
        <w:t xml:space="preserve"> </w:t>
      </w:r>
      <w:r w:rsidRPr="0075304B">
        <w:rPr>
          <w:i/>
          <w:lang w:eastAsia="zh-CN"/>
        </w:rPr>
        <w:t>Source</w:t>
      </w:r>
      <w:r w:rsidRPr="0075304B">
        <w:rPr>
          <w:lang w:eastAsia="zh-CN"/>
        </w:rPr>
        <w:t> : A/53/498.</w:t>
      </w:r>
    </w:p>
  </w:footnote>
  <w:footnote w:id="93">
    <w:p w:rsidR="00ED0903" w:rsidRPr="0075304B" w:rsidRDefault="00ED0903" w:rsidP="00CC73D4">
      <w:pPr>
        <w:pStyle w:val="Notedebasdepage"/>
      </w:pPr>
      <w:r w:rsidRPr="0075304B">
        <w:tab/>
      </w:r>
      <w:r w:rsidRPr="0075304B">
        <w:rPr>
          <w:rStyle w:val="Appelnotedebasdep"/>
        </w:rPr>
        <w:footnoteRef/>
      </w:r>
      <w:r w:rsidRPr="0075304B">
        <w:tab/>
        <w:t>Ne s’applique qu’à un membre de l’équipe de protection rapprochée, et non à toute l’équipe.</w:t>
      </w:r>
    </w:p>
  </w:footnote>
  <w:footnote w:id="94">
    <w:p w:rsidR="00ED0903" w:rsidRPr="0075304B" w:rsidRDefault="00ED0903" w:rsidP="00CC73D4">
      <w:pPr>
        <w:pStyle w:val="Notedebasdepage"/>
      </w:pPr>
      <w:r w:rsidRPr="0075304B">
        <w:tab/>
      </w:r>
      <w:r w:rsidRPr="0075304B">
        <w:rPr>
          <w:rStyle w:val="Appelnotedebasdep"/>
        </w:rPr>
        <w:footnoteRef/>
      </w:r>
      <w:r w:rsidRPr="0075304B">
        <w:tab/>
        <w:t>ST/AI/2013/3, par. 4.3 b).</w:t>
      </w:r>
    </w:p>
  </w:footnote>
  <w:footnote w:id="95">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A/67/356, par. 12 c).</w:t>
      </w:r>
    </w:p>
  </w:footnote>
  <w:footnote w:id="96">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A/69/643, par. 12 c).</w:t>
      </w:r>
    </w:p>
  </w:footnote>
  <w:footnote w:id="97">
    <w:p w:rsidR="00ED0903" w:rsidRPr="0075304B" w:rsidRDefault="00ED0903" w:rsidP="00CC73D4">
      <w:pPr>
        <w:pStyle w:val="Notedebasdepage"/>
      </w:pPr>
      <w:r w:rsidRPr="0075304B">
        <w:tab/>
      </w:r>
      <w:r w:rsidRPr="0075304B">
        <w:rPr>
          <w:rStyle w:val="Appelnotedebasdep"/>
        </w:rPr>
        <w:footnoteRef/>
      </w:r>
      <w:r w:rsidRPr="0075304B">
        <w:tab/>
        <w:t>A/71/741, annexe III.</w:t>
      </w:r>
    </w:p>
  </w:footnote>
  <w:footnote w:id="98">
    <w:p w:rsidR="00ED0903" w:rsidRPr="0075304B" w:rsidRDefault="00ED0903" w:rsidP="00CC73D4">
      <w:pPr>
        <w:pStyle w:val="Notedebasdepage"/>
      </w:pPr>
      <w:r w:rsidRPr="0075304B">
        <w:tab/>
      </w:r>
      <w:r w:rsidRPr="0075304B">
        <w:rPr>
          <w:rStyle w:val="Appelnotedebasdep"/>
        </w:rPr>
        <w:footnoteRef/>
      </w:r>
      <w:r w:rsidRPr="0075304B">
        <w:tab/>
        <w:t xml:space="preserve">Un voyageur est considéré comme ayant la qualité de « personnalité éminente » s’il a le rang de ministre, qu’il soit ou non encore en exercice, ou si le Secrétaire général estime qu’il s’agit d’une personnalité du monde politique ou économique ou des milieux scientifiques, humanitaires ou culturels qui offre ses services à l’Organisation. </w:t>
      </w:r>
      <w:r w:rsidRPr="0075304B">
        <w:rPr>
          <w:i/>
        </w:rPr>
        <w:t>Source</w:t>
      </w:r>
      <w:r w:rsidRPr="0075304B">
        <w:t xml:space="preserve"> : </w:t>
      </w:r>
      <w:r w:rsidRPr="0075304B">
        <w:rPr>
          <w:rFonts w:asciiTheme="majorBidi" w:hAnsiTheme="majorBidi" w:cstheme="majorBidi"/>
        </w:rPr>
        <w:t>A/69/643, par. 12 d).</w:t>
      </w:r>
    </w:p>
  </w:footnote>
  <w:footnote w:id="99">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A/69/643, par. 13.</w:t>
      </w:r>
    </w:p>
  </w:footnote>
  <w:footnote w:id="100">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A/69/787, par. 9 a).</w:t>
      </w:r>
    </w:p>
  </w:footnote>
  <w:footnote w:id="101">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Résolution 67/254 de l’Assemblée générale, par. 17.</w:t>
      </w:r>
    </w:p>
  </w:footnote>
  <w:footnote w:id="102">
    <w:p w:rsidR="00ED0903" w:rsidRPr="0075304B" w:rsidRDefault="00ED0903" w:rsidP="00CC73D4">
      <w:pPr>
        <w:pStyle w:val="Notedebasdepage"/>
      </w:pPr>
      <w:r w:rsidRPr="0075304B">
        <w:tab/>
      </w:r>
      <w:r w:rsidRPr="0075304B">
        <w:rPr>
          <w:rStyle w:val="Appelnotedebasdep"/>
        </w:rPr>
        <w:footnoteRef/>
      </w:r>
      <w:r w:rsidRPr="0075304B">
        <w:tab/>
        <w:t>A/69/787, par. 19.</w:t>
      </w:r>
    </w:p>
  </w:footnote>
  <w:footnote w:id="103">
    <w:p w:rsidR="00ED0903" w:rsidRPr="0075304B" w:rsidRDefault="00ED0903" w:rsidP="00CC73D4">
      <w:pPr>
        <w:pStyle w:val="Notedebasdepage"/>
      </w:pPr>
      <w:r w:rsidRPr="0075304B">
        <w:tab/>
      </w:r>
      <w:r w:rsidRPr="0075304B">
        <w:rPr>
          <w:rStyle w:val="Appelnotedebasdep"/>
        </w:rPr>
        <w:footnoteRef/>
      </w:r>
      <w:r w:rsidRPr="0075304B">
        <w:tab/>
        <w:t>A/71/741, par. 4.</w:t>
      </w:r>
    </w:p>
  </w:footnote>
  <w:footnote w:id="104">
    <w:p w:rsidR="00ED0903" w:rsidRPr="00B72C78" w:rsidRDefault="00ED0903" w:rsidP="00CC73D4">
      <w:pPr>
        <w:pStyle w:val="Notedebasdepage"/>
        <w:rPr>
          <w:lang w:val="en-US"/>
        </w:rPr>
      </w:pPr>
      <w:r w:rsidRPr="0075304B">
        <w:tab/>
      </w:r>
      <w:r w:rsidRPr="0075304B">
        <w:rPr>
          <w:rStyle w:val="Appelnotedebasdep"/>
        </w:rPr>
        <w:footnoteRef/>
      </w:r>
      <w:r w:rsidRPr="0075304B">
        <w:tab/>
        <w:t xml:space="preserve">Résolution 65/268 de l’Assemblée générale, </w:t>
      </w:r>
      <w:r w:rsidRPr="0075304B">
        <w:rPr>
          <w:rFonts w:asciiTheme="majorBidi" w:hAnsiTheme="majorBidi" w:cstheme="majorBidi"/>
        </w:rPr>
        <w:t>sect. </w:t>
      </w:r>
      <w:r w:rsidRPr="00B72C78">
        <w:rPr>
          <w:rFonts w:asciiTheme="majorBidi" w:hAnsiTheme="majorBidi" w:cstheme="majorBidi"/>
          <w:lang w:val="en-US"/>
        </w:rPr>
        <w:t>IV, par. 5.</w:t>
      </w:r>
    </w:p>
  </w:footnote>
  <w:footnote w:id="105">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JIU/REP/95/2.</w:t>
      </w:r>
    </w:p>
  </w:footnote>
  <w:footnote w:id="106">
    <w:p w:rsidR="00ED0903" w:rsidRPr="0075304B" w:rsidRDefault="00ED0903" w:rsidP="00CC73D4">
      <w:pPr>
        <w:pStyle w:val="Notedebasdepage"/>
        <w:rPr>
          <w:color w:val="1A1A1A"/>
        </w:rPr>
      </w:pPr>
      <w:r w:rsidRPr="00B72C78">
        <w:rPr>
          <w:lang w:val="en-US"/>
        </w:rPr>
        <w:tab/>
      </w:r>
      <w:r w:rsidRPr="0075304B">
        <w:rPr>
          <w:rStyle w:val="Appelnotedebasdep"/>
        </w:rPr>
        <w:footnoteRef/>
      </w:r>
      <w:r w:rsidRPr="00B72C78">
        <w:rPr>
          <w:lang w:val="en-US"/>
        </w:rPr>
        <w:tab/>
        <w:t xml:space="preserve">Carlson Wagonlit Travel Management Institute, </w:t>
      </w:r>
      <w:r w:rsidRPr="00B72C78">
        <w:rPr>
          <w:i/>
          <w:lang w:val="en-US"/>
        </w:rPr>
        <w:t>Playing by the Rules: Optimizing Travel Policy and Compliance</w:t>
      </w:r>
      <w:r w:rsidRPr="00B72C78">
        <w:rPr>
          <w:lang w:val="en-US"/>
        </w:rPr>
        <w:t xml:space="preserve"> (2008), p. 7. </w:t>
      </w:r>
      <w:r w:rsidRPr="0075304B">
        <w:t xml:space="preserve">Consultable à l’adresse : </w:t>
      </w:r>
      <w:hyperlink r:id="rId2" w:history="1">
        <w:r w:rsidRPr="0075304B">
          <w:rPr>
            <w:rStyle w:val="Lienhypertexte"/>
          </w:rPr>
          <w:t>www.carlsonwagonlit.it/export/sites/cwt/it/</w:t>
        </w:r>
        <w:r w:rsidRPr="0075304B">
          <w:rPr>
            <w:rStyle w:val="Lienhypertexte"/>
          </w:rPr>
          <w:br/>
          <w:t>countries/it/cwt_news/cwt_eventi/playing_by_the_rules_handbook.pdf</w:t>
        </w:r>
      </w:hyperlink>
      <w:r w:rsidRPr="0075304B">
        <w:t>.</w:t>
      </w:r>
    </w:p>
  </w:footnote>
  <w:footnote w:id="107">
    <w:p w:rsidR="00ED0903" w:rsidRPr="0075304B" w:rsidRDefault="00ED0903" w:rsidP="00CC73D4">
      <w:pPr>
        <w:pStyle w:val="Notedebasdepage"/>
      </w:pPr>
      <w:r w:rsidRPr="0075304B">
        <w:tab/>
      </w:r>
      <w:r w:rsidRPr="0075304B">
        <w:rPr>
          <w:rStyle w:val="Appelnotedebasdep"/>
        </w:rPr>
        <w:footnoteRef/>
      </w:r>
      <w:r w:rsidRPr="00B72C78">
        <w:rPr>
          <w:lang w:val="en-US"/>
        </w:rPr>
        <w:tab/>
        <w:t xml:space="preserve">Carlson Wagonlit Travel Management Institute, </w:t>
      </w:r>
      <w:r w:rsidRPr="00B72C78">
        <w:rPr>
          <w:i/>
          <w:lang w:val="en-US"/>
        </w:rPr>
        <w:t>Playing by the Rules: Optimizing Travel Policy and Compliance</w:t>
      </w:r>
      <w:r w:rsidRPr="00B72C78">
        <w:rPr>
          <w:lang w:val="en-US"/>
        </w:rPr>
        <w:t xml:space="preserve"> (2008), p. 80. </w:t>
      </w:r>
      <w:r w:rsidRPr="0075304B">
        <w:t xml:space="preserve">Consultable à l’adresse : </w:t>
      </w:r>
      <w:hyperlink r:id="rId3" w:history="1">
        <w:r w:rsidRPr="0075304B">
          <w:rPr>
            <w:rStyle w:val="Lienhypertexte"/>
          </w:rPr>
          <w:t>www.carlsonwagonlit.it/export/sites/cwt/it/</w:t>
        </w:r>
        <w:r w:rsidRPr="0075304B">
          <w:rPr>
            <w:rStyle w:val="Lienhypertexte"/>
          </w:rPr>
          <w:br/>
          <w:t>countries/it/cwt_news/cwt_eventi/playing_by_the_rules_handbook.pdf</w:t>
        </w:r>
      </w:hyperlink>
      <w:r w:rsidRPr="0075304B">
        <w:t>.</w:t>
      </w:r>
    </w:p>
  </w:footnote>
  <w:footnote w:id="108">
    <w:p w:rsidR="00ED0903" w:rsidRPr="0075304B" w:rsidRDefault="00ED0903" w:rsidP="00CC73D4">
      <w:pPr>
        <w:pStyle w:val="Notedebasdepage"/>
      </w:pPr>
      <w:r w:rsidRPr="0075304B">
        <w:tab/>
      </w:r>
      <w:r w:rsidRPr="0075304B">
        <w:rPr>
          <w:rStyle w:val="Appelnotedebasdep"/>
        </w:rPr>
        <w:footnoteRef/>
      </w:r>
      <w:r w:rsidRPr="0075304B">
        <w:tab/>
        <w:t>A/71/741, par. 71.</w:t>
      </w:r>
    </w:p>
  </w:footnote>
  <w:footnote w:id="109">
    <w:p w:rsidR="00ED0903" w:rsidRPr="0075304B" w:rsidRDefault="00ED0903" w:rsidP="00CC73D4">
      <w:pPr>
        <w:pStyle w:val="Notedebasdepage"/>
      </w:pPr>
      <w:r w:rsidRPr="0075304B">
        <w:tab/>
      </w:r>
      <w:r w:rsidRPr="0075304B">
        <w:rPr>
          <w:rStyle w:val="Appelnotedebasdep"/>
        </w:rPr>
        <w:footnoteRef/>
      </w:r>
      <w:r w:rsidRPr="0075304B">
        <w:tab/>
      </w:r>
      <w:r w:rsidRPr="0075304B">
        <w:rPr>
          <w:rFonts w:asciiTheme="majorBidi" w:hAnsiTheme="majorBidi"/>
        </w:rPr>
        <w:t>AIEA, CCI</w:t>
      </w:r>
      <w:r w:rsidRPr="0075304B">
        <w:rPr>
          <w:rFonts w:asciiTheme="majorBidi" w:hAnsiTheme="majorBidi"/>
          <w:sz w:val="20"/>
        </w:rPr>
        <w:t>*</w:t>
      </w:r>
      <w:r w:rsidRPr="0075304B">
        <w:rPr>
          <w:rFonts w:asciiTheme="majorBidi" w:hAnsiTheme="majorBidi"/>
        </w:rPr>
        <w:t>, CNUCED, FAO, FNUAP, HCR, OACI, OIT, OMI, OMM, OMPI, OMS, ONU, ONU</w:t>
      </w:r>
      <w:r w:rsidRPr="0075304B">
        <w:rPr>
          <w:rFonts w:asciiTheme="majorBidi" w:hAnsiTheme="majorBidi"/>
        </w:rPr>
        <w:noBreakHyphen/>
        <w:t>Femmes, ONU-Habitat, ONUDC, ONUDI, ONUSIDA, PAM, PNUD, PNUE, UIT, UNESCO, UNICEF, UNOPS et UNRWA.</w:t>
      </w:r>
    </w:p>
  </w:footnote>
  <w:footnote w:id="110">
    <w:p w:rsidR="00ED0903" w:rsidRPr="00B72C78" w:rsidRDefault="00ED0903" w:rsidP="00CC73D4">
      <w:pPr>
        <w:pStyle w:val="Notedebasdepage"/>
        <w:rPr>
          <w:lang w:val="en-US"/>
        </w:rPr>
      </w:pPr>
      <w:r w:rsidRPr="0075304B">
        <w:tab/>
      </w:r>
      <w:r w:rsidRPr="0075304B">
        <w:rPr>
          <w:rStyle w:val="Appelnotedebasdep"/>
        </w:rPr>
        <w:footnoteRef/>
      </w:r>
      <w:r w:rsidRPr="00B72C78">
        <w:rPr>
          <w:lang w:val="en-US"/>
        </w:rPr>
        <w:tab/>
        <w:t>ST/SGB/107/Rev.6.</w:t>
      </w:r>
    </w:p>
  </w:footnote>
  <w:footnote w:id="111">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ST/AI/2013/3.</w:t>
      </w:r>
    </w:p>
  </w:footnote>
  <w:footnote w:id="112">
    <w:p w:rsidR="00ED0903" w:rsidRPr="0075304B" w:rsidRDefault="00ED0903" w:rsidP="00CC73D4">
      <w:pPr>
        <w:pStyle w:val="Notedebasdepage"/>
      </w:pPr>
      <w:r w:rsidRPr="00B72C78">
        <w:rPr>
          <w:lang w:val="en-US"/>
        </w:rPr>
        <w:tab/>
      </w:r>
      <w:r w:rsidRPr="0075304B">
        <w:rPr>
          <w:rStyle w:val="Appelnotedebasdep"/>
        </w:rPr>
        <w:footnoteRef/>
      </w:r>
      <w:r w:rsidRPr="0075304B">
        <w:tab/>
        <w:t>ST/SGB/107/Rev.6.</w:t>
      </w:r>
    </w:p>
  </w:footnote>
  <w:footnote w:id="113">
    <w:p w:rsidR="00ED0903" w:rsidRPr="00B72C78" w:rsidRDefault="00ED0903" w:rsidP="00CC73D4">
      <w:pPr>
        <w:pStyle w:val="Notedebasdepage"/>
        <w:rPr>
          <w:lang w:val="en-US"/>
        </w:rPr>
      </w:pPr>
      <w:r w:rsidRPr="0075304B">
        <w:tab/>
      </w:r>
      <w:r w:rsidRPr="0075304B">
        <w:rPr>
          <w:rStyle w:val="Appelnotedebasdep"/>
        </w:rPr>
        <w:footnoteRef/>
      </w:r>
      <w:r w:rsidRPr="0075304B">
        <w:tab/>
        <w:t>Voir, par exemple, la résolution 69/274 de l’Assemblée générale, sect. </w:t>
      </w:r>
      <w:r w:rsidRPr="00B72C78">
        <w:rPr>
          <w:lang w:val="en-US"/>
        </w:rPr>
        <w:t>IV, par. 8.</w:t>
      </w:r>
    </w:p>
  </w:footnote>
  <w:footnote w:id="114">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JIU/REP/2004/10.</w:t>
      </w:r>
    </w:p>
  </w:footnote>
  <w:footnote w:id="115">
    <w:p w:rsidR="00ED0903" w:rsidRPr="0075304B" w:rsidRDefault="00ED0903" w:rsidP="00CC73D4">
      <w:pPr>
        <w:pStyle w:val="Notedebasdepage"/>
      </w:pPr>
      <w:r w:rsidRPr="00B72C78">
        <w:rPr>
          <w:lang w:val="en-US"/>
        </w:rPr>
        <w:tab/>
      </w:r>
      <w:r w:rsidRPr="0075304B">
        <w:rPr>
          <w:rStyle w:val="Appelnotedebasdep"/>
        </w:rPr>
        <w:footnoteRef/>
      </w:r>
      <w:r w:rsidRPr="00B72C78">
        <w:rPr>
          <w:lang w:val="en-US"/>
        </w:rPr>
        <w:tab/>
        <w:t xml:space="preserve">Carlson Wagonlit Travel Management Institute, </w:t>
      </w:r>
      <w:r w:rsidRPr="00B72C78">
        <w:rPr>
          <w:i/>
          <w:lang w:val="en-US"/>
        </w:rPr>
        <w:t>Playing by the Rules: Optimizing Travel Policy and Compliance</w:t>
      </w:r>
      <w:r w:rsidRPr="00B72C78">
        <w:rPr>
          <w:lang w:val="en-US"/>
        </w:rPr>
        <w:t xml:space="preserve"> (2008), p. 62 à 64. </w:t>
      </w:r>
      <w:r w:rsidRPr="0075304B">
        <w:t xml:space="preserve">Consultable à l’adresse : </w:t>
      </w:r>
      <w:hyperlink r:id="rId4" w:history="1">
        <w:r w:rsidRPr="0075304B">
          <w:rPr>
            <w:rStyle w:val="Lienhypertexte"/>
          </w:rPr>
          <w:t>www.carlsonwagonlit.it/export/sites/cwt/it/</w:t>
        </w:r>
        <w:r w:rsidRPr="0075304B">
          <w:rPr>
            <w:rStyle w:val="Lienhypertexte"/>
          </w:rPr>
          <w:br/>
          <w:t>countries/it/cwt_news/cwt_eventi/playing_by_the_rules_handbook.pdf</w:t>
        </w:r>
      </w:hyperlink>
      <w:r w:rsidRPr="0075304B">
        <w:t>.</w:t>
      </w:r>
    </w:p>
  </w:footnote>
  <w:footnote w:id="116">
    <w:p w:rsidR="00ED0903" w:rsidRPr="0075304B" w:rsidRDefault="00ED0903" w:rsidP="00CC73D4">
      <w:pPr>
        <w:pStyle w:val="Notedebasdepage"/>
      </w:pPr>
      <w:r w:rsidRPr="0075304B">
        <w:tab/>
      </w:r>
      <w:r w:rsidRPr="0075304B">
        <w:rPr>
          <w:rStyle w:val="Appelnotedebasdep"/>
        </w:rPr>
        <w:footnoteRef/>
      </w:r>
      <w:r w:rsidRPr="0075304B">
        <w:tab/>
        <w:t>JIU/REP/2011/5, par. 95.</w:t>
      </w:r>
    </w:p>
  </w:footnote>
  <w:footnote w:id="117">
    <w:p w:rsidR="00ED0903" w:rsidRPr="0075304B" w:rsidRDefault="00ED0903" w:rsidP="00CC73D4">
      <w:pPr>
        <w:pStyle w:val="Notedebasdepage"/>
      </w:pPr>
      <w:r w:rsidRPr="0075304B">
        <w:tab/>
      </w:r>
      <w:r w:rsidRPr="0075304B">
        <w:rPr>
          <w:rStyle w:val="Appelnotedebasdep"/>
        </w:rPr>
        <w:footnoteRef/>
      </w:r>
      <w:r w:rsidRPr="0075304B">
        <w:tab/>
        <w:t>JIU/REP/2011/5, par. 88.</w:t>
      </w:r>
    </w:p>
  </w:footnote>
  <w:footnote w:id="118">
    <w:p w:rsidR="00ED0903" w:rsidRPr="0075304B" w:rsidRDefault="00ED0903" w:rsidP="00CC73D4">
      <w:pPr>
        <w:pStyle w:val="Notedebasdepage"/>
      </w:pPr>
      <w:r w:rsidRPr="0075304B">
        <w:tab/>
      </w:r>
      <w:r w:rsidRPr="0075304B">
        <w:rPr>
          <w:rStyle w:val="Appelnotedebasdep"/>
        </w:rPr>
        <w:footnoteRef/>
      </w:r>
      <w:r w:rsidRPr="0075304B">
        <w:tab/>
        <w:t>CCI*, FNUAP, HCR, OIT, OMPI, OMS, ONU, ONU-Femmes, ONUDI, ONUSIDA, PAM, UNESCO, UNICEF, UNOPS et UNRWA.</w:t>
      </w:r>
    </w:p>
  </w:footnote>
  <w:footnote w:id="119">
    <w:p w:rsidR="00ED0903" w:rsidRPr="0075304B" w:rsidRDefault="00ED0903" w:rsidP="00CC73D4">
      <w:pPr>
        <w:pStyle w:val="Notedebasdepage"/>
      </w:pPr>
      <w:r w:rsidRPr="0075304B">
        <w:tab/>
      </w:r>
      <w:r w:rsidRPr="0075304B">
        <w:rPr>
          <w:rStyle w:val="Appelnotedebasdep"/>
        </w:rPr>
        <w:footnoteRef/>
      </w:r>
      <w:r w:rsidRPr="00B72C78">
        <w:rPr>
          <w:lang w:val="en-US"/>
        </w:rPr>
        <w:tab/>
        <w:t xml:space="preserve">PNUE, </w:t>
      </w:r>
      <w:r w:rsidRPr="00B72C78">
        <w:rPr>
          <w:i/>
          <w:lang w:val="en-US"/>
        </w:rPr>
        <w:t>Greening the Blue Report 2016:</w:t>
      </w:r>
      <w:r w:rsidRPr="00B72C78">
        <w:rPr>
          <w:lang w:val="en-US"/>
        </w:rPr>
        <w:t xml:space="preserve"> </w:t>
      </w:r>
      <w:r w:rsidRPr="00B72C78">
        <w:rPr>
          <w:i/>
          <w:lang w:val="en-US"/>
        </w:rPr>
        <w:t>The UN System’s environmental footprint and efforts to reduce it</w:t>
      </w:r>
      <w:r w:rsidRPr="00B72C78">
        <w:rPr>
          <w:lang w:val="en-US"/>
        </w:rPr>
        <w:t xml:space="preserve">. </w:t>
      </w:r>
      <w:r w:rsidRPr="0075304B">
        <w:t xml:space="preserve">Consultable à l’adresse : </w:t>
      </w:r>
      <w:hyperlink r:id="rId5" w:history="1">
        <w:r w:rsidRPr="0075304B">
          <w:rPr>
            <w:rStyle w:val="Lienhypertexte"/>
          </w:rPr>
          <w:t>www.unenvironment.org/fr/system/404?destination=/</w:t>
        </w:r>
        <w:r w:rsidRPr="0075304B">
          <w:rPr>
            <w:rStyle w:val="Lienhypertexte"/>
          </w:rPr>
          <w:br/>
          <w:t>&amp;_exception_statuscode=404</w:t>
        </w:r>
      </w:hyperlink>
      <w:r w:rsidRPr="0075304B">
        <w:t>.</w:t>
      </w:r>
    </w:p>
    <w:p w:rsidR="00ED0903" w:rsidRPr="0075304B" w:rsidRDefault="00ED0903" w:rsidP="00DB58E8">
      <w:pPr>
        <w:pStyle w:val="Notedebasdepage"/>
        <w:ind w:firstLine="0"/>
      </w:pPr>
      <w:r w:rsidRPr="0075304B">
        <w:t>Résumé graphique en français intitulé « </w:t>
      </w:r>
      <w:r w:rsidRPr="0075304B">
        <w:rPr>
          <w:i/>
        </w:rPr>
        <w:t>Du bleu au vert – Rapport 2016 : L’empreinte écologique du système des Nations Unies et les efforts menés pour la réduire</w:t>
      </w:r>
      <w:r w:rsidRPr="0075304B">
        <w:t xml:space="preserve"> » consultable à l’adresse : </w:t>
      </w:r>
      <w:hyperlink r:id="rId6" w:history="1">
        <w:r w:rsidRPr="0075304B">
          <w:rPr>
            <w:rStyle w:val="Lienhypertexte"/>
          </w:rPr>
          <w:t>http://www.greeningtheblue.org/sites/default/files/FRA_INFOG_movingtoward_221116.pdf</w:t>
        </w:r>
      </w:hyperlink>
      <w:r w:rsidRPr="0075304B">
        <w:t>.</w:t>
      </w:r>
    </w:p>
  </w:footnote>
  <w:footnote w:id="120">
    <w:p w:rsidR="00ED0903" w:rsidRPr="0075304B" w:rsidRDefault="00ED0903" w:rsidP="00CC73D4">
      <w:pPr>
        <w:pStyle w:val="Notedebasdepage"/>
        <w:rPr>
          <w:bCs/>
          <w:szCs w:val="18"/>
        </w:rPr>
      </w:pPr>
      <w:r w:rsidRPr="0075304B">
        <w:rPr>
          <w:sz w:val="20"/>
        </w:rPr>
        <w:tab/>
      </w:r>
      <w:r w:rsidRPr="0075304B">
        <w:rPr>
          <w:rStyle w:val="Appelnotedebasdep"/>
        </w:rPr>
        <w:footnoteRef/>
      </w:r>
      <w:r w:rsidRPr="00B72C78">
        <w:rPr>
          <w:sz w:val="20"/>
          <w:lang w:val="en-US"/>
        </w:rPr>
        <w:tab/>
      </w:r>
      <w:r w:rsidRPr="00B72C78">
        <w:rPr>
          <w:bCs/>
          <w:szCs w:val="18"/>
          <w:lang w:val="en-US"/>
        </w:rPr>
        <w:t xml:space="preserve">Collective Agreement on Travel Conditions between the International Labour Office and the OIT Staff Union. </w:t>
      </w:r>
      <w:r w:rsidRPr="0075304B">
        <w:rPr>
          <w:bCs/>
          <w:szCs w:val="18"/>
        </w:rPr>
        <w:t xml:space="preserve">Consultable à l’adresse : </w:t>
      </w:r>
      <w:hyperlink r:id="rId7" w:history="1">
        <w:r w:rsidRPr="0075304B">
          <w:rPr>
            <w:rStyle w:val="Lienhypertexte"/>
            <w:bCs/>
            <w:szCs w:val="18"/>
          </w:rPr>
          <w:t>www.ilostaffunion.org/new/wp-content/uploads/Collective-agreement-signed-GV-CLK-13.12.2012.pdf</w:t>
        </w:r>
      </w:hyperlink>
      <w:r w:rsidRPr="0075304B">
        <w:rPr>
          <w:bCs/>
          <w:szCs w:val="18"/>
        </w:rPr>
        <w:t>.</w:t>
      </w:r>
    </w:p>
  </w:footnote>
  <w:footnote w:id="121">
    <w:p w:rsidR="00ED0903" w:rsidRPr="0075304B" w:rsidRDefault="00ED0903" w:rsidP="00CC73D4">
      <w:pPr>
        <w:pStyle w:val="Notedebasdepage"/>
        <w:rPr>
          <w:szCs w:val="18"/>
        </w:rPr>
      </w:pPr>
      <w:r w:rsidRPr="0075304B">
        <w:rPr>
          <w:szCs w:val="18"/>
        </w:rPr>
        <w:tab/>
      </w:r>
      <w:r w:rsidRPr="0075304B">
        <w:rPr>
          <w:rStyle w:val="Appelnotedebasdep"/>
        </w:rPr>
        <w:footnoteRef/>
      </w:r>
      <w:r w:rsidRPr="0075304B">
        <w:rPr>
          <w:szCs w:val="18"/>
        </w:rPr>
        <w:tab/>
        <w:t xml:space="preserve">Tous les lieux d’affectation sont classés par la CFPI dans l’une des six catégories suivantes : A, B, C, D, E et H. La catégorie H regroupe les villes sièges et d’autres lieux d’affection similaires situés dans les pays où l’ONU n’a pas de programme de développement ou d’aide humanitaire. Les autres lieux d’affectation classés dans les catégories A à E, par ordre de difficulté des conditions de vie et de travail. </w:t>
      </w:r>
      <w:r w:rsidRPr="0075304B">
        <w:rPr>
          <w:i/>
          <w:szCs w:val="18"/>
        </w:rPr>
        <w:t>Source</w:t>
      </w:r>
      <w:r w:rsidRPr="0075304B">
        <w:rPr>
          <w:szCs w:val="18"/>
        </w:rPr>
        <w:t> : ST/IC/2009/25.</w:t>
      </w:r>
    </w:p>
  </w:footnote>
  <w:footnote w:id="122">
    <w:p w:rsidR="00ED0903" w:rsidRPr="0075304B" w:rsidRDefault="00ED0903" w:rsidP="00CC73D4">
      <w:pPr>
        <w:pStyle w:val="Notedebasdepage"/>
        <w:rPr>
          <w:szCs w:val="18"/>
        </w:rPr>
      </w:pPr>
      <w:r w:rsidRPr="0075304B">
        <w:rPr>
          <w:szCs w:val="18"/>
        </w:rPr>
        <w:tab/>
      </w:r>
      <w:r w:rsidRPr="0075304B">
        <w:rPr>
          <w:rStyle w:val="Appelnotedebasdep"/>
        </w:rPr>
        <w:footnoteRef/>
      </w:r>
      <w:r w:rsidRPr="0075304B">
        <w:rPr>
          <w:szCs w:val="18"/>
        </w:rPr>
        <w:tab/>
        <w:t>JIU/REP/2016/9.</w:t>
      </w:r>
    </w:p>
  </w:footnote>
  <w:footnote w:id="123">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r>
      <w:r w:rsidRPr="0075304B">
        <w:t>AIEA, CCI</w:t>
      </w:r>
      <w:r w:rsidRPr="0075304B">
        <w:rPr>
          <w:sz w:val="20"/>
        </w:rPr>
        <w:t>*</w:t>
      </w:r>
      <w:r w:rsidRPr="0075304B">
        <w:t>, CNUCED, FAO, FNUAP, HCR, OACI, OIT, OMI, OMPI, OMS, OMT, ONU, ONU</w:t>
      </w:r>
      <w:r w:rsidRPr="0075304B">
        <w:noBreakHyphen/>
        <w:t>Femmes, ONUDC, ONUDI, ONUSIDA, PAM, PNUD, PNUE, UIT, UNESCO et UNICEF.</w:t>
      </w:r>
      <w:r w:rsidRPr="0075304B">
        <w:rPr>
          <w:rFonts w:asciiTheme="majorBidi" w:hAnsiTheme="majorBidi" w:cstheme="majorBidi"/>
        </w:rPr>
        <w:t xml:space="preserve"> L’inclusion du module voyages du progiciel de gestion intégré est à l’étude à l’UNRWA. L’UPU ne dispose pas de progiciel de cet ordre. Il n’a pas été reçu de réponse de l’OMM et d’ONU-Habitat.</w:t>
      </w:r>
    </w:p>
  </w:footnote>
  <w:footnote w:id="124">
    <w:p w:rsidR="00ED0903" w:rsidRPr="0075304B" w:rsidRDefault="00ED0903" w:rsidP="00CC73D4">
      <w:pPr>
        <w:pStyle w:val="Notedebasdepage"/>
      </w:pPr>
      <w:r w:rsidRPr="0075304B">
        <w:tab/>
      </w:r>
      <w:r w:rsidRPr="0075304B">
        <w:rPr>
          <w:rStyle w:val="Appelnotedebasdep"/>
        </w:rPr>
        <w:footnoteRef/>
      </w:r>
      <w:r w:rsidRPr="0075304B">
        <w:tab/>
        <w:t>L’OIT, l’ONU et l’UNESCO.</w:t>
      </w:r>
    </w:p>
  </w:footnote>
  <w:footnote w:id="125">
    <w:p w:rsidR="00ED0903" w:rsidRPr="0075304B" w:rsidRDefault="00ED0903" w:rsidP="00CC73D4">
      <w:pPr>
        <w:pStyle w:val="Notedebasdepage"/>
      </w:pPr>
      <w:r w:rsidRPr="0075304B">
        <w:tab/>
      </w:r>
      <w:r w:rsidRPr="0075304B">
        <w:rPr>
          <w:rStyle w:val="Appelnotedebasdep"/>
        </w:rPr>
        <w:footnoteRef/>
      </w:r>
      <w:r w:rsidRPr="0075304B">
        <w:tab/>
        <w:t>JIU/REP/1995/10, par. 93.</w:t>
      </w:r>
    </w:p>
  </w:footnote>
  <w:footnote w:id="126">
    <w:p w:rsidR="00ED0903" w:rsidRPr="0075304B" w:rsidRDefault="00ED0903" w:rsidP="00CC73D4">
      <w:pPr>
        <w:pStyle w:val="Notedebasdepage"/>
      </w:pPr>
      <w:r w:rsidRPr="0075304B">
        <w:tab/>
      </w:r>
      <w:r w:rsidRPr="0075304B">
        <w:rPr>
          <w:rStyle w:val="Appelnotedebasdep"/>
        </w:rPr>
        <w:footnoteRef/>
      </w:r>
      <w:r w:rsidRPr="0075304B">
        <w:tab/>
        <w:t>Alliance GAVI, CCI</w:t>
      </w:r>
      <w:r w:rsidRPr="0075304B">
        <w:rPr>
          <w:sz w:val="20"/>
        </w:rPr>
        <w:t>*</w:t>
      </w:r>
      <w:r w:rsidRPr="0075304B">
        <w:t>, Fonds mondial, HCR, OIT, OMC, OMM, OMPI, OMS, ONUG, ONUSIDA, UIT et UNICEF.</w:t>
      </w:r>
    </w:p>
  </w:footnote>
  <w:footnote w:id="127">
    <w:p w:rsidR="00ED0903" w:rsidRPr="0075304B" w:rsidRDefault="00ED0903" w:rsidP="00CC73D4">
      <w:pPr>
        <w:pStyle w:val="Notedebasdepage"/>
      </w:pPr>
      <w:r w:rsidRPr="0075304B">
        <w:tab/>
      </w:r>
      <w:r w:rsidRPr="0075304B">
        <w:rPr>
          <w:rStyle w:val="Appelnotedebasdep"/>
        </w:rPr>
        <w:footnoteRef/>
      </w:r>
      <w:r w:rsidRPr="0075304B">
        <w:tab/>
        <w:t>BCD Travel (PAM) et Carlson Wagonlit (FAO).</w:t>
      </w:r>
    </w:p>
  </w:footnote>
  <w:footnote w:id="128">
    <w:p w:rsidR="00ED0903" w:rsidRPr="0075304B" w:rsidRDefault="00ED0903" w:rsidP="00CC73D4">
      <w:pPr>
        <w:pStyle w:val="Notedebasdepage"/>
      </w:pPr>
      <w:r w:rsidRPr="0075304B">
        <w:tab/>
      </w:r>
      <w:r w:rsidRPr="0075304B">
        <w:rPr>
          <w:rStyle w:val="Appelnotedebasdep"/>
        </w:rPr>
        <w:footnoteRef/>
      </w:r>
      <w:r w:rsidRPr="0075304B">
        <w:tab/>
        <w:t>American Express (AIEA, ONUDC, ONUV et Organisation du Traité d’interdiction complète des essais nucléaires) et Carlson Wagonlit (ONUDI).</w:t>
      </w:r>
    </w:p>
  </w:footnote>
  <w:footnote w:id="129">
    <w:p w:rsidR="00ED0903" w:rsidRPr="0075304B" w:rsidRDefault="00ED0903" w:rsidP="00CC73D4">
      <w:pPr>
        <w:pStyle w:val="Notedebasdepage"/>
      </w:pPr>
      <w:r w:rsidRPr="0075304B">
        <w:tab/>
      </w:r>
      <w:r w:rsidRPr="0075304B">
        <w:rPr>
          <w:rStyle w:val="Appelnotedebasdep"/>
        </w:rPr>
        <w:footnoteRef/>
      </w:r>
      <w:r w:rsidRPr="0075304B">
        <w:tab/>
        <w:t>Ultramar (FNUAP, Fonds d’équipement des Nations Unies (FENU), ONU-Femmes et PNUD), American Express (Siège de l’ONU) et Omega (UNICEF).</w:t>
      </w:r>
    </w:p>
  </w:footnote>
  <w:footnote w:id="130">
    <w:p w:rsidR="00ED0903" w:rsidRPr="0075304B" w:rsidRDefault="00ED0903" w:rsidP="00CC73D4">
      <w:pPr>
        <w:pStyle w:val="Notedebasdepage"/>
      </w:pPr>
      <w:r w:rsidRPr="0075304B">
        <w:tab/>
      </w:r>
      <w:r w:rsidRPr="0075304B">
        <w:rPr>
          <w:rStyle w:val="Appelnotedebasdep"/>
        </w:rPr>
        <w:footnoteRef/>
      </w:r>
      <w:r w:rsidRPr="0075304B">
        <w:tab/>
        <w:t>A/66/739, par. 55.</w:t>
      </w:r>
    </w:p>
  </w:footnote>
  <w:footnote w:id="131">
    <w:p w:rsidR="00ED0903" w:rsidRPr="0075304B" w:rsidRDefault="00ED0903" w:rsidP="00CC73D4">
      <w:pPr>
        <w:pStyle w:val="Notedebasdepage"/>
      </w:pPr>
      <w:r w:rsidRPr="0075304B">
        <w:tab/>
      </w:r>
      <w:r w:rsidRPr="0075304B">
        <w:rPr>
          <w:rStyle w:val="Appelnotedebasdep"/>
        </w:rPr>
        <w:footnoteRef/>
      </w:r>
      <w:r w:rsidRPr="0075304B">
        <w:tab/>
        <w:t>Voir JIU/REP/2014/9.</w:t>
      </w:r>
    </w:p>
  </w:footnote>
  <w:footnote w:id="132">
    <w:p w:rsidR="00ED0903" w:rsidRPr="0075304B" w:rsidRDefault="00ED0903" w:rsidP="00CC73D4">
      <w:pPr>
        <w:pStyle w:val="Notedebasdepage"/>
        <w:rPr>
          <w:szCs w:val="18"/>
        </w:rPr>
      </w:pPr>
      <w:r w:rsidRPr="0075304B">
        <w:tab/>
      </w:r>
      <w:r w:rsidRPr="0075304B">
        <w:rPr>
          <w:rStyle w:val="Appelnotedebasdep"/>
        </w:rPr>
        <w:footnoteRef/>
      </w:r>
      <w:r w:rsidRPr="0075304B">
        <w:tab/>
      </w:r>
      <w:r w:rsidRPr="0075304B">
        <w:rPr>
          <w:rFonts w:asciiTheme="majorBidi" w:hAnsiTheme="majorBidi" w:cstheme="majorBidi"/>
          <w:color w:val="222222"/>
          <w:szCs w:val="18"/>
          <w:shd w:val="clear" w:color="auto" w:fill="FFFFFF"/>
        </w:rPr>
        <w:t xml:space="preserve">Un accord de prestation de </w:t>
      </w:r>
      <w:r w:rsidRPr="0075304B">
        <w:rPr>
          <w:rFonts w:asciiTheme="majorBidi" w:hAnsiTheme="majorBidi" w:cstheme="majorBidi"/>
          <w:bCs/>
          <w:color w:val="222222"/>
          <w:szCs w:val="18"/>
          <w:shd w:val="clear" w:color="auto" w:fill="FFFFFF"/>
        </w:rPr>
        <w:t>services est un contrat passé entre le fournisseur de services (interne ou externe) et l’utilisateur final à l’effet de préciser le niveau de service attendu du premier</w:t>
      </w:r>
      <w:r w:rsidRPr="0075304B">
        <w:rPr>
          <w:rFonts w:asciiTheme="majorBidi" w:hAnsiTheme="majorBidi" w:cstheme="majorBidi"/>
          <w:color w:val="222222"/>
          <w:szCs w:val="18"/>
          <w:shd w:val="clear" w:color="auto" w:fill="FFFFFF"/>
        </w:rPr>
        <w:t>. De tels accords sont fondés sur les résultats en ce qu’ils ont spécifiquement pour but de définir ce que recevra le client.</w:t>
      </w:r>
    </w:p>
  </w:footnote>
  <w:footnote w:id="133">
    <w:p w:rsidR="00ED0903" w:rsidRPr="0075304B" w:rsidRDefault="00ED0903" w:rsidP="00CC73D4">
      <w:pPr>
        <w:pStyle w:val="Notedebasdepage"/>
      </w:pPr>
      <w:r w:rsidRPr="0075304B">
        <w:tab/>
      </w:r>
      <w:r w:rsidRPr="0075304B">
        <w:rPr>
          <w:rStyle w:val="Appelnotedebasdep"/>
        </w:rPr>
        <w:footnoteRef/>
      </w:r>
      <w:r w:rsidRPr="0075304B">
        <w:tab/>
        <w:t>A/67/695, par. 49.</w:t>
      </w:r>
    </w:p>
  </w:footnote>
  <w:footnote w:id="134">
    <w:p w:rsidR="00ED0903" w:rsidRPr="0075304B" w:rsidRDefault="00ED0903" w:rsidP="00CC73D4">
      <w:pPr>
        <w:pStyle w:val="Notedebasdepage"/>
      </w:pPr>
      <w:r w:rsidRPr="0075304B">
        <w:tab/>
      </w:r>
      <w:r w:rsidRPr="0075304B">
        <w:rPr>
          <w:rStyle w:val="Appelnotedebasdep"/>
        </w:rPr>
        <w:footnoteRef/>
      </w:r>
      <w:r w:rsidRPr="0075304B">
        <w:tab/>
        <w:t>A/67/695, par. 49.</w:t>
      </w:r>
    </w:p>
  </w:footnote>
  <w:footnote w:id="135">
    <w:p w:rsidR="00ED0903" w:rsidRPr="0075304B" w:rsidRDefault="00ED0903" w:rsidP="00CC73D4">
      <w:pPr>
        <w:pStyle w:val="Notedebasdepage"/>
      </w:pPr>
      <w:r w:rsidRPr="0075304B">
        <w:tab/>
      </w:r>
      <w:r w:rsidRPr="0075304B">
        <w:rPr>
          <w:rStyle w:val="Appelnotedebasdep"/>
        </w:rPr>
        <w:footnoteRef/>
      </w:r>
      <w:r w:rsidRPr="0075304B">
        <w:tab/>
        <w:t>A/69/643, annexe XXII, par. 9.</w:t>
      </w:r>
    </w:p>
  </w:footnote>
  <w:footnote w:id="136">
    <w:p w:rsidR="00ED0903" w:rsidRPr="0075304B" w:rsidRDefault="00ED0903" w:rsidP="00CC73D4">
      <w:pPr>
        <w:pStyle w:val="Notedebasdepage"/>
      </w:pPr>
      <w:r w:rsidRPr="0075304B">
        <w:tab/>
      </w:r>
      <w:r w:rsidRPr="0075304B">
        <w:rPr>
          <w:rStyle w:val="Appelnotedebasdep"/>
        </w:rPr>
        <w:footnoteRef/>
      </w:r>
      <w:r w:rsidRPr="0075304B">
        <w:tab/>
        <w:t>A/67/695.</w:t>
      </w:r>
    </w:p>
  </w:footnote>
  <w:footnote w:id="137">
    <w:p w:rsidR="00ED0903" w:rsidRPr="0075304B" w:rsidRDefault="00ED0903" w:rsidP="00CC73D4">
      <w:pPr>
        <w:pStyle w:val="Notedebasdepage"/>
      </w:pPr>
      <w:r w:rsidRPr="0075304B">
        <w:tab/>
      </w:r>
      <w:r w:rsidRPr="0075304B">
        <w:rPr>
          <w:rStyle w:val="Appelnotedebasdep"/>
        </w:rPr>
        <w:footnoteRef/>
      </w:r>
      <w:r w:rsidRPr="0075304B">
        <w:tab/>
      </w:r>
      <w:r w:rsidRPr="0075304B">
        <w:rPr>
          <w:rFonts w:asciiTheme="majorBidi" w:hAnsiTheme="majorBidi" w:cstheme="majorBidi"/>
        </w:rPr>
        <w:t>Réseau interinstitutions Voyages, rapport de la douzième réunion annuelle (en anglais), 23</w:t>
      </w:r>
      <w:r w:rsidRPr="0075304B">
        <w:rPr>
          <w:rFonts w:asciiTheme="majorBidi" w:hAnsiTheme="majorBidi" w:cstheme="majorBidi"/>
        </w:rPr>
        <w:noBreakHyphen/>
        <w:t>25 septembre 2015, p. 10.</w:t>
      </w:r>
    </w:p>
  </w:footnote>
  <w:footnote w:id="138">
    <w:p w:rsidR="00ED0903" w:rsidRPr="0075304B" w:rsidRDefault="00ED0903" w:rsidP="00CC73D4">
      <w:pPr>
        <w:pStyle w:val="Notedebasdepage"/>
      </w:pPr>
      <w:r w:rsidRPr="0075304B">
        <w:tab/>
      </w:r>
      <w:r w:rsidRPr="0075304B">
        <w:rPr>
          <w:rStyle w:val="Appelnotedebasdep"/>
        </w:rPr>
        <w:footnoteRef/>
      </w:r>
      <w:r w:rsidRPr="0075304B">
        <w:tab/>
        <w:t>A/69/643, annexe XXII, par. 5.</w:t>
      </w:r>
    </w:p>
  </w:footnote>
  <w:footnote w:id="139">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Suite aux modifications imposées par les compagnies aériennes aux systèmes de réservation, les billets doivent à présent être achetés peu de temps après la réservation, généralement dans les 24 heures, pour en garantir la réservation et le prix. Auparavant, les réservations pouvaient être garanties jusqu’à une semaine avant le départ. Cependant, dans leur souci de maximiser les recettes, les compagnies aériennes privilégient l’achat après la réservation.</w:t>
      </w:r>
    </w:p>
  </w:footnote>
  <w:footnote w:id="140">
    <w:p w:rsidR="00ED0903" w:rsidRPr="0075304B" w:rsidRDefault="00ED0903" w:rsidP="00CC73D4">
      <w:pPr>
        <w:pStyle w:val="Notedebasdepage"/>
      </w:pPr>
      <w:r w:rsidRPr="0075304B">
        <w:tab/>
      </w:r>
      <w:r w:rsidRPr="0075304B">
        <w:rPr>
          <w:rStyle w:val="Appelnotedebasdep"/>
        </w:rPr>
        <w:footnoteRef/>
      </w:r>
      <w:r w:rsidRPr="0075304B">
        <w:tab/>
        <w:t>OACI, OIT, OMPI, PNUE et UNICEF.</w:t>
      </w:r>
    </w:p>
  </w:footnote>
  <w:footnote w:id="141">
    <w:p w:rsidR="00ED0903" w:rsidRPr="0075304B" w:rsidRDefault="00ED0903" w:rsidP="00CC73D4">
      <w:pPr>
        <w:pStyle w:val="Notedebasdepage"/>
      </w:pPr>
      <w:r w:rsidRPr="0075304B">
        <w:tab/>
      </w:r>
      <w:r w:rsidRPr="0075304B">
        <w:rPr>
          <w:rStyle w:val="Appelnotedebasdep"/>
        </w:rPr>
        <w:footnoteRef/>
      </w:r>
      <w:r w:rsidRPr="0075304B">
        <w:tab/>
        <w:t>OMS et UIT.</w:t>
      </w:r>
    </w:p>
  </w:footnote>
  <w:footnote w:id="142">
    <w:p w:rsidR="00ED0903" w:rsidRPr="0075304B" w:rsidRDefault="00ED0903" w:rsidP="00CC73D4">
      <w:pPr>
        <w:pStyle w:val="Notedebasdepage"/>
      </w:pPr>
      <w:r w:rsidRPr="0075304B">
        <w:tab/>
      </w:r>
      <w:r w:rsidRPr="0075304B">
        <w:rPr>
          <w:rStyle w:val="Appelnotedebasdep"/>
        </w:rPr>
        <w:footnoteRef/>
      </w:r>
      <w:r w:rsidRPr="0075304B">
        <w:tab/>
        <w:t>HCR, UNESCO et UNOPS.</w:t>
      </w:r>
    </w:p>
  </w:footnote>
  <w:footnote w:id="143">
    <w:p w:rsidR="00ED0903" w:rsidRPr="0075304B" w:rsidRDefault="00ED0903" w:rsidP="00CC73D4">
      <w:pPr>
        <w:pStyle w:val="Notedebasdepage"/>
        <w:rPr>
          <w:rFonts w:asciiTheme="majorBidi" w:hAnsiTheme="majorBidi" w:cstheme="majorBidi"/>
        </w:rPr>
      </w:pPr>
      <w:r w:rsidRPr="0075304B">
        <w:tab/>
      </w:r>
      <w:r w:rsidRPr="0075304B">
        <w:rPr>
          <w:rStyle w:val="Appelnotedebasdep"/>
        </w:rPr>
        <w:footnoteRef/>
      </w:r>
      <w:r w:rsidRPr="0075304B">
        <w:tab/>
        <w:t>AIEA, CCI</w:t>
      </w:r>
      <w:r w:rsidRPr="0075304B">
        <w:rPr>
          <w:sz w:val="20"/>
        </w:rPr>
        <w:t>*</w:t>
      </w:r>
      <w:r w:rsidRPr="0075304B">
        <w:t>, CNUCED, FNUAP, OMI, OMM, ONU, ONU-Femmes, ONUDC, ONUSIDA, PAM, PNUD, PNUE, UNRWA et UPU.</w:t>
      </w:r>
    </w:p>
  </w:footnote>
  <w:footnote w:id="144">
    <w:p w:rsidR="00ED0903" w:rsidRPr="0075304B" w:rsidRDefault="00ED0903" w:rsidP="00CC73D4">
      <w:pPr>
        <w:pStyle w:val="Notedebasdepage"/>
      </w:pPr>
      <w:r w:rsidRPr="0075304B">
        <w:tab/>
      </w:r>
      <w:r w:rsidRPr="0075304B">
        <w:rPr>
          <w:rStyle w:val="Appelnotedebasdep"/>
        </w:rPr>
        <w:footnoteRef/>
      </w:r>
      <w:r w:rsidRPr="0075304B">
        <w:tab/>
        <w:t>Pas d’économies pour l’itinéraire Genève-Nairobi acheté 31 jours à l’avance au lieu de 5 jours à l’avance.</w:t>
      </w:r>
    </w:p>
  </w:footnote>
  <w:footnote w:id="145">
    <w:p w:rsidR="00ED0903" w:rsidRPr="00B72C78" w:rsidRDefault="00ED0903" w:rsidP="00CC73D4">
      <w:pPr>
        <w:pStyle w:val="Notedebasdepage"/>
        <w:rPr>
          <w:lang w:val="en-US"/>
        </w:rPr>
      </w:pPr>
      <w:r w:rsidRPr="0075304B">
        <w:tab/>
      </w:r>
      <w:r w:rsidRPr="0075304B">
        <w:rPr>
          <w:rStyle w:val="Appelnotedebasdep"/>
        </w:rPr>
        <w:footnoteRef/>
      </w:r>
      <w:r w:rsidRPr="00B72C78">
        <w:rPr>
          <w:lang w:val="en-US"/>
        </w:rPr>
        <w:tab/>
        <w:t>New York-Genève, Genève-Nairobi, Beyrouth-New York et Paris-New York.</w:t>
      </w:r>
    </w:p>
  </w:footnote>
  <w:footnote w:id="146">
    <w:p w:rsidR="00ED0903" w:rsidRPr="0075304B" w:rsidRDefault="00ED0903" w:rsidP="00CC73D4">
      <w:pPr>
        <w:pStyle w:val="Notedebasdepage"/>
      </w:pPr>
      <w:r w:rsidRPr="00B72C78">
        <w:rPr>
          <w:lang w:val="en-US"/>
        </w:rPr>
        <w:tab/>
      </w:r>
      <w:r w:rsidRPr="0075304B">
        <w:rPr>
          <w:rStyle w:val="Appelnotedebasdep"/>
        </w:rPr>
        <w:footnoteRef/>
      </w:r>
      <w:r w:rsidRPr="0075304B">
        <w:tab/>
        <w:t>L’</w:t>
      </w:r>
      <w:r w:rsidRPr="0075304B">
        <w:rPr>
          <w:rFonts w:eastAsia="Calibri"/>
          <w:color w:val="000000"/>
          <w:lang w:eastAsia="en-GB"/>
        </w:rPr>
        <w:t>UNICEF a signalé que face au paysage mouvant des interventions d’urgence et humanitaires, 63 % de toutes les demandes de billets soumises en 2016 l’avaient été dans les sept jours du départ, ce qui constituait pour cette catégorie de demandes une augmentation de 20 % par rapport à l’année précédente. Pour contenir le coût des billets de dernière minute, un dispositif de vérification des tarifs internationaux a été intégré dans le processus de réservation de l’UNICEF afin de repérer les meilleurs tarifs disponibles à la dernière minute (promotions, offres sur places invendues, tarifs en ligne, etc.).</w:t>
      </w:r>
    </w:p>
  </w:footnote>
  <w:footnote w:id="147">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Résolutions 65/628 (sect. IV, par. 13), 67/254 (sect. VI, par. 6) et 69/274 (sect. IV, par. 11) de l’Assemblée générale.</w:t>
      </w:r>
    </w:p>
  </w:footnote>
  <w:footnote w:id="148">
    <w:p w:rsidR="00ED0903" w:rsidRPr="0075304B" w:rsidRDefault="00ED0903" w:rsidP="00DE18AD">
      <w:pPr>
        <w:pStyle w:val="Notedebasdepage"/>
      </w:pPr>
      <w:r w:rsidRPr="0075304B">
        <w:tab/>
      </w:r>
      <w:r w:rsidRPr="0075304B">
        <w:rPr>
          <w:rStyle w:val="Appelnotedebasdep"/>
        </w:rPr>
        <w:footnoteRef/>
      </w:r>
      <w:r w:rsidRPr="0075304B">
        <w:tab/>
        <w:t>États-Unis</w:t>
      </w:r>
      <w:r w:rsidRPr="0075304B">
        <w:rPr>
          <w:rFonts w:asciiTheme="majorBidi" w:hAnsiTheme="majorBidi" w:cstheme="majorBidi"/>
        </w:rPr>
        <w:t>.</w:t>
      </w:r>
    </w:p>
  </w:footnote>
  <w:footnote w:id="149">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États-Unis, Bureau exécutif du Président, Memorandum M-12-12 (11 mai 2012).</w:t>
      </w:r>
    </w:p>
  </w:footnote>
  <w:footnote w:id="150">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Voir résolution 65/268 de l’Assemblée générale, sect. IV.</w:t>
      </w:r>
    </w:p>
  </w:footnote>
  <w:footnote w:id="151">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A/69/787.</w:t>
      </w:r>
    </w:p>
  </w:footnote>
  <w:footnote w:id="152">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 xml:space="preserve">BSCI, Division de l’audit interne, Assignment </w:t>
      </w:r>
      <w:r w:rsidRPr="0075304B">
        <w:rPr>
          <w:rFonts w:asciiTheme="majorBidi" w:eastAsia="MS Mincho" w:hAnsiTheme="majorBidi" w:cstheme="majorBidi"/>
          <w:szCs w:val="22"/>
        </w:rPr>
        <w:t>n</w:t>
      </w:r>
      <w:r w:rsidRPr="0075304B">
        <w:rPr>
          <w:rFonts w:asciiTheme="majorBidi" w:eastAsia="MS Mincho" w:hAnsiTheme="majorBidi" w:cstheme="majorBidi"/>
          <w:szCs w:val="22"/>
          <w:vertAlign w:val="superscript"/>
        </w:rPr>
        <w:t>o</w:t>
      </w:r>
      <w:r w:rsidRPr="0075304B">
        <w:rPr>
          <w:rFonts w:asciiTheme="majorBidi" w:hAnsiTheme="majorBidi" w:cstheme="majorBidi"/>
        </w:rPr>
        <w:t> AE2011/321/02, 16 août 2012.</w:t>
      </w:r>
    </w:p>
  </w:footnote>
  <w:footnote w:id="153">
    <w:p w:rsidR="00ED0903" w:rsidRPr="0075304B" w:rsidRDefault="00ED0903" w:rsidP="00CC73D4">
      <w:pPr>
        <w:pStyle w:val="Notedebasdepage"/>
        <w:rPr>
          <w:highlight w:val="yellow"/>
        </w:rPr>
      </w:pPr>
      <w:r w:rsidRPr="0075304B">
        <w:tab/>
      </w:r>
      <w:r w:rsidRPr="0075304B">
        <w:rPr>
          <w:rStyle w:val="Appelnotedebasdep"/>
        </w:rPr>
        <w:footnoteRef/>
      </w:r>
      <w:r w:rsidRPr="0075304B">
        <w:tab/>
        <w:t>Organisme et année de l’audit le plus récent des voyages en avion : FAO (2015), HCR (2014/15), OACI (2013), OMI (2015), OMPI (2012), OMS (2015), ONU (2013, 2017), ONU-Femmes (2015), ONUDI (2014), PAM (2008), PNUD (2015), UIT (2014), UNESCO (2010), UNICEF (2016) et UNOPS (2013). La CNUCED a indiqué que ses voyages en avion relevaient des audits du Secrétariat de l’ONU en la matière.</w:t>
      </w:r>
    </w:p>
  </w:footnote>
  <w:footnote w:id="154">
    <w:p w:rsidR="00ED0903" w:rsidRPr="0075304B" w:rsidRDefault="00ED0903" w:rsidP="00CC73D4">
      <w:pPr>
        <w:pStyle w:val="Notedebasdepage"/>
      </w:pPr>
      <w:r w:rsidRPr="0075304B">
        <w:tab/>
      </w:r>
      <w:r w:rsidRPr="0075304B">
        <w:rPr>
          <w:rStyle w:val="Appelnotedebasdep"/>
        </w:rPr>
        <w:footnoteRef/>
      </w:r>
      <w:r w:rsidRPr="0075304B">
        <w:tab/>
        <w:t>AIEA, CCI</w:t>
      </w:r>
      <w:r w:rsidRPr="0075304B">
        <w:rPr>
          <w:sz w:val="20"/>
        </w:rPr>
        <w:t>*</w:t>
      </w:r>
      <w:r w:rsidRPr="0075304B">
        <w:t>, ONUSIDA, UNRWA et UPU.</w:t>
      </w:r>
    </w:p>
  </w:footnote>
  <w:footnote w:id="155">
    <w:p w:rsidR="00ED0903" w:rsidRPr="0075304B" w:rsidRDefault="00ED0903" w:rsidP="00CC73D4">
      <w:pPr>
        <w:pStyle w:val="Notedebasdepage"/>
      </w:pPr>
      <w:r w:rsidRPr="0075304B">
        <w:tab/>
      </w:r>
      <w:r w:rsidRPr="0075304B">
        <w:rPr>
          <w:rStyle w:val="Appelnotedebasdep"/>
        </w:rPr>
        <w:footnoteRef/>
      </w:r>
      <w:r w:rsidRPr="0075304B">
        <w:tab/>
        <w:t>Résolution 65/268 de l’Assemblée générale, annexe, par. 2 f).</w:t>
      </w:r>
    </w:p>
  </w:footnote>
  <w:footnote w:id="156">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Résolution 69/274 de l’Assemblée générale, sect. IV, par. 8.</w:t>
      </w:r>
    </w:p>
  </w:footnote>
  <w:footnote w:id="157">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A/69/787, par. 29, et A/71/822, par. 3.</w:t>
      </w:r>
    </w:p>
  </w:footnote>
  <w:footnote w:id="158">
    <w:p w:rsidR="00ED0903" w:rsidRPr="0075304B" w:rsidRDefault="00ED0903" w:rsidP="00CC73D4">
      <w:pPr>
        <w:pStyle w:val="Notedebasdepage"/>
      </w:pPr>
      <w:r w:rsidRPr="0075304B">
        <w:tab/>
      </w:r>
      <w:r w:rsidRPr="0075304B">
        <w:rPr>
          <w:rStyle w:val="Appelnotedebasdep"/>
        </w:rPr>
        <w:footnoteRef/>
      </w:r>
      <w:r w:rsidRPr="0075304B">
        <w:tab/>
        <w:t>Bureau de l’audit et des enquêtes du PNUD, Performance audit of travel management in UNDP, rapport n</w:t>
      </w:r>
      <w:r w:rsidRPr="0075304B">
        <w:rPr>
          <w:vertAlign w:val="superscript"/>
        </w:rPr>
        <w:t>o</w:t>
      </w:r>
      <w:r w:rsidRPr="0075304B">
        <w:t> 1446, 24 juin 2015.</w:t>
      </w:r>
    </w:p>
  </w:footnote>
  <w:footnote w:id="159">
    <w:p w:rsidR="00ED0903" w:rsidRPr="0075304B" w:rsidRDefault="00ED0903" w:rsidP="00CC73D4">
      <w:pPr>
        <w:pStyle w:val="Notedebasdepage"/>
      </w:pPr>
      <w:r w:rsidRPr="0075304B">
        <w:tab/>
      </w:r>
      <w:r w:rsidRPr="0075304B">
        <w:rPr>
          <w:rStyle w:val="Appelnotedebasdep"/>
        </w:rPr>
        <w:footnoteRef/>
      </w:r>
      <w:r w:rsidRPr="0075304B">
        <w:tab/>
      </w:r>
      <w:r w:rsidRPr="0075304B">
        <w:rPr>
          <w:i/>
        </w:rPr>
        <w:t>2015 Aviation Trends</w:t>
      </w:r>
      <w:r w:rsidRPr="0075304B">
        <w:t xml:space="preserve">. Consultable à l’adresse : </w:t>
      </w:r>
      <w:hyperlink r:id="rId8" w:history="1">
        <w:r w:rsidRPr="0075304B">
          <w:rPr>
            <w:rStyle w:val="Lienhypertexte"/>
          </w:rPr>
          <w:t>www.strategyand.pwc.com/perspectives/2015-aviation-trends</w:t>
        </w:r>
      </w:hyperlink>
      <w:r w:rsidRPr="0075304B">
        <w:rPr>
          <w:rStyle w:val="Lienhypertexte"/>
          <w:color w:val="auto"/>
        </w:rPr>
        <w:t>.</w:t>
      </w:r>
    </w:p>
  </w:footnote>
  <w:footnote w:id="160">
    <w:p w:rsidR="00ED0903" w:rsidRPr="0075304B" w:rsidRDefault="00ED0903" w:rsidP="00BF114C">
      <w:pPr>
        <w:pStyle w:val="Notedebasdepage"/>
        <w:spacing w:line="240" w:lineRule="auto"/>
        <w:rPr>
          <w:sz w:val="2"/>
          <w:szCs w:val="2"/>
        </w:rPr>
      </w:pPr>
    </w:p>
  </w:footnote>
  <w:footnote w:id="161">
    <w:p w:rsidR="00ED0903" w:rsidRPr="0075304B" w:rsidRDefault="00ED0903" w:rsidP="00BF114C">
      <w:pPr>
        <w:pStyle w:val="Notedebasdepage"/>
        <w:spacing w:line="240" w:lineRule="auto"/>
        <w:rPr>
          <w:sz w:val="2"/>
          <w:szCs w:val="2"/>
        </w:rPr>
      </w:pPr>
    </w:p>
  </w:footnote>
  <w:footnote w:id="162">
    <w:p w:rsidR="00ED0903" w:rsidRPr="0075304B" w:rsidRDefault="00ED0903" w:rsidP="00CC73D4">
      <w:pPr>
        <w:pStyle w:val="Notedebasdepage"/>
      </w:pPr>
      <w:r w:rsidRPr="0075304B">
        <w:tab/>
      </w:r>
      <w:r w:rsidRPr="0075304B">
        <w:rPr>
          <w:rStyle w:val="Appelnotedebasdep"/>
        </w:rPr>
        <w:footnoteRef/>
      </w:r>
      <w:r w:rsidRPr="0075304B">
        <w:tab/>
        <w:t>FNUAP, HCR, OMPI, OMS, OMT, ONU, ONU-Femmes, ONUDI, ONUSIDA, PNUD, UIT, UNESCO, UNICEF et UNOPS.</w:t>
      </w:r>
    </w:p>
  </w:footnote>
  <w:footnote w:id="163">
    <w:p w:rsidR="00ED0903" w:rsidRPr="0075304B" w:rsidRDefault="00ED0903" w:rsidP="00CC73D4">
      <w:pPr>
        <w:pStyle w:val="Notedebasdepage"/>
      </w:pPr>
      <w:r w:rsidRPr="0075304B">
        <w:tab/>
      </w:r>
      <w:r w:rsidRPr="0075304B">
        <w:rPr>
          <w:rStyle w:val="Appelnotedebasdep"/>
        </w:rPr>
        <w:footnoteRef/>
      </w:r>
      <w:r w:rsidRPr="0075304B">
        <w:tab/>
      </w:r>
      <w:r w:rsidRPr="0075304B">
        <w:rPr>
          <w:bCs/>
          <w:color w:val="000000" w:themeColor="text1"/>
        </w:rPr>
        <w:t>AIEA, CNUCED, ONU (Siège), ONUG et UIT. L’</w:t>
      </w:r>
      <w:r w:rsidRPr="0075304B">
        <w:rPr>
          <w:color w:val="000000"/>
        </w:rPr>
        <w:t>AIEA a effectué des essais d’outils de réservation en ligne, mais comme elle est en train de mettre en place un nouveau progiciel de gestion intégré pour les voyages, la suite des essais a été reportée jusqu’à ce que le progiciel soit entièrement déployé. L’AIEA devrait être prête à utiliser des outils de réservation en ligne d’ici à 2020.</w:t>
      </w:r>
    </w:p>
  </w:footnote>
  <w:footnote w:id="164">
    <w:p w:rsidR="00ED0903" w:rsidRPr="0075304B" w:rsidRDefault="00ED0903" w:rsidP="00CC73D4">
      <w:pPr>
        <w:pStyle w:val="Notedebasdepage"/>
      </w:pPr>
      <w:r w:rsidRPr="0075304B">
        <w:tab/>
      </w:r>
      <w:r w:rsidRPr="0075304B">
        <w:rPr>
          <w:rStyle w:val="Appelnotedebasdep"/>
        </w:rPr>
        <w:footnoteRef/>
      </w:r>
      <w:r w:rsidRPr="0075304B">
        <w:tab/>
      </w:r>
      <w:r w:rsidRPr="0075304B">
        <w:rPr>
          <w:spacing w:val="-2"/>
        </w:rPr>
        <w:t xml:space="preserve">Consultable à l’adresse : </w:t>
      </w:r>
      <w:hyperlink r:id="rId9" w:history="1">
        <w:r w:rsidRPr="0075304B">
          <w:rPr>
            <w:rStyle w:val="Lienhypertexte"/>
            <w:spacing w:val="-2"/>
          </w:rPr>
          <w:t>www.casto.com/wp-content/uploads/2016/01/CastoNewsletter_OBT2013.pdf</w:t>
        </w:r>
      </w:hyperlink>
      <w:r w:rsidRPr="0075304B">
        <w:rPr>
          <w:spacing w:val="-2"/>
        </w:rPr>
        <w:t>.</w:t>
      </w:r>
    </w:p>
  </w:footnote>
  <w:footnote w:id="165">
    <w:p w:rsidR="00ED0903" w:rsidRPr="0075304B" w:rsidRDefault="00ED0903" w:rsidP="00CC73D4">
      <w:pPr>
        <w:pStyle w:val="Notedebasdepage"/>
      </w:pPr>
      <w:r w:rsidRPr="0075304B">
        <w:tab/>
      </w:r>
      <w:r w:rsidRPr="0075304B">
        <w:rPr>
          <w:rStyle w:val="Appelnotedebasdep"/>
        </w:rPr>
        <w:footnoteRef/>
      </w:r>
      <w:r w:rsidRPr="0075304B">
        <w:tab/>
        <w:t>Résolution 65/268 de l’Assemblée générale, sect. IV, par. 11.</w:t>
      </w:r>
    </w:p>
  </w:footnote>
  <w:footnote w:id="166">
    <w:p w:rsidR="00ED0903" w:rsidRPr="0075304B" w:rsidRDefault="00ED0903" w:rsidP="00CC73D4">
      <w:pPr>
        <w:pStyle w:val="Notedebasdepage"/>
        <w:rPr>
          <w:rFonts w:asciiTheme="majorBidi" w:hAnsiTheme="majorBidi" w:cstheme="majorBidi"/>
          <w:szCs w:val="18"/>
        </w:rPr>
      </w:pPr>
      <w:r w:rsidRPr="0075304B">
        <w:tab/>
      </w:r>
      <w:r w:rsidRPr="0075304B">
        <w:rPr>
          <w:rStyle w:val="Appelnotedebasdep"/>
        </w:rPr>
        <w:footnoteRef/>
      </w:r>
      <w:r w:rsidRPr="0075304B">
        <w:tab/>
        <w:t>Déclaration de la Mission permanente des États-Unis devant la Cinquième Commission concernant les conditions de voyage en avion, 4 mars 2013.</w:t>
      </w:r>
    </w:p>
  </w:footnote>
  <w:footnote w:id="167">
    <w:p w:rsidR="00ED0903" w:rsidRPr="0075304B" w:rsidRDefault="00ED0903" w:rsidP="00CC73D4">
      <w:pPr>
        <w:pStyle w:val="Notedebasdepage"/>
      </w:pPr>
      <w:r w:rsidRPr="0075304B">
        <w:tab/>
      </w:r>
      <w:r w:rsidRPr="0075304B">
        <w:rPr>
          <w:rStyle w:val="Appelnotedebasdep"/>
        </w:rPr>
        <w:footnoteRef/>
      </w:r>
      <w:r w:rsidRPr="0075304B">
        <w:tab/>
        <w:t>ST/AI/2013/3.</w:t>
      </w:r>
    </w:p>
  </w:footnote>
  <w:footnote w:id="168">
    <w:p w:rsidR="00ED0903" w:rsidRPr="0075304B" w:rsidRDefault="00ED0903" w:rsidP="00CC73D4">
      <w:pPr>
        <w:pStyle w:val="Notedebasdepage"/>
      </w:pPr>
      <w:r w:rsidRPr="0075304B">
        <w:tab/>
      </w:r>
      <w:r w:rsidRPr="0075304B">
        <w:rPr>
          <w:rStyle w:val="Appelnotedebasdep"/>
        </w:rPr>
        <w:footnoteRef/>
      </w:r>
      <w:r w:rsidRPr="0075304B">
        <w:tab/>
        <w:t>La somme forfaitaire est un paiement que le fonctionnaire accepte en lieu et place de tous les aspects de la prestation à laquelle il a droit (voyage).</w:t>
      </w:r>
    </w:p>
  </w:footnote>
  <w:footnote w:id="169">
    <w:p w:rsidR="00ED0903" w:rsidRPr="00B72C78" w:rsidRDefault="00ED0903" w:rsidP="00CC73D4">
      <w:pPr>
        <w:pStyle w:val="Notedebasdepage"/>
        <w:rPr>
          <w:lang w:val="en-US"/>
        </w:rPr>
      </w:pPr>
      <w:r w:rsidRPr="0075304B">
        <w:tab/>
      </w:r>
      <w:r w:rsidRPr="0075304B">
        <w:rPr>
          <w:rStyle w:val="Appelnotedebasdep"/>
        </w:rPr>
        <w:footnoteRef/>
      </w:r>
      <w:r w:rsidRPr="00B72C78">
        <w:rPr>
          <w:lang w:val="en-US"/>
        </w:rPr>
        <w:tab/>
        <w:t>ST/IC/1990/13.</w:t>
      </w:r>
    </w:p>
  </w:footnote>
  <w:footnote w:id="170">
    <w:p w:rsidR="00ED0903" w:rsidRPr="00B72C78" w:rsidRDefault="00ED0903" w:rsidP="00CC73D4">
      <w:pPr>
        <w:pStyle w:val="Notedebasdepage"/>
        <w:rPr>
          <w:lang w:val="en-US"/>
        </w:rPr>
      </w:pPr>
      <w:r w:rsidRPr="00B72C78">
        <w:rPr>
          <w:lang w:val="en-US"/>
        </w:rPr>
        <w:tab/>
      </w:r>
      <w:r w:rsidRPr="0075304B">
        <w:rPr>
          <w:rStyle w:val="Appelnotedebasdep"/>
        </w:rPr>
        <w:footnoteRef/>
      </w:r>
      <w:r w:rsidRPr="00B72C78">
        <w:rPr>
          <w:lang w:val="en-US"/>
        </w:rPr>
        <w:tab/>
        <w:t>JIU/REP/2012/9, par. 22.</w:t>
      </w:r>
    </w:p>
  </w:footnote>
  <w:footnote w:id="171">
    <w:p w:rsidR="00ED0903" w:rsidRPr="0075304B" w:rsidRDefault="00ED0903" w:rsidP="00CC73D4">
      <w:pPr>
        <w:pStyle w:val="Notedebasdepage"/>
      </w:pPr>
      <w:r w:rsidRPr="00B72C78">
        <w:rPr>
          <w:lang w:val="en-US"/>
        </w:rPr>
        <w:tab/>
      </w:r>
      <w:r w:rsidRPr="0075304B">
        <w:rPr>
          <w:rStyle w:val="Appelnotedebasdep"/>
        </w:rPr>
        <w:footnoteRef/>
      </w:r>
      <w:r w:rsidRPr="0075304B">
        <w:tab/>
        <w:t>A/67/695.</w:t>
      </w:r>
    </w:p>
  </w:footnote>
  <w:footnote w:id="172">
    <w:p w:rsidR="00ED0903" w:rsidRPr="0075304B" w:rsidRDefault="00ED0903" w:rsidP="00CC73D4">
      <w:pPr>
        <w:pStyle w:val="Notedebasdepage"/>
      </w:pPr>
      <w:r w:rsidRPr="0075304B">
        <w:tab/>
      </w:r>
      <w:r w:rsidRPr="0075304B">
        <w:rPr>
          <w:rStyle w:val="Appelnotedebasdep"/>
        </w:rPr>
        <w:footnoteRef/>
      </w:r>
      <w:r w:rsidRPr="0075304B">
        <w:tab/>
        <w:t>A/71/741, par. 43.</w:t>
      </w:r>
    </w:p>
  </w:footnote>
  <w:footnote w:id="173">
    <w:p w:rsidR="00ED0903" w:rsidRPr="0075304B" w:rsidRDefault="00ED0903" w:rsidP="00CC73D4">
      <w:pPr>
        <w:pStyle w:val="Notedebasdepage"/>
      </w:pPr>
      <w:r w:rsidRPr="0075304B">
        <w:tab/>
      </w:r>
      <w:r w:rsidRPr="0075304B">
        <w:rPr>
          <w:rStyle w:val="Appelnotedebasdep"/>
        </w:rPr>
        <w:footnoteRef/>
      </w:r>
      <w:r w:rsidRPr="0075304B">
        <w:tab/>
        <w:t>A/71/822, par. 21.</w:t>
      </w:r>
    </w:p>
  </w:footnote>
  <w:footnote w:id="174">
    <w:p w:rsidR="00ED0903" w:rsidRPr="0075304B" w:rsidRDefault="00ED0903" w:rsidP="00CC73D4">
      <w:pPr>
        <w:pStyle w:val="Notedebasdepage"/>
      </w:pPr>
      <w:r w:rsidRPr="0075304B">
        <w:tab/>
      </w:r>
      <w:r w:rsidRPr="0075304B">
        <w:rPr>
          <w:rStyle w:val="Appelnotedebasdep"/>
        </w:rPr>
        <w:footnoteRef/>
      </w:r>
      <w:r w:rsidRPr="0075304B">
        <w:tab/>
        <w:t>Voir résolutions 63/268, 65/268, 67/254 et 69/274 de l’Assemblée générale.</w:t>
      </w:r>
    </w:p>
  </w:footnote>
  <w:footnote w:id="175">
    <w:p w:rsidR="00ED0903" w:rsidRPr="0075304B" w:rsidRDefault="00ED0903" w:rsidP="00CC73D4">
      <w:pPr>
        <w:pStyle w:val="Notedebasdepage"/>
      </w:pPr>
      <w:r w:rsidRPr="0075304B">
        <w:tab/>
      </w:r>
      <w:r w:rsidRPr="0075304B">
        <w:rPr>
          <w:rStyle w:val="Appelnotedebasdep"/>
        </w:rPr>
        <w:footnoteRef/>
      </w:r>
      <w:r w:rsidRPr="0075304B">
        <w:tab/>
        <w:t>A/66/676, par. 41 à 64. Voir aussi ST/IC/88/6.</w:t>
      </w:r>
    </w:p>
  </w:footnote>
  <w:footnote w:id="176">
    <w:p w:rsidR="00ED0903" w:rsidRPr="0075304B" w:rsidRDefault="00ED0903" w:rsidP="00CC73D4">
      <w:pPr>
        <w:pStyle w:val="Notedebasdepage"/>
        <w:rPr>
          <w:highlight w:val="yellow"/>
        </w:rPr>
      </w:pPr>
      <w:r w:rsidRPr="0075304B">
        <w:tab/>
      </w:r>
      <w:r w:rsidRPr="0075304B">
        <w:rPr>
          <w:rStyle w:val="Appelnotedebasdep"/>
        </w:rPr>
        <w:footnoteRef/>
      </w:r>
      <w:r w:rsidRPr="0075304B">
        <w:tab/>
        <w:t>Réseau interinstitutions Voyages, rapport de la treizième réunion annuelle (en anglais)</w:t>
      </w:r>
      <w:r w:rsidRPr="0075304B">
        <w:rPr>
          <w:bCs/>
        </w:rPr>
        <w:t>, octobre 2016.</w:t>
      </w:r>
    </w:p>
  </w:footnote>
  <w:footnote w:id="177">
    <w:p w:rsidR="00ED0903" w:rsidRPr="0075304B" w:rsidRDefault="00ED0903" w:rsidP="00CC73D4">
      <w:pPr>
        <w:pStyle w:val="Notedebasdepage"/>
      </w:pPr>
      <w:r w:rsidRPr="0075304B">
        <w:tab/>
      </w:r>
      <w:r w:rsidRPr="0075304B">
        <w:rPr>
          <w:rStyle w:val="Appelnotedebasdep"/>
        </w:rPr>
        <w:footnoteRef/>
      </w:r>
      <w:r w:rsidRPr="0075304B">
        <w:tab/>
        <w:t>Résolution 65/268 de l’Assemblée générale, sect. IV, par. 7.</w:t>
      </w:r>
    </w:p>
  </w:footnote>
  <w:footnote w:id="178">
    <w:p w:rsidR="00ED0903" w:rsidRPr="0075304B" w:rsidRDefault="00ED0903" w:rsidP="00CC73D4">
      <w:pPr>
        <w:pStyle w:val="Notedebasdepage"/>
      </w:pPr>
      <w:r w:rsidRPr="0075304B">
        <w:tab/>
      </w:r>
      <w:r w:rsidRPr="0075304B">
        <w:rPr>
          <w:rStyle w:val="Appelnotedebasdep"/>
        </w:rPr>
        <w:footnoteRef/>
      </w:r>
      <w:r w:rsidRPr="0075304B">
        <w:tab/>
        <w:t>Résolutions 69/274 (sect. IV, par. 5 et 6), 67/254 (sect. VI, par. 5) et 65/268 (sect. IV, par. 11) de l’Assemblée générale.</w:t>
      </w:r>
    </w:p>
  </w:footnote>
  <w:footnote w:id="179">
    <w:p w:rsidR="00ED0903" w:rsidRPr="0075304B" w:rsidRDefault="00ED0903" w:rsidP="00CC73D4">
      <w:pPr>
        <w:pStyle w:val="Notedebasdepage"/>
      </w:pPr>
      <w:r w:rsidRPr="0075304B">
        <w:tab/>
      </w:r>
      <w:r w:rsidRPr="0075304B">
        <w:rPr>
          <w:rStyle w:val="Appelnotedebasdep"/>
        </w:rPr>
        <w:footnoteRef/>
      </w:r>
      <w:r w:rsidRPr="0075304B">
        <w:tab/>
        <w:t>Résolution 65/268 de l’Assemblée générale, sect. IV, par. 5.</w:t>
      </w:r>
    </w:p>
  </w:footnote>
  <w:footnote w:id="180">
    <w:p w:rsidR="00ED0903" w:rsidRPr="0075304B" w:rsidRDefault="00ED0903" w:rsidP="00CC73D4">
      <w:pPr>
        <w:pStyle w:val="Notedebasdepage"/>
      </w:pPr>
      <w:r w:rsidRPr="0075304B">
        <w:tab/>
      </w:r>
      <w:r w:rsidRPr="0075304B">
        <w:rPr>
          <w:rStyle w:val="Appelnotedebasdep"/>
        </w:rPr>
        <w:footnoteRef/>
      </w:r>
      <w:r w:rsidRPr="0075304B">
        <w:tab/>
        <w:t>Résolution 69/274 de l’Assemblée générale, sect. IV, par. 8.</w:t>
      </w:r>
    </w:p>
  </w:footnote>
  <w:footnote w:id="181">
    <w:p w:rsidR="00ED0903" w:rsidRPr="0075304B" w:rsidRDefault="00ED0903" w:rsidP="00CC73D4">
      <w:pPr>
        <w:pStyle w:val="Notedebasdepage"/>
      </w:pPr>
      <w:r w:rsidRPr="0075304B">
        <w:tab/>
      </w:r>
      <w:r w:rsidRPr="0075304B">
        <w:rPr>
          <w:rStyle w:val="Appelnotedebasdep"/>
        </w:rPr>
        <w:footnoteRef/>
      </w:r>
      <w:r w:rsidRPr="0075304B">
        <w:tab/>
      </w:r>
      <w:r w:rsidRPr="0075304B">
        <w:rPr>
          <w:color w:val="000000"/>
        </w:rPr>
        <w:t>JIU/REP/1995/10, par. 135 et 175.</w:t>
      </w:r>
    </w:p>
  </w:footnote>
  <w:footnote w:id="182">
    <w:p w:rsidR="00ED0903" w:rsidRPr="0075304B" w:rsidRDefault="00ED0903" w:rsidP="00CC73D4">
      <w:pPr>
        <w:pStyle w:val="Notedebasdepage"/>
      </w:pPr>
      <w:r w:rsidRPr="0075304B">
        <w:tab/>
      </w:r>
      <w:r w:rsidRPr="0075304B">
        <w:rPr>
          <w:rStyle w:val="Appelnotedebasdep"/>
        </w:rPr>
        <w:footnoteRef/>
      </w:r>
      <w:r w:rsidRPr="0075304B">
        <w:tab/>
        <w:t>JIU/REP/2004/10.</w:t>
      </w:r>
    </w:p>
  </w:footnote>
  <w:footnote w:id="183">
    <w:p w:rsidR="00ED0903" w:rsidRPr="0075304B" w:rsidRDefault="00ED0903" w:rsidP="00CC73D4">
      <w:pPr>
        <w:pStyle w:val="Notedebasdepage"/>
      </w:pPr>
      <w:r w:rsidRPr="0075304B">
        <w:tab/>
      </w:r>
      <w:r w:rsidRPr="0075304B">
        <w:rPr>
          <w:rStyle w:val="Appelnotedebasdep"/>
        </w:rPr>
        <w:footnoteRef/>
      </w:r>
      <w:r w:rsidRPr="0075304B">
        <w:tab/>
        <w:t>Résolution 60/255 de l’Assemblée générale, sect. IV, par. 2.</w:t>
      </w:r>
    </w:p>
  </w:footnote>
  <w:footnote w:id="184">
    <w:p w:rsidR="00ED0903" w:rsidRPr="0075304B" w:rsidRDefault="00ED0903" w:rsidP="00CC73D4">
      <w:pPr>
        <w:pStyle w:val="Notedebasdepage"/>
      </w:pPr>
      <w:r w:rsidRPr="0075304B">
        <w:tab/>
      </w:r>
      <w:r w:rsidRPr="0075304B">
        <w:rPr>
          <w:rStyle w:val="Appelnotedebasdep"/>
        </w:rPr>
        <w:footnoteRef/>
      </w:r>
      <w:r w:rsidRPr="0075304B">
        <w:tab/>
        <w:t>A/61/801.</w:t>
      </w:r>
    </w:p>
  </w:footnote>
  <w:footnote w:id="185">
    <w:p w:rsidR="00ED0903" w:rsidRPr="0075304B" w:rsidRDefault="00ED0903" w:rsidP="00CC73D4">
      <w:pPr>
        <w:pStyle w:val="Notedebasdepage"/>
      </w:pPr>
      <w:r w:rsidRPr="0075304B">
        <w:tab/>
      </w:r>
      <w:r w:rsidRPr="0075304B">
        <w:rPr>
          <w:rStyle w:val="Appelnotedebasdep"/>
        </w:rPr>
        <w:footnoteRef/>
      </w:r>
      <w:r w:rsidRPr="0075304B">
        <w:tab/>
        <w:t>Résolution 62/238 de l’Assemblée générale, sect. XV, par. 5 ; demande réitérée dans la résolution 63/268, sect. II, par. 3, et rappelée par la Commission consultative pour les questions administrative et budgétaires dans le document A/63/715, par. 7.</w:t>
      </w:r>
    </w:p>
  </w:footnote>
  <w:footnote w:id="186">
    <w:p w:rsidR="00ED0903" w:rsidRPr="0075304B" w:rsidRDefault="00ED0903" w:rsidP="00CC73D4">
      <w:pPr>
        <w:pStyle w:val="Notedebasdepage"/>
      </w:pPr>
      <w:r w:rsidRPr="0075304B">
        <w:tab/>
      </w:r>
      <w:r w:rsidRPr="0075304B">
        <w:rPr>
          <w:rStyle w:val="Appelnotedebasdep"/>
        </w:rPr>
        <w:footnoteRef/>
      </w:r>
      <w:r w:rsidRPr="0075304B">
        <w:tab/>
        <w:t>A/65/386, par. 6.</w:t>
      </w:r>
    </w:p>
  </w:footnote>
  <w:footnote w:id="187">
    <w:p w:rsidR="00ED0903" w:rsidRPr="0075304B" w:rsidRDefault="00ED0903" w:rsidP="00CC73D4">
      <w:pPr>
        <w:pStyle w:val="Notedebasdepage"/>
        <w:rPr>
          <w:rFonts w:asciiTheme="majorBidi" w:hAnsiTheme="majorBidi" w:cstheme="majorBidi"/>
        </w:rPr>
      </w:pPr>
      <w:r w:rsidRPr="0075304B">
        <w:tab/>
      </w:r>
      <w:r w:rsidRPr="0075304B">
        <w:rPr>
          <w:rStyle w:val="Appelnotedebasdep"/>
        </w:rPr>
        <w:footnoteRef/>
      </w:r>
      <w:r w:rsidRPr="0075304B">
        <w:tab/>
        <w:t>A/65/386, par. 6 à 10.</w:t>
      </w:r>
    </w:p>
  </w:footnote>
  <w:footnote w:id="188">
    <w:p w:rsidR="00ED0903" w:rsidRPr="0075304B" w:rsidRDefault="00ED0903" w:rsidP="00CC73D4">
      <w:pPr>
        <w:pStyle w:val="Notedebasdepage"/>
      </w:pPr>
      <w:r w:rsidRPr="0075304B">
        <w:tab/>
      </w:r>
      <w:r w:rsidRPr="0075304B">
        <w:rPr>
          <w:rStyle w:val="Appelnotedebasdep"/>
        </w:rPr>
        <w:footnoteRef/>
      </w:r>
      <w:r w:rsidRPr="0075304B">
        <w:tab/>
        <w:t>JIU/REP/2010/2.</w:t>
      </w:r>
    </w:p>
  </w:footnote>
  <w:footnote w:id="189">
    <w:p w:rsidR="00ED0903" w:rsidRPr="0075304B" w:rsidRDefault="00ED0903" w:rsidP="00CC73D4">
      <w:pPr>
        <w:pStyle w:val="Notedebasdepage"/>
      </w:pPr>
      <w:r w:rsidRPr="0075304B">
        <w:tab/>
      </w:r>
      <w:r w:rsidRPr="0075304B">
        <w:rPr>
          <w:rStyle w:val="Appelnotedebasdep"/>
        </w:rPr>
        <w:footnoteRef/>
      </w:r>
      <w:r w:rsidRPr="0075304B">
        <w:tab/>
        <w:t>Résolution 65/268 de l’Assemblée générale, sect. IV, par. 3.</w:t>
      </w:r>
    </w:p>
  </w:footnote>
  <w:footnote w:id="190">
    <w:p w:rsidR="00ED0903" w:rsidRPr="0075304B" w:rsidRDefault="00ED0903" w:rsidP="00CC73D4">
      <w:pPr>
        <w:pStyle w:val="Notedebasdepage"/>
      </w:pPr>
      <w:r w:rsidRPr="0075304B">
        <w:tab/>
      </w:r>
      <w:r w:rsidRPr="0075304B">
        <w:rPr>
          <w:rStyle w:val="Appelnotedebasdep"/>
        </w:rPr>
        <w:footnoteRef/>
      </w:r>
      <w:r w:rsidRPr="0075304B">
        <w:tab/>
        <w:t>A/66/676.</w:t>
      </w:r>
    </w:p>
  </w:footnote>
  <w:footnote w:id="191">
    <w:p w:rsidR="00ED0903" w:rsidRPr="0075304B" w:rsidRDefault="00ED0903" w:rsidP="00CC73D4">
      <w:pPr>
        <w:pStyle w:val="Notedebasdepage"/>
      </w:pPr>
      <w:r w:rsidRPr="0075304B">
        <w:tab/>
      </w:r>
      <w:r w:rsidRPr="0075304B">
        <w:rPr>
          <w:rStyle w:val="Appelnotedebasdep"/>
        </w:rPr>
        <w:footnoteRef/>
      </w:r>
      <w:r w:rsidRPr="0075304B">
        <w:tab/>
        <w:t>Résolutions 60/255, 62/238 et 63/268 de l’Assemblée générale.</w:t>
      </w:r>
    </w:p>
  </w:footnote>
  <w:footnote w:id="192">
    <w:p w:rsidR="00ED0903" w:rsidRPr="0075304B" w:rsidRDefault="00ED0903" w:rsidP="00CC73D4">
      <w:pPr>
        <w:pStyle w:val="Notedebasdepage"/>
      </w:pPr>
      <w:r w:rsidRPr="0075304B">
        <w:tab/>
      </w:r>
      <w:r w:rsidRPr="0075304B">
        <w:rPr>
          <w:rStyle w:val="Appelnotedebasdep"/>
        </w:rPr>
        <w:footnoteRef/>
      </w:r>
      <w:r w:rsidRPr="0075304B">
        <w:tab/>
        <w:t xml:space="preserve">Vols consultés à l’adresse </w:t>
      </w:r>
      <w:hyperlink r:id="rId10" w:history="1">
        <w:r w:rsidRPr="0075304B">
          <w:rPr>
            <w:rStyle w:val="Lienhypertexte"/>
          </w:rPr>
          <w:t>www.skyscanner.net</w:t>
        </w:r>
      </w:hyperlink>
      <w:r w:rsidRPr="0075304B">
        <w:t xml:space="preserve"> le 29 mars 2017, compte tenu d’un départ le 24 avril 2017 et d’un retour le 28 avril 2017.</w:t>
      </w:r>
    </w:p>
  </w:footnote>
  <w:footnote w:id="193">
    <w:p w:rsidR="00ED0903" w:rsidRPr="0075304B" w:rsidRDefault="00ED0903" w:rsidP="00CC73D4">
      <w:pPr>
        <w:pStyle w:val="Notedebasdepage"/>
      </w:pPr>
      <w:r w:rsidRPr="0075304B">
        <w:tab/>
      </w:r>
      <w:r w:rsidRPr="0075304B">
        <w:rPr>
          <w:rStyle w:val="Appelnotedebasdep"/>
        </w:rPr>
        <w:footnoteRef/>
      </w:r>
      <w:r w:rsidRPr="0075304B">
        <w:tab/>
        <w:t>AIEA, CCI*, CNUCED, FAO, FNUAP, HCR, OACI, OIT, OMI, OMPI, OMS, ONU-Femmes, ONUDC, ONUDI, ONUSIDA, PAM, PNUD, UIT, UNESCO, UNICEF, UNOPS, UNRWA et UPU.</w:t>
      </w:r>
    </w:p>
  </w:footnote>
  <w:footnote w:id="194">
    <w:p w:rsidR="00ED0903" w:rsidRPr="0075304B" w:rsidRDefault="00ED0903" w:rsidP="00CC73D4">
      <w:pPr>
        <w:pStyle w:val="Notedebasdepage"/>
      </w:pPr>
      <w:r w:rsidRPr="0075304B">
        <w:tab/>
      </w:r>
      <w:r w:rsidRPr="0075304B">
        <w:rPr>
          <w:rStyle w:val="Appelnotedebasdep"/>
        </w:rPr>
        <w:footnoteRef/>
      </w:r>
      <w:r w:rsidRPr="0075304B">
        <w:tab/>
        <w:t>A/67/695.</w:t>
      </w:r>
    </w:p>
  </w:footnote>
  <w:footnote w:id="195">
    <w:p w:rsidR="00ED0903" w:rsidRPr="0075304B" w:rsidRDefault="00ED0903" w:rsidP="00CC73D4">
      <w:pPr>
        <w:pStyle w:val="Notedebasdepage"/>
      </w:pPr>
      <w:r w:rsidRPr="0075304B">
        <w:tab/>
      </w:r>
      <w:r w:rsidRPr="0075304B">
        <w:rPr>
          <w:rStyle w:val="Appelnotedebasdep"/>
        </w:rPr>
        <w:footnoteRef/>
      </w:r>
      <w:r w:rsidRPr="0075304B">
        <w:tab/>
        <w:t xml:space="preserve">AIEA, CCI*, CNUCED, FNUAP, HCR, OACI, OMM, OMPI, OMS, ONU, ONUDC, ONUDI, ONUSIDA, PNUD, </w:t>
      </w:r>
      <w:r>
        <w:t>PNUE, UIT, UNICEF, UNOPS, UNRWA</w:t>
      </w:r>
      <w:r w:rsidRPr="0075304B">
        <w:t xml:space="preserve"> et UPU.</w:t>
      </w:r>
    </w:p>
  </w:footnote>
  <w:footnote w:id="196">
    <w:p w:rsidR="00ED0903" w:rsidRPr="0075304B" w:rsidRDefault="00ED0903" w:rsidP="00CC73D4">
      <w:pPr>
        <w:pStyle w:val="Notedebasdepage"/>
      </w:pPr>
      <w:r w:rsidRPr="0075304B">
        <w:tab/>
      </w:r>
      <w:r w:rsidRPr="0075304B">
        <w:rPr>
          <w:rStyle w:val="Appelnotedebasdep"/>
        </w:rPr>
        <w:footnoteRef/>
      </w:r>
      <w:r w:rsidRPr="0075304B">
        <w:tab/>
        <w:t>FAO, OIT, OMI, PAM et UNESCO.</w:t>
      </w:r>
    </w:p>
  </w:footnote>
  <w:footnote w:id="197">
    <w:p w:rsidR="00ED0903" w:rsidRPr="0075304B" w:rsidRDefault="00ED0903" w:rsidP="00CC73D4">
      <w:pPr>
        <w:pStyle w:val="Notedebasdepage"/>
      </w:pPr>
      <w:r w:rsidRPr="0075304B">
        <w:tab/>
      </w:r>
      <w:r w:rsidRPr="0075304B">
        <w:rPr>
          <w:rStyle w:val="Appelnotedebasdep"/>
        </w:rPr>
        <w:footnoteRef/>
      </w:r>
      <w:r w:rsidRPr="0075304B">
        <w:tab/>
        <w:t>Voir JIU/REP/2012/9, par. 30 à 37, pour un développement de la problématique de classification des tarifs aériens.</w:t>
      </w:r>
    </w:p>
  </w:footnote>
  <w:footnote w:id="198">
    <w:p w:rsidR="00ED0903" w:rsidRPr="0075304B" w:rsidRDefault="00ED0903" w:rsidP="00CC73D4">
      <w:pPr>
        <w:pStyle w:val="Notedebasdepage"/>
      </w:pPr>
      <w:r w:rsidRPr="0075304B">
        <w:tab/>
      </w:r>
      <w:r w:rsidRPr="0075304B">
        <w:rPr>
          <w:rStyle w:val="Appelnotedebasdep"/>
        </w:rPr>
        <w:footnoteRef/>
      </w:r>
      <w:r w:rsidRPr="0075304B">
        <w:tab/>
        <w:t>Voir JIU/REP/2012/9, tableau 2.</w:t>
      </w:r>
    </w:p>
  </w:footnote>
  <w:footnote w:id="199">
    <w:p w:rsidR="00ED0903" w:rsidRPr="0075304B" w:rsidRDefault="00ED0903" w:rsidP="00CC73D4">
      <w:pPr>
        <w:pStyle w:val="Notedebasdepage"/>
      </w:pPr>
      <w:r w:rsidRPr="0075304B">
        <w:tab/>
      </w:r>
      <w:r w:rsidRPr="0075304B">
        <w:rPr>
          <w:rStyle w:val="Appelnotedebasdep"/>
        </w:rPr>
        <w:footnoteRef/>
      </w:r>
      <w:r w:rsidRPr="0075304B">
        <w:tab/>
        <w:t>Voir JIU/REP/2012/9, tableau 2.</w:t>
      </w:r>
    </w:p>
  </w:footnote>
  <w:footnote w:id="200">
    <w:p w:rsidR="00ED0903" w:rsidRPr="0075304B" w:rsidRDefault="00ED0903" w:rsidP="00CC73D4">
      <w:pPr>
        <w:pStyle w:val="Notedebasdepage"/>
      </w:pPr>
      <w:r w:rsidRPr="0075304B">
        <w:tab/>
      </w:r>
      <w:r w:rsidRPr="0075304B">
        <w:rPr>
          <w:rStyle w:val="Appelnotedebasdep"/>
        </w:rPr>
        <w:footnoteRef/>
      </w:r>
      <w:r w:rsidRPr="0075304B">
        <w:tab/>
        <w:t>A/71/417, par. 50.</w:t>
      </w:r>
    </w:p>
  </w:footnote>
  <w:footnote w:id="201">
    <w:p w:rsidR="00ED0903" w:rsidRPr="0075304B" w:rsidRDefault="00ED0903" w:rsidP="00CC73D4">
      <w:pPr>
        <w:pStyle w:val="Notedebasdepage"/>
        <w:rPr>
          <w:rFonts w:asciiTheme="majorBidi" w:hAnsiTheme="majorBidi" w:cstheme="majorBidi"/>
          <w:b/>
          <w:bCs/>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FAO : de 80 % à 75 % ; AIEA : de 75 % à 65 % (2016) ; OACI : de 75 % à 65 % (2011) ; ONU : de 75 % à 70 % (2013) ; UNESCO : de 60 % à 50 % (2012).</w:t>
      </w:r>
    </w:p>
  </w:footnote>
  <w:footnote w:id="202">
    <w:p w:rsidR="00ED0903" w:rsidRPr="0075304B" w:rsidRDefault="00ED0903" w:rsidP="00CC73D4">
      <w:pPr>
        <w:pStyle w:val="Notedebasdepage"/>
      </w:pPr>
      <w:r w:rsidRPr="0075304B">
        <w:tab/>
      </w:r>
      <w:r w:rsidRPr="0075304B">
        <w:rPr>
          <w:rStyle w:val="Appelnotedebasdep"/>
        </w:rPr>
        <w:footnoteRef/>
      </w:r>
      <w:r w:rsidRPr="0075304B">
        <w:tab/>
        <w:t>70 % : CCI*, CNUCED, FNUAP, HCR, ONU, ONUDC, PNUD et PNUE.</w:t>
      </w:r>
    </w:p>
  </w:footnote>
  <w:footnote w:id="203">
    <w:p w:rsidR="00ED0903" w:rsidRPr="0075304B" w:rsidRDefault="00ED0903" w:rsidP="00CC73D4">
      <w:pPr>
        <w:pStyle w:val="Notedebasdepage"/>
      </w:pPr>
      <w:r w:rsidRPr="0075304B">
        <w:tab/>
      </w:r>
      <w:r w:rsidRPr="0075304B">
        <w:rPr>
          <w:rStyle w:val="Appelnotedebasdep"/>
        </w:rPr>
        <w:footnoteRef/>
      </w:r>
      <w:r w:rsidRPr="0075304B">
        <w:tab/>
        <w:t>75 % : OMM, OMS, ONUDI, ONUSIDA, UNICEF, UNOPS et UNRWA.</w:t>
      </w:r>
    </w:p>
  </w:footnote>
  <w:footnote w:id="204">
    <w:p w:rsidR="00ED0903" w:rsidRPr="0075304B" w:rsidRDefault="00ED0903" w:rsidP="00CC73D4">
      <w:pPr>
        <w:pStyle w:val="Notedebasdepage"/>
      </w:pPr>
      <w:r w:rsidRPr="0075304B">
        <w:tab/>
      </w:r>
      <w:r w:rsidRPr="0075304B">
        <w:rPr>
          <w:rStyle w:val="Appelnotedebasdep"/>
        </w:rPr>
        <w:footnoteRef/>
      </w:r>
      <w:r w:rsidRPr="0075304B">
        <w:tab/>
        <w:t>A/62/30, par. 57.</w:t>
      </w:r>
    </w:p>
  </w:footnote>
  <w:footnote w:id="205">
    <w:p w:rsidR="00ED0903" w:rsidRPr="0075304B" w:rsidRDefault="00ED0903" w:rsidP="00CC73D4">
      <w:pPr>
        <w:pStyle w:val="Notedebasdepage"/>
      </w:pPr>
      <w:r w:rsidRPr="0075304B">
        <w:tab/>
      </w:r>
      <w:r w:rsidRPr="0075304B">
        <w:rPr>
          <w:rStyle w:val="Appelnotedebasdep"/>
        </w:rPr>
        <w:footnoteRef/>
      </w:r>
      <w:r w:rsidRPr="0075304B">
        <w:tab/>
        <w:t>A/66/739, par. 6.</w:t>
      </w:r>
    </w:p>
  </w:footnote>
  <w:footnote w:id="206">
    <w:p w:rsidR="00ED0903" w:rsidRPr="0075304B" w:rsidRDefault="00ED0903" w:rsidP="00CC73D4">
      <w:pPr>
        <w:pStyle w:val="Notedebasdepage"/>
      </w:pPr>
      <w:r w:rsidRPr="0075304B">
        <w:tab/>
      </w:r>
      <w:r w:rsidRPr="0075304B">
        <w:rPr>
          <w:rStyle w:val="Appelnotedebasdep"/>
        </w:rPr>
        <w:footnoteRef/>
      </w:r>
      <w:r w:rsidRPr="0075304B">
        <w:tab/>
        <w:t>JIU/REP/1995/10, par. 140 à 145.</w:t>
      </w:r>
    </w:p>
  </w:footnote>
  <w:footnote w:id="207">
    <w:p w:rsidR="00ED0903" w:rsidRPr="0075304B" w:rsidRDefault="00ED0903" w:rsidP="00CC73D4">
      <w:pPr>
        <w:pStyle w:val="Notedebasdepage"/>
      </w:pPr>
      <w:r w:rsidRPr="0075304B">
        <w:tab/>
      </w:r>
      <w:r w:rsidRPr="0075304B">
        <w:rPr>
          <w:rStyle w:val="Appelnotedebasdep"/>
        </w:rPr>
        <w:footnoteRef/>
      </w:r>
      <w:r w:rsidRPr="0075304B">
        <w:tab/>
        <w:t>Une escale : FNUAP, OMPI, ONU-Femmes et PNUD. Une ou deux escales : FAO, OMI, ONUDI, ONUSIDA, PAM, UIT, UNESCO et UPU.</w:t>
      </w:r>
    </w:p>
  </w:footnote>
  <w:footnote w:id="208">
    <w:p w:rsidR="00ED0903" w:rsidRPr="0075304B" w:rsidRDefault="00ED0903" w:rsidP="00CC73D4">
      <w:pPr>
        <w:pStyle w:val="Notedebasdepage"/>
      </w:pPr>
      <w:r w:rsidRPr="0075304B">
        <w:tab/>
      </w:r>
      <w:r w:rsidRPr="0075304B">
        <w:rPr>
          <w:rStyle w:val="Appelnotedebasdep"/>
        </w:rPr>
        <w:footnoteRef/>
      </w:r>
      <w:r w:rsidRPr="0075304B">
        <w:tab/>
        <w:t>CCI</w:t>
      </w:r>
      <w:r w:rsidRPr="0075304B">
        <w:rPr>
          <w:sz w:val="20"/>
        </w:rPr>
        <w:t>*</w:t>
      </w:r>
      <w:r w:rsidRPr="0075304B">
        <w:t>, CNUCED, HCR, OMM, ONU, ONUDC et PNUE.</w:t>
      </w:r>
    </w:p>
  </w:footnote>
  <w:footnote w:id="209">
    <w:p w:rsidR="00ED0903" w:rsidRPr="0075304B" w:rsidRDefault="00ED0903" w:rsidP="00CC73D4">
      <w:pPr>
        <w:pStyle w:val="Notedebasdepage"/>
      </w:pPr>
      <w:r w:rsidRPr="0075304B">
        <w:tab/>
      </w:r>
      <w:r w:rsidRPr="0075304B">
        <w:rPr>
          <w:rStyle w:val="Appelnotedebasdep"/>
        </w:rPr>
        <w:footnoteRef/>
      </w:r>
      <w:r w:rsidRPr="0075304B">
        <w:tab/>
        <w:t>FAO, FNUAP, OACI, OIT, OMI, OMPI, ONU-Femmes, ONUDI, ONUSIDA, PAM, PNUD, UIT et UNESCO.</w:t>
      </w:r>
    </w:p>
  </w:footnote>
  <w:footnote w:id="210">
    <w:p w:rsidR="00ED0903" w:rsidRPr="0075304B" w:rsidRDefault="00ED0903" w:rsidP="00CC73D4">
      <w:pPr>
        <w:pStyle w:val="Notedebasdepage"/>
      </w:pPr>
      <w:r w:rsidRPr="0075304B">
        <w:tab/>
      </w:r>
      <w:r w:rsidRPr="0075304B">
        <w:rPr>
          <w:rStyle w:val="Appelnotedebasdep"/>
        </w:rPr>
        <w:footnoteRef/>
      </w:r>
      <w:r w:rsidRPr="0075304B">
        <w:tab/>
        <w:t>AIEA, OMS, OMT, UNICEF et UPU.</w:t>
      </w:r>
    </w:p>
  </w:footnote>
  <w:footnote w:id="211">
    <w:p w:rsidR="00ED0903" w:rsidRPr="0075304B" w:rsidRDefault="00ED0903" w:rsidP="00CC73D4">
      <w:pPr>
        <w:pStyle w:val="Notedebasdepage"/>
      </w:pPr>
      <w:r w:rsidRPr="0075304B">
        <w:tab/>
      </w:r>
      <w:r w:rsidRPr="0075304B">
        <w:rPr>
          <w:rStyle w:val="Appelnotedebasdep"/>
        </w:rPr>
        <w:footnoteRef/>
      </w:r>
      <w:r w:rsidRPr="0075304B">
        <w:tab/>
        <w:t>JIU/REP/2010/2, tableau 2. Voir aussi résolution 65/268 de l’Assemblée générale, sect. IV, par. 7, et annexe, par. 2 b).</w:t>
      </w:r>
    </w:p>
  </w:footnote>
  <w:footnote w:id="212">
    <w:p w:rsidR="00ED0903" w:rsidRPr="0075304B" w:rsidRDefault="00ED0903" w:rsidP="00CC73D4">
      <w:pPr>
        <w:pStyle w:val="Notedebasdepage"/>
      </w:pPr>
      <w:r w:rsidRPr="0075304B">
        <w:tab/>
      </w:r>
      <w:r w:rsidRPr="0075304B">
        <w:rPr>
          <w:rStyle w:val="Appelnotedebasdep"/>
        </w:rPr>
        <w:footnoteRef/>
      </w:r>
      <w:r w:rsidRPr="0075304B">
        <w:tab/>
        <w:t>A/65/386, par. 10.</w:t>
      </w:r>
    </w:p>
  </w:footnote>
  <w:footnote w:id="213">
    <w:p w:rsidR="00ED0903" w:rsidRPr="0075304B" w:rsidRDefault="00ED0903" w:rsidP="00CC73D4">
      <w:pPr>
        <w:pStyle w:val="Notedebasdepage"/>
      </w:pPr>
      <w:r w:rsidRPr="0075304B">
        <w:tab/>
      </w:r>
      <w:r w:rsidRPr="0075304B">
        <w:rPr>
          <w:rStyle w:val="Appelnotedebasdep"/>
        </w:rPr>
        <w:footnoteRef/>
      </w:r>
      <w:r w:rsidRPr="0075304B">
        <w:tab/>
        <w:t>A/65/646/Add.2, sect. IV, et annexe, par. 2 b).</w:t>
      </w:r>
    </w:p>
  </w:footnote>
  <w:footnote w:id="214">
    <w:p w:rsidR="00ED0903" w:rsidRPr="0075304B" w:rsidRDefault="00ED0903" w:rsidP="00CC73D4">
      <w:pPr>
        <w:pStyle w:val="Notedebasdepage"/>
      </w:pPr>
      <w:r w:rsidRPr="0075304B">
        <w:tab/>
      </w:r>
      <w:r w:rsidRPr="0075304B">
        <w:rPr>
          <w:rStyle w:val="Appelnotedebasdep"/>
        </w:rPr>
        <w:footnoteRef/>
      </w:r>
      <w:r w:rsidRPr="0075304B">
        <w:tab/>
        <w:t>JIU/REP/2016/10, recommandation 4.</w:t>
      </w:r>
    </w:p>
  </w:footnote>
  <w:footnote w:id="215">
    <w:p w:rsidR="00ED0903" w:rsidRPr="0075304B" w:rsidRDefault="00ED0903" w:rsidP="00CC73D4">
      <w:pPr>
        <w:pStyle w:val="Notedebasdepage"/>
      </w:pPr>
      <w:r w:rsidRPr="0075304B">
        <w:tab/>
      </w:r>
      <w:r w:rsidRPr="0075304B">
        <w:rPr>
          <w:rStyle w:val="Appelnotedebasdep"/>
        </w:rPr>
        <w:footnoteRef/>
      </w:r>
      <w:r w:rsidRPr="0075304B">
        <w:tab/>
        <w:t>JIU/REP/1995/10, recommandation 1.4.</w:t>
      </w:r>
    </w:p>
  </w:footnote>
  <w:footnote w:id="216">
    <w:p w:rsidR="00ED0903" w:rsidRPr="0075304B" w:rsidRDefault="00ED0903" w:rsidP="00CC73D4">
      <w:pPr>
        <w:pStyle w:val="Notedebasdepage"/>
        <w:rPr>
          <w:rFonts w:asciiTheme="majorBidi" w:hAnsiTheme="majorBidi" w:cstheme="majorBidi"/>
        </w:rPr>
      </w:pPr>
      <w:r w:rsidRPr="0075304B">
        <w:rPr>
          <w:rFonts w:asciiTheme="majorBidi" w:hAnsiTheme="majorBidi" w:cstheme="majorBidi"/>
        </w:rPr>
        <w:tab/>
      </w:r>
      <w:r w:rsidRPr="0075304B">
        <w:rPr>
          <w:rStyle w:val="Appelnotedebasdep"/>
        </w:rPr>
        <w:footnoteRef/>
      </w:r>
      <w:r w:rsidRPr="0075304B">
        <w:rPr>
          <w:rFonts w:asciiTheme="majorBidi" w:hAnsiTheme="majorBidi" w:cstheme="majorBidi"/>
        </w:rPr>
        <w:tab/>
        <w:t xml:space="preserve">Ceci répond également à une recommandation du BSCI tendant à une amélioration de la coordination des gestionnaires de voyages au sein du Secrétariat. A/67/695.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Default="00ED0903" w:rsidP="00EE17A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71526" w:rsidRDefault="00ED0903" w:rsidP="00A71526">
    <w:r>
      <w:rPr>
        <w:noProof/>
        <w:lang w:eastAsia="fr-CH"/>
      </w:rPr>
      <mc:AlternateContent>
        <mc:Choice Requires="wps">
          <w:drawing>
            <wp:anchor distT="0" distB="0" distL="114300" distR="114300" simplePos="0" relativeHeight="251684864"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0903" w:rsidRPr="0094122B" w:rsidRDefault="00ED0903" w:rsidP="00A71526">
                          <w:pPr>
                            <w:pStyle w:val="En-tte"/>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7" o:spid="_x0000_s1047" type="#_x0000_t202" style="position:absolute;margin-left:782.35pt;margin-top:0;width:17pt;height:481.9pt;z-index:2516848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" fillcolor="#4f81bd [3204]" stroked="f" strokeweight=".5pt">
              <v:fill opacity="0"/>
              <v:path arrowok="t"/>
              <v:textbox style="layout-flow:vertical" inset="0,0,0,0">
                <w:txbxContent>
                  <w:p w:rsidR="00ED0903" w:rsidRPr="0094122B" w:rsidRDefault="00ED0903" w:rsidP="00A71526">
                    <w:pPr>
                      <w:pStyle w:val="En-tte"/>
                    </w:pPr>
                    <w:fldSimple w:instr=" TITLE  \* MERGEFORMAT ">
                      <w:r>
                        <w:t>JIU/REP/2017/3</w:t>
                      </w:r>
                    </w:fldSimple>
                  </w:p>
                  <w:p w:rsidR="00ED0903" w:rsidRDefault="00ED0903"/>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71526" w:rsidRDefault="00ED0903" w:rsidP="00A71526">
    <w:r>
      <w:rPr>
        <w:noProof/>
        <w:lang w:eastAsia="fr-CH"/>
      </w:rPr>
      <mc:AlternateContent>
        <mc:Choice Requires="wps">
          <w:drawing>
            <wp:anchor distT="0" distB="0" distL="114300" distR="114300" simplePos="0" relativeHeight="25167257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94122B" w:rsidRDefault="00ED0903" w:rsidP="00A71526">
                          <w:pPr>
                            <w:pStyle w:val="En-tte"/>
                            <w:jc w:val="right"/>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0" o:spid="_x0000_s1048" type="#_x0000_t202" style="position:absolute;margin-left:782.35pt;margin-top:0;width:17pt;height:481.9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I34ndj+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rsidR="00ED0903" w:rsidRPr="0094122B" w:rsidRDefault="00ED0903" w:rsidP="00A71526">
                    <w:pPr>
                      <w:pStyle w:val="En-tte"/>
                      <w:jc w:val="right"/>
                    </w:pPr>
                    <w:fldSimple w:instr=" TITLE  \* MERGEFORMAT ">
                      <w:r>
                        <w:t>JIU/REP/2017/3</w:t>
                      </w:r>
                    </w:fldSimple>
                  </w:p>
                  <w:p w:rsidR="00ED0903" w:rsidRDefault="00ED0903"/>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7A1" w:rsidRDefault="00ED0903" w:rsidP="000B57A1">
    <w:pPr>
      <w:pStyle w:val="En-tte"/>
    </w:pPr>
    <w:fldSimple w:instr=" TITLE  \* MERGEFORMAT ">
      <w:r>
        <w:t>JIU/REP/2017/3</w:t>
      </w:r>
    </w:fldSimple>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7A1" w:rsidRDefault="00ED0903" w:rsidP="000B57A1">
    <w:pPr>
      <w:pStyle w:val="En-tte"/>
      <w:jc w:val="right"/>
    </w:pPr>
    <w:fldSimple w:instr=" TITLE  \* MERGEFORMAT ">
      <w:r>
        <w:t>JIU/REP/2017/3</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2A5753" w:rsidRDefault="00ED0903" w:rsidP="002A5753">
    <w:r>
      <w:rPr>
        <w:noProof/>
        <w:lang w:eastAsia="fr-CH"/>
      </w:rPr>
      <mc:AlternateContent>
        <mc:Choice Requires="wps">
          <w:drawing>
            <wp:anchor distT="0" distB="0" distL="114300" distR="114300" simplePos="0" relativeHeight="25163980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0B57A1" w:rsidRDefault="00ED0903" w:rsidP="002A5753">
                          <w:pPr>
                            <w:pStyle w:val="En-tte"/>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3" o:spid="_x0000_s1051" type="#_x0000_t202" style="position:absolute;margin-left:782.35pt;margin-top:0;width:17pt;height:481.9pt;z-index:2516398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ljyR/AADAAC6BgAADgAAAAAAAAAAAAAAAAAuAgAAZHJzL2Uyb0RvYy54bWxQSwECLQAU&#10;AAYACAAAACEAYVkyYtwAAAAKAQAADwAAAAAAAAAAAAAAAABaBQAAZHJzL2Rvd25yZXYueG1sUEsF&#10;BgAAAAAEAAQA8wAAAGMGAAAAAA==&#10;" fillcolor="#4f81bd [3204]" stroked="f" strokeweight=".5pt">
              <v:fill opacity="0"/>
              <v:stroke joinstyle="round"/>
              <v:textbox style="layout-flow:vertical" inset="0,0,0,0">
                <w:txbxContent>
                  <w:p w:rsidR="00ED0903" w:rsidRPr="000B57A1" w:rsidRDefault="00ED0903" w:rsidP="002A5753">
                    <w:pPr>
                      <w:pStyle w:val="En-tte"/>
                    </w:pPr>
                    <w:fldSimple w:instr=" TITLE  \* MERGEFORMAT ">
                      <w:r>
                        <w:t>JIU/REP/2017/3</w:t>
                      </w:r>
                    </w:fldSimple>
                  </w:p>
                  <w:p w:rsidR="00ED0903" w:rsidRDefault="00ED0903"/>
                </w:txbxContent>
              </v:textbox>
              <w10:wrap anchorx="page"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2A5753" w:rsidRDefault="00ED0903" w:rsidP="002A5753">
    <w:r>
      <w:rPr>
        <w:noProof/>
        <w:lang w:eastAsia="fr-CH"/>
      </w:rPr>
      <mc:AlternateContent>
        <mc:Choice Requires="wps">
          <w:drawing>
            <wp:anchor distT="0" distB="0" distL="114300" distR="114300" simplePos="0" relativeHeight="25166848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0903" w:rsidRPr="000B57A1" w:rsidRDefault="00ED0903" w:rsidP="002A5753">
                          <w:pPr>
                            <w:pStyle w:val="En-tte"/>
                            <w:jc w:val="right"/>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5" o:spid="_x0000_s1052" type="#_x0000_t202" style="position:absolute;margin-left:782.35pt;margin-top:0;width:17pt;height:481.9pt;z-index:2516684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NXVs8cECAACjBQAADgAAAAAAAAAAAAAAAAAuAgAAZHJzL2Uyb0RvYy54bWxQSwECLQAUAAYA&#10;CAAAACEAJOPe6t8AAAAKAQAADwAAAAAAAAAAAAAAAAAbBQAAZHJzL2Rvd25yZXYueG1sUEsFBgAA&#10;AAAEAAQA8wAAACcGAAAAAA==&#10;" fillcolor="#4f81bd [3204]" stroked="f" strokeweight=".5pt">
              <v:fill opacity="0"/>
              <v:path arrowok="t"/>
              <v:textbox style="layout-flow:vertical" inset="0,0,0,0">
                <w:txbxContent>
                  <w:p w:rsidR="00ED0903" w:rsidRPr="000B57A1" w:rsidRDefault="00ED0903" w:rsidP="002A5753">
                    <w:pPr>
                      <w:pStyle w:val="En-tte"/>
                      <w:jc w:val="right"/>
                    </w:pPr>
                    <w:fldSimple w:instr=" TITLE  \* MERGEFORMAT ">
                      <w:r>
                        <w:t>JIU/REP/2017/3</w:t>
                      </w:r>
                    </w:fldSimple>
                  </w:p>
                  <w:p w:rsidR="00ED0903" w:rsidRDefault="00ED0903"/>
                </w:txbxContent>
              </v:textbox>
              <w10:wrap anchorx="page"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170" w:rsidRDefault="00ED0903" w:rsidP="000B5170">
    <w:pPr>
      <w:pStyle w:val="En-tte"/>
    </w:pPr>
    <w:fldSimple w:instr=" TITLE  \* MERGEFORMAT ">
      <w:r>
        <w:t>JIU/REP/2017/3</w:t>
      </w:r>
    </w:fldSimple>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0B5170" w:rsidRDefault="00ED0903" w:rsidP="000B5170">
    <w:pPr>
      <w:pStyle w:val="En-tte"/>
      <w:jc w:val="right"/>
    </w:pPr>
    <w:fldSimple w:instr=" TITLE  \* MERGEFORMAT ">
      <w:r>
        <w:t>JIU/REP/2017/3</w:t>
      </w:r>
    </w:fldSimple>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06C62" w:rsidRDefault="00ED0903" w:rsidP="00A06C62">
    <w:r>
      <w:rPr>
        <w:noProof/>
        <w:lang w:eastAsia="fr-CH"/>
      </w:rPr>
      <mc:AlternateContent>
        <mc:Choice Requires="wps">
          <w:drawing>
            <wp:anchor distT="0" distB="0" distL="114300" distR="114300" simplePos="0" relativeHeight="25165209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0B5170" w:rsidRDefault="00ED0903" w:rsidP="00A06C62">
                          <w:pPr>
                            <w:pStyle w:val="En-tte"/>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7" o:spid="_x0000_s1055"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x71AAMAALsGAAAOAAAAZHJzL2Uyb0RvYy54bWzEVU1v2zAMvQ/YfxB0T21nado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" fillcolor="#4f81bd [3204]" stroked="f" strokeweight=".5pt">
              <v:fill opacity="0"/>
              <v:stroke joinstyle="round"/>
              <v:textbox style="layout-flow:vertical" inset="0,0,0,0">
                <w:txbxContent>
                  <w:p w:rsidR="00ED0903" w:rsidRPr="000B5170" w:rsidRDefault="00ED0903" w:rsidP="00A06C62">
                    <w:pPr>
                      <w:pStyle w:val="En-tte"/>
                    </w:pPr>
                    <w:fldSimple w:instr=" TITLE  \* MERGEFORMAT ">
                      <w:r>
                        <w:t>JIU/REP/2017/3</w:t>
                      </w:r>
                    </w:fldSimple>
                  </w:p>
                  <w:p w:rsidR="00ED0903" w:rsidRDefault="00ED0903"/>
                </w:txbxContent>
              </v:textbox>
              <w10:wrap anchorx="page"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A06C62" w:rsidRDefault="00ED0903" w:rsidP="00A06C62">
    <w:r>
      <w:rPr>
        <w:noProof/>
        <w:lang w:eastAsia="fr-CH"/>
      </w:rPr>
      <mc:AlternateContent>
        <mc:Choice Requires="wps">
          <w:drawing>
            <wp:anchor distT="0" distB="0" distL="114300" distR="114300" simplePos="0" relativeHeight="2516602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0903" w:rsidRPr="000B5170" w:rsidRDefault="00ED0903" w:rsidP="00A06C62">
                          <w:pPr>
                            <w:pStyle w:val="En-tte"/>
                            <w:jc w:val="right"/>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9" o:spid="_x0000_s1056"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" fillcolor="#4f81bd [3204]" stroked="f" strokeweight=".5pt">
              <v:fill opacity="0"/>
              <v:path arrowok="t"/>
              <v:textbox style="layout-flow:vertical" inset="0,0,0,0">
                <w:txbxContent>
                  <w:p w:rsidR="00ED0903" w:rsidRPr="000B5170" w:rsidRDefault="00ED0903" w:rsidP="00A06C62">
                    <w:pPr>
                      <w:pStyle w:val="En-tte"/>
                      <w:jc w:val="right"/>
                    </w:pPr>
                    <w:fldSimple w:instr=" TITLE  \* MERGEFORMAT ">
                      <w:r>
                        <w:t>JIU/REP/2017/3</w:t>
                      </w:r>
                    </w:fldSimple>
                  </w:p>
                  <w:p w:rsidR="00ED0903" w:rsidRDefault="00ED0903"/>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pPr>
      <w:pStyle w:val="En-tte"/>
    </w:pPr>
    <w:fldSimple w:instr=" TITLE  \* MERGEFORMAT ">
      <w:r>
        <w:t>JIU/REP/2017/3</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rsidP="00BA31FC">
    <w:pPr>
      <w:pStyle w:val="En-tte"/>
      <w:jc w:val="right"/>
    </w:pPr>
    <w:fldSimple w:instr=" TITLE  \* MERGEFORMAT ">
      <w:r>
        <w:t>JIU/REP/2017/3</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rsidP="00BA31FC">
    <w:pPr>
      <w:pStyle w:val="En-tte"/>
      <w:jc w:val="right"/>
    </w:pPr>
    <w:fldSimple w:instr=" TITLE  \* MERGEFORMAT ">
      <w:r>
        <w:t>JIU/REP/2017/3</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BA31FC" w:rsidRDefault="00ED0903" w:rsidP="00BA31FC">
    <w:pPr>
      <w:pStyle w:val="En-tte"/>
      <w:jc w:val="right"/>
    </w:pPr>
    <w:fldSimple w:instr=" TITLE  \* MERGEFORMAT ">
      <w:r>
        <w:t>JIU/REP/2017/3</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5E46A7" w:rsidRDefault="00ED0903" w:rsidP="005E46A7">
    <w:r>
      <w:rPr>
        <w:noProof/>
        <w:lang w:eastAsia="fr-CH"/>
      </w:rPr>
      <mc:AlternateContent>
        <mc:Choice Requires="wps">
          <w:drawing>
            <wp:anchor distT="0" distB="0" distL="114300" distR="114300" simplePos="0" relativeHeight="25162752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ED0903" w:rsidRPr="00BA31FC" w:rsidRDefault="00ED0903" w:rsidP="005E46A7">
                          <w:pPr>
                            <w:pStyle w:val="En-tte"/>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43" type="#_x0000_t202" style="position:absolute;margin-left:782.35pt;margin-top:0;width:17pt;height:481.9pt;z-index:2516275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6+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tE+JYg1K9BmFIoUgXmy9IP0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8tMOv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ED0903" w:rsidRPr="00BA31FC" w:rsidRDefault="00ED0903" w:rsidP="005E46A7">
                    <w:pPr>
                      <w:pStyle w:val="En-tte"/>
                    </w:pPr>
                    <w:fldSimple w:instr=" TITLE  \* MERGEFORMAT ">
                      <w:r>
                        <w:t>JIU/REP/2017/3</w:t>
                      </w:r>
                    </w:fldSimple>
                  </w:p>
                  <w:p w:rsidR="00ED0903" w:rsidRDefault="00ED0903"/>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5E46A7" w:rsidRDefault="00ED0903" w:rsidP="005E46A7">
    <w:r>
      <w:rPr>
        <w:noProof/>
        <w:lang w:eastAsia="fr-CH"/>
      </w:rPr>
      <mc:AlternateContent>
        <mc:Choice Requires="wps">
          <w:drawing>
            <wp:anchor distT="0" distB="0" distL="114300" distR="114300" simplePos="0" relativeHeight="251635712"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ED0903" w:rsidRPr="00BA31FC" w:rsidRDefault="00ED0903" w:rsidP="005E46A7">
                          <w:pPr>
                            <w:pStyle w:val="En-tte"/>
                            <w:jc w:val="right"/>
                          </w:pPr>
                          <w:fldSimple w:instr=" TITLE  \* MERGEFORMAT ">
                            <w:r>
                              <w:t>JIU/REP/2017/3</w:t>
                            </w:r>
                          </w:fldSimple>
                        </w:p>
                        <w:p w:rsidR="00ED0903" w:rsidRDefault="00ED09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44" type="#_x0000_t202" style="position:absolute;margin-left:782.35pt;margin-top:0;width:17pt;height:481.9pt;z-index:2516357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" fillcolor="#4f81bd [3204]" stroked="f" strokeweight=".5pt">
              <v:fill opacity="0"/>
              <v:path arrowok="t"/>
              <v:textbox style="layout-flow:vertical" inset="0,0,0,0">
                <w:txbxContent>
                  <w:p w:rsidR="00ED0903" w:rsidRPr="00BA31FC" w:rsidRDefault="00ED0903" w:rsidP="005E46A7">
                    <w:pPr>
                      <w:pStyle w:val="En-tte"/>
                      <w:jc w:val="right"/>
                    </w:pPr>
                    <w:fldSimple w:instr=" TITLE  \* MERGEFORMAT ">
                      <w:r>
                        <w:t>JIU/REP/2017/3</w:t>
                      </w:r>
                    </w:fldSimple>
                  </w:p>
                  <w:p w:rsidR="00ED0903" w:rsidRDefault="00ED0903"/>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94122B" w:rsidRDefault="00ED0903" w:rsidP="0094122B">
    <w:pPr>
      <w:pStyle w:val="En-tte"/>
    </w:pPr>
    <w:fldSimple w:instr=" TITLE  \* MERGEFORMAT ">
      <w:r>
        <w:t>JIU/REP/2017/3</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903" w:rsidRPr="0094122B" w:rsidRDefault="00ED0903" w:rsidP="0094122B">
    <w:pPr>
      <w:pStyle w:val="En-tte"/>
      <w:jc w:val="right"/>
    </w:pPr>
    <w:fldSimple w:instr=" TITLE  \* MERGEFORMAT ">
      <w:r>
        <w:t>JIU/REP/2017/3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6B420A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587A1A"/>
    <w:multiLevelType w:val="hybridMultilevel"/>
    <w:tmpl w:val="2708B300"/>
    <w:lvl w:ilvl="0" w:tplc="FD567EB2">
      <w:start w:val="1"/>
      <w:numFmt w:val="decimal"/>
      <w:lvlText w:val="%1."/>
      <w:lvlJc w:val="left"/>
      <w:pPr>
        <w:tabs>
          <w:tab w:val="num" w:pos="644"/>
        </w:tabs>
        <w:ind w:left="644" w:hanging="360"/>
      </w:pPr>
      <w:rPr>
        <w:b w:val="0"/>
      </w:rPr>
    </w:lvl>
    <w:lvl w:ilvl="1" w:tplc="08090001">
      <w:start w:val="1"/>
      <w:numFmt w:val="bullet"/>
      <w:lvlText w:val=""/>
      <w:lvlJc w:val="left"/>
      <w:pPr>
        <w:tabs>
          <w:tab w:val="num" w:pos="808"/>
        </w:tabs>
        <w:ind w:left="808" w:hanging="720"/>
      </w:pPr>
      <w:rPr>
        <w:rFonts w:ascii="Symbol" w:hAnsi="Symbol" w:hint="default"/>
      </w:rPr>
    </w:lvl>
    <w:lvl w:ilvl="2" w:tplc="C2CC8F6C">
      <w:start w:val="6"/>
      <w:numFmt w:val="upperLetter"/>
      <w:lvlText w:val="%3."/>
      <w:lvlJc w:val="left"/>
      <w:pPr>
        <w:ind w:left="1348" w:hanging="360"/>
      </w:pPr>
      <w:rPr>
        <w:rFonts w:hint="default"/>
      </w:rPr>
    </w:lvl>
    <w:lvl w:ilvl="3" w:tplc="0409000F" w:tentative="1">
      <w:start w:val="1"/>
      <w:numFmt w:val="decimal"/>
      <w:lvlText w:val="%4."/>
      <w:lvlJc w:val="left"/>
      <w:pPr>
        <w:tabs>
          <w:tab w:val="num" w:pos="1888"/>
        </w:tabs>
        <w:ind w:left="1888" w:hanging="360"/>
      </w:pPr>
    </w:lvl>
    <w:lvl w:ilvl="4" w:tplc="04090019" w:tentative="1">
      <w:start w:val="1"/>
      <w:numFmt w:val="lowerLetter"/>
      <w:lvlText w:val="%5."/>
      <w:lvlJc w:val="left"/>
      <w:pPr>
        <w:tabs>
          <w:tab w:val="num" w:pos="2608"/>
        </w:tabs>
        <w:ind w:left="2608" w:hanging="360"/>
      </w:pPr>
    </w:lvl>
    <w:lvl w:ilvl="5" w:tplc="0409001B" w:tentative="1">
      <w:start w:val="1"/>
      <w:numFmt w:val="lowerRoman"/>
      <w:lvlText w:val="%6."/>
      <w:lvlJc w:val="right"/>
      <w:pPr>
        <w:tabs>
          <w:tab w:val="num" w:pos="3328"/>
        </w:tabs>
        <w:ind w:left="3328" w:hanging="180"/>
      </w:pPr>
    </w:lvl>
    <w:lvl w:ilvl="6" w:tplc="0409000F" w:tentative="1">
      <w:start w:val="1"/>
      <w:numFmt w:val="decimal"/>
      <w:lvlText w:val="%7."/>
      <w:lvlJc w:val="left"/>
      <w:pPr>
        <w:tabs>
          <w:tab w:val="num" w:pos="4048"/>
        </w:tabs>
        <w:ind w:left="4048" w:hanging="360"/>
      </w:pPr>
    </w:lvl>
    <w:lvl w:ilvl="7" w:tplc="04090019" w:tentative="1">
      <w:start w:val="1"/>
      <w:numFmt w:val="lowerLetter"/>
      <w:lvlText w:val="%8."/>
      <w:lvlJc w:val="left"/>
      <w:pPr>
        <w:tabs>
          <w:tab w:val="num" w:pos="4768"/>
        </w:tabs>
        <w:ind w:left="4768" w:hanging="360"/>
      </w:pPr>
    </w:lvl>
    <w:lvl w:ilvl="8" w:tplc="0409001B" w:tentative="1">
      <w:start w:val="1"/>
      <w:numFmt w:val="lowerRoman"/>
      <w:lvlText w:val="%9."/>
      <w:lvlJc w:val="right"/>
      <w:pPr>
        <w:tabs>
          <w:tab w:val="num" w:pos="5488"/>
        </w:tabs>
        <w:ind w:left="5488" w:hanging="180"/>
      </w:pPr>
    </w:lvl>
  </w:abstractNum>
  <w:abstractNum w:abstractNumId="12" w15:restartNumberingAfterBreak="0">
    <w:nsid w:val="3ACF4EB2"/>
    <w:multiLevelType w:val="hybridMultilevel"/>
    <w:tmpl w:val="BE9AB9A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3C3EA67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isplayBackgroundShape/>
  <w:attachedTemplate r:id="rId1"/>
  <w:defaultTabStop w:val="567"/>
  <w:hyphenationZone w:val="425"/>
  <w:evenAndOddHeaders/>
  <w:characterSpacingControl w:val="doNotCompress"/>
  <w:hdrShapeDefaults>
    <o:shapedefaults v:ext="edit" spidmax="34817"/>
  </w:hdrShapeDefaults>
  <w:footnotePr>
    <w:footnote w:id="-1"/>
    <w:footnote w:id="0"/>
    <w:footnote w:id="1"/>
  </w:footnotePr>
  <w:endnotePr>
    <w:numFmt w:val="decimal"/>
    <w:endnote w:id="-1"/>
    <w:endnote w:id="0"/>
    <w:endnote w:id="1"/>
  </w:endnotePr>
  <w:compat>
    <w:footnoteLayoutLikeWW8/>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09"/>
    <w:rsid w:val="0000017D"/>
    <w:rsid w:val="000003DF"/>
    <w:rsid w:val="00000AD7"/>
    <w:rsid w:val="0000274B"/>
    <w:rsid w:val="00003D31"/>
    <w:rsid w:val="00004226"/>
    <w:rsid w:val="000044E2"/>
    <w:rsid w:val="000048BE"/>
    <w:rsid w:val="0000746C"/>
    <w:rsid w:val="00007FB2"/>
    <w:rsid w:val="000156C6"/>
    <w:rsid w:val="00016704"/>
    <w:rsid w:val="000167DC"/>
    <w:rsid w:val="00016843"/>
    <w:rsid w:val="00016A05"/>
    <w:rsid w:val="00017F94"/>
    <w:rsid w:val="000204DF"/>
    <w:rsid w:val="00023842"/>
    <w:rsid w:val="00026B1D"/>
    <w:rsid w:val="00027591"/>
    <w:rsid w:val="00030FEC"/>
    <w:rsid w:val="0003104C"/>
    <w:rsid w:val="0003262E"/>
    <w:rsid w:val="00032AFA"/>
    <w:rsid w:val="000334F9"/>
    <w:rsid w:val="00033655"/>
    <w:rsid w:val="00034D4B"/>
    <w:rsid w:val="00037A7E"/>
    <w:rsid w:val="00037DFF"/>
    <w:rsid w:val="000423AB"/>
    <w:rsid w:val="00043285"/>
    <w:rsid w:val="000432D6"/>
    <w:rsid w:val="000438BF"/>
    <w:rsid w:val="00053CDB"/>
    <w:rsid w:val="00054102"/>
    <w:rsid w:val="00054DC3"/>
    <w:rsid w:val="000608E6"/>
    <w:rsid w:val="00065238"/>
    <w:rsid w:val="00066D00"/>
    <w:rsid w:val="00070D17"/>
    <w:rsid w:val="00072A28"/>
    <w:rsid w:val="00072B28"/>
    <w:rsid w:val="0007761A"/>
    <w:rsid w:val="000777E3"/>
    <w:rsid w:val="0007796D"/>
    <w:rsid w:val="00080754"/>
    <w:rsid w:val="00080E39"/>
    <w:rsid w:val="000842B9"/>
    <w:rsid w:val="0008476B"/>
    <w:rsid w:val="000847DE"/>
    <w:rsid w:val="00087247"/>
    <w:rsid w:val="00093BC5"/>
    <w:rsid w:val="00094382"/>
    <w:rsid w:val="00094C32"/>
    <w:rsid w:val="000A1036"/>
    <w:rsid w:val="000A202E"/>
    <w:rsid w:val="000A2261"/>
    <w:rsid w:val="000A2C08"/>
    <w:rsid w:val="000A2FC3"/>
    <w:rsid w:val="000A3489"/>
    <w:rsid w:val="000A680E"/>
    <w:rsid w:val="000A6C82"/>
    <w:rsid w:val="000A7ACE"/>
    <w:rsid w:val="000B16A7"/>
    <w:rsid w:val="000B42BA"/>
    <w:rsid w:val="000B5170"/>
    <w:rsid w:val="000B57A1"/>
    <w:rsid w:val="000B68CE"/>
    <w:rsid w:val="000B7790"/>
    <w:rsid w:val="000C19D3"/>
    <w:rsid w:val="000C1CE3"/>
    <w:rsid w:val="000C47EE"/>
    <w:rsid w:val="000D1AC9"/>
    <w:rsid w:val="000D38A9"/>
    <w:rsid w:val="000D46B9"/>
    <w:rsid w:val="000D5258"/>
    <w:rsid w:val="000D57CD"/>
    <w:rsid w:val="000D5D0D"/>
    <w:rsid w:val="000D5F93"/>
    <w:rsid w:val="000D6591"/>
    <w:rsid w:val="000D6C49"/>
    <w:rsid w:val="000D6D68"/>
    <w:rsid w:val="000E177C"/>
    <w:rsid w:val="000E1A4F"/>
    <w:rsid w:val="000E38FB"/>
    <w:rsid w:val="000E613A"/>
    <w:rsid w:val="000E69C5"/>
    <w:rsid w:val="000E6C13"/>
    <w:rsid w:val="000E773B"/>
    <w:rsid w:val="000F086A"/>
    <w:rsid w:val="000F1C34"/>
    <w:rsid w:val="000F3274"/>
    <w:rsid w:val="000F3641"/>
    <w:rsid w:val="000F5D01"/>
    <w:rsid w:val="000F6CC0"/>
    <w:rsid w:val="000F7991"/>
    <w:rsid w:val="001011BD"/>
    <w:rsid w:val="00101BBD"/>
    <w:rsid w:val="00102A74"/>
    <w:rsid w:val="0010511A"/>
    <w:rsid w:val="00106FD9"/>
    <w:rsid w:val="00111298"/>
    <w:rsid w:val="00111F2F"/>
    <w:rsid w:val="001200C9"/>
    <w:rsid w:val="00122484"/>
    <w:rsid w:val="0012273E"/>
    <w:rsid w:val="00123EAB"/>
    <w:rsid w:val="0012476F"/>
    <w:rsid w:val="00125A04"/>
    <w:rsid w:val="00125EB4"/>
    <w:rsid w:val="00130228"/>
    <w:rsid w:val="0013291C"/>
    <w:rsid w:val="001331B8"/>
    <w:rsid w:val="0013469B"/>
    <w:rsid w:val="00134B6D"/>
    <w:rsid w:val="00135FD8"/>
    <w:rsid w:val="00136866"/>
    <w:rsid w:val="001378D4"/>
    <w:rsid w:val="001402BA"/>
    <w:rsid w:val="001411EA"/>
    <w:rsid w:val="00141673"/>
    <w:rsid w:val="001417ED"/>
    <w:rsid w:val="001419B3"/>
    <w:rsid w:val="0014365E"/>
    <w:rsid w:val="00144D80"/>
    <w:rsid w:val="00145214"/>
    <w:rsid w:val="00145D99"/>
    <w:rsid w:val="00147180"/>
    <w:rsid w:val="00153D41"/>
    <w:rsid w:val="00153F95"/>
    <w:rsid w:val="0015692F"/>
    <w:rsid w:val="00156A58"/>
    <w:rsid w:val="00160058"/>
    <w:rsid w:val="001611A5"/>
    <w:rsid w:val="001622E4"/>
    <w:rsid w:val="00162B4A"/>
    <w:rsid w:val="00163B6B"/>
    <w:rsid w:val="001642E4"/>
    <w:rsid w:val="0016531A"/>
    <w:rsid w:val="001670C9"/>
    <w:rsid w:val="00167510"/>
    <w:rsid w:val="0016782A"/>
    <w:rsid w:val="00171427"/>
    <w:rsid w:val="00172FD1"/>
    <w:rsid w:val="00175AF8"/>
    <w:rsid w:val="00175E9E"/>
    <w:rsid w:val="00175F9A"/>
    <w:rsid w:val="00176178"/>
    <w:rsid w:val="00176E24"/>
    <w:rsid w:val="00183452"/>
    <w:rsid w:val="00183A9C"/>
    <w:rsid w:val="00183AD8"/>
    <w:rsid w:val="00184DFC"/>
    <w:rsid w:val="00186AC9"/>
    <w:rsid w:val="0019144D"/>
    <w:rsid w:val="00194577"/>
    <w:rsid w:val="00196D02"/>
    <w:rsid w:val="00197E15"/>
    <w:rsid w:val="001A1334"/>
    <w:rsid w:val="001A3DCE"/>
    <w:rsid w:val="001A5BC3"/>
    <w:rsid w:val="001A5C9D"/>
    <w:rsid w:val="001A6DD8"/>
    <w:rsid w:val="001A7D0C"/>
    <w:rsid w:val="001B0592"/>
    <w:rsid w:val="001B0F31"/>
    <w:rsid w:val="001B655A"/>
    <w:rsid w:val="001B7C6C"/>
    <w:rsid w:val="001C096D"/>
    <w:rsid w:val="001C284B"/>
    <w:rsid w:val="001C4AEB"/>
    <w:rsid w:val="001C5671"/>
    <w:rsid w:val="001C5EEC"/>
    <w:rsid w:val="001C6D3B"/>
    <w:rsid w:val="001D190E"/>
    <w:rsid w:val="001D3221"/>
    <w:rsid w:val="001D3A58"/>
    <w:rsid w:val="001D47F2"/>
    <w:rsid w:val="001D4F13"/>
    <w:rsid w:val="001D70DE"/>
    <w:rsid w:val="001E1344"/>
    <w:rsid w:val="001E36E7"/>
    <w:rsid w:val="001E48D6"/>
    <w:rsid w:val="001E4A56"/>
    <w:rsid w:val="001E6AC0"/>
    <w:rsid w:val="001F12FB"/>
    <w:rsid w:val="001F525A"/>
    <w:rsid w:val="001F535F"/>
    <w:rsid w:val="001F6974"/>
    <w:rsid w:val="001F6D4F"/>
    <w:rsid w:val="001F6FE6"/>
    <w:rsid w:val="001F7AEE"/>
    <w:rsid w:val="0020153A"/>
    <w:rsid w:val="002025BE"/>
    <w:rsid w:val="00202C4B"/>
    <w:rsid w:val="00203227"/>
    <w:rsid w:val="00203CDD"/>
    <w:rsid w:val="002143D4"/>
    <w:rsid w:val="00214B03"/>
    <w:rsid w:val="00216160"/>
    <w:rsid w:val="002166E8"/>
    <w:rsid w:val="0021692E"/>
    <w:rsid w:val="00220E2C"/>
    <w:rsid w:val="00220EB3"/>
    <w:rsid w:val="00223272"/>
    <w:rsid w:val="00225DC1"/>
    <w:rsid w:val="00230ED8"/>
    <w:rsid w:val="00231FBB"/>
    <w:rsid w:val="002342CF"/>
    <w:rsid w:val="00234F44"/>
    <w:rsid w:val="002354EA"/>
    <w:rsid w:val="00235B68"/>
    <w:rsid w:val="00235D34"/>
    <w:rsid w:val="00236316"/>
    <w:rsid w:val="00236BDE"/>
    <w:rsid w:val="00236BF4"/>
    <w:rsid w:val="00236CF7"/>
    <w:rsid w:val="0024142B"/>
    <w:rsid w:val="0024187F"/>
    <w:rsid w:val="0024194C"/>
    <w:rsid w:val="00243671"/>
    <w:rsid w:val="0024779E"/>
    <w:rsid w:val="002500AE"/>
    <w:rsid w:val="002525FD"/>
    <w:rsid w:val="002529B8"/>
    <w:rsid w:val="0025547D"/>
    <w:rsid w:val="0025591F"/>
    <w:rsid w:val="0025701F"/>
    <w:rsid w:val="002633AF"/>
    <w:rsid w:val="00265500"/>
    <w:rsid w:val="00265B23"/>
    <w:rsid w:val="00267BE8"/>
    <w:rsid w:val="00270996"/>
    <w:rsid w:val="002736A0"/>
    <w:rsid w:val="002747A0"/>
    <w:rsid w:val="002749CB"/>
    <w:rsid w:val="00276F66"/>
    <w:rsid w:val="0028001B"/>
    <w:rsid w:val="00280933"/>
    <w:rsid w:val="0028277F"/>
    <w:rsid w:val="002845EF"/>
    <w:rsid w:val="00285747"/>
    <w:rsid w:val="00291F1D"/>
    <w:rsid w:val="00292261"/>
    <w:rsid w:val="00293924"/>
    <w:rsid w:val="0029396E"/>
    <w:rsid w:val="00294FAE"/>
    <w:rsid w:val="00295238"/>
    <w:rsid w:val="00295AE1"/>
    <w:rsid w:val="002965E7"/>
    <w:rsid w:val="00296B6F"/>
    <w:rsid w:val="00297961"/>
    <w:rsid w:val="002A06EE"/>
    <w:rsid w:val="002A0796"/>
    <w:rsid w:val="002A1A9C"/>
    <w:rsid w:val="002A27C6"/>
    <w:rsid w:val="002A2BDF"/>
    <w:rsid w:val="002A5753"/>
    <w:rsid w:val="002A75A2"/>
    <w:rsid w:val="002A7AA4"/>
    <w:rsid w:val="002B28CB"/>
    <w:rsid w:val="002B43C1"/>
    <w:rsid w:val="002B7B6B"/>
    <w:rsid w:val="002C176A"/>
    <w:rsid w:val="002C5AD8"/>
    <w:rsid w:val="002D13DD"/>
    <w:rsid w:val="002D219D"/>
    <w:rsid w:val="002D507D"/>
    <w:rsid w:val="002D63AB"/>
    <w:rsid w:val="002D6E90"/>
    <w:rsid w:val="002D78CD"/>
    <w:rsid w:val="002E01C4"/>
    <w:rsid w:val="002E1329"/>
    <w:rsid w:val="002E2594"/>
    <w:rsid w:val="002E30FF"/>
    <w:rsid w:val="002E7B10"/>
    <w:rsid w:val="002E7BDF"/>
    <w:rsid w:val="002F1F74"/>
    <w:rsid w:val="002F2F8B"/>
    <w:rsid w:val="002F38AE"/>
    <w:rsid w:val="002F4016"/>
    <w:rsid w:val="002F61CA"/>
    <w:rsid w:val="002F6D33"/>
    <w:rsid w:val="002F6F4E"/>
    <w:rsid w:val="002F737F"/>
    <w:rsid w:val="00301F9F"/>
    <w:rsid w:val="00303CF8"/>
    <w:rsid w:val="00304B64"/>
    <w:rsid w:val="0030530C"/>
    <w:rsid w:val="00317F67"/>
    <w:rsid w:val="003207F0"/>
    <w:rsid w:val="00321169"/>
    <w:rsid w:val="00321D8E"/>
    <w:rsid w:val="003232C3"/>
    <w:rsid w:val="00325ADB"/>
    <w:rsid w:val="00325C8D"/>
    <w:rsid w:val="00326A51"/>
    <w:rsid w:val="00327E31"/>
    <w:rsid w:val="00331F2E"/>
    <w:rsid w:val="00337018"/>
    <w:rsid w:val="00342CAB"/>
    <w:rsid w:val="003434FB"/>
    <w:rsid w:val="003443FD"/>
    <w:rsid w:val="00347099"/>
    <w:rsid w:val="00350B31"/>
    <w:rsid w:val="00350DEE"/>
    <w:rsid w:val="00352216"/>
    <w:rsid w:val="00353607"/>
    <w:rsid w:val="00353C79"/>
    <w:rsid w:val="00354009"/>
    <w:rsid w:val="00355A96"/>
    <w:rsid w:val="003603A2"/>
    <w:rsid w:val="003628EA"/>
    <w:rsid w:val="00363A9B"/>
    <w:rsid w:val="00363E19"/>
    <w:rsid w:val="00365188"/>
    <w:rsid w:val="00367EE8"/>
    <w:rsid w:val="00370DDA"/>
    <w:rsid w:val="0037187F"/>
    <w:rsid w:val="00371B41"/>
    <w:rsid w:val="00371EAE"/>
    <w:rsid w:val="00373A45"/>
    <w:rsid w:val="003756BA"/>
    <w:rsid w:val="00375A11"/>
    <w:rsid w:val="00377033"/>
    <w:rsid w:val="003833F6"/>
    <w:rsid w:val="00386E7D"/>
    <w:rsid w:val="003873D1"/>
    <w:rsid w:val="00392EE8"/>
    <w:rsid w:val="00395823"/>
    <w:rsid w:val="00395EAD"/>
    <w:rsid w:val="003A319C"/>
    <w:rsid w:val="003A31C4"/>
    <w:rsid w:val="003A77C0"/>
    <w:rsid w:val="003A79DC"/>
    <w:rsid w:val="003B0672"/>
    <w:rsid w:val="003B1AD8"/>
    <w:rsid w:val="003B2819"/>
    <w:rsid w:val="003B4F8B"/>
    <w:rsid w:val="003B5208"/>
    <w:rsid w:val="003B5EA4"/>
    <w:rsid w:val="003B6462"/>
    <w:rsid w:val="003C0649"/>
    <w:rsid w:val="003C0D9B"/>
    <w:rsid w:val="003C1301"/>
    <w:rsid w:val="003C18FD"/>
    <w:rsid w:val="003C44CA"/>
    <w:rsid w:val="003C5B85"/>
    <w:rsid w:val="003C6555"/>
    <w:rsid w:val="003D03A6"/>
    <w:rsid w:val="003D04C2"/>
    <w:rsid w:val="003D0813"/>
    <w:rsid w:val="003D6035"/>
    <w:rsid w:val="003E0552"/>
    <w:rsid w:val="003E29AC"/>
    <w:rsid w:val="003E5C4F"/>
    <w:rsid w:val="003E6B7A"/>
    <w:rsid w:val="003E6E33"/>
    <w:rsid w:val="003E7472"/>
    <w:rsid w:val="003F0A6C"/>
    <w:rsid w:val="003F433B"/>
    <w:rsid w:val="003F58A7"/>
    <w:rsid w:val="00400DCC"/>
    <w:rsid w:val="00401A14"/>
    <w:rsid w:val="00405513"/>
    <w:rsid w:val="00405FDA"/>
    <w:rsid w:val="00406F4D"/>
    <w:rsid w:val="0040732A"/>
    <w:rsid w:val="0041056F"/>
    <w:rsid w:val="00411548"/>
    <w:rsid w:val="00413635"/>
    <w:rsid w:val="00415932"/>
    <w:rsid w:val="00416D89"/>
    <w:rsid w:val="0041732E"/>
    <w:rsid w:val="00420590"/>
    <w:rsid w:val="004231B4"/>
    <w:rsid w:val="00423553"/>
    <w:rsid w:val="004255EC"/>
    <w:rsid w:val="00425AE1"/>
    <w:rsid w:val="00426897"/>
    <w:rsid w:val="00426965"/>
    <w:rsid w:val="00430BF8"/>
    <w:rsid w:val="00431CF8"/>
    <w:rsid w:val="00433349"/>
    <w:rsid w:val="00433FD1"/>
    <w:rsid w:val="00434174"/>
    <w:rsid w:val="00434820"/>
    <w:rsid w:val="00435311"/>
    <w:rsid w:val="0043533C"/>
    <w:rsid w:val="004425E0"/>
    <w:rsid w:val="00444754"/>
    <w:rsid w:val="00444939"/>
    <w:rsid w:val="00444F7B"/>
    <w:rsid w:val="00446E17"/>
    <w:rsid w:val="00446FE5"/>
    <w:rsid w:val="00452396"/>
    <w:rsid w:val="00454445"/>
    <w:rsid w:val="00454E23"/>
    <w:rsid w:val="004564A6"/>
    <w:rsid w:val="0046111D"/>
    <w:rsid w:val="00463F57"/>
    <w:rsid w:val="004646CD"/>
    <w:rsid w:val="00466D61"/>
    <w:rsid w:val="00470038"/>
    <w:rsid w:val="00471E58"/>
    <w:rsid w:val="00476F03"/>
    <w:rsid w:val="004771AF"/>
    <w:rsid w:val="00481015"/>
    <w:rsid w:val="00481C0A"/>
    <w:rsid w:val="00483DA3"/>
    <w:rsid w:val="004841EA"/>
    <w:rsid w:val="004926C8"/>
    <w:rsid w:val="00493445"/>
    <w:rsid w:val="0049486B"/>
    <w:rsid w:val="004962BE"/>
    <w:rsid w:val="004A071D"/>
    <w:rsid w:val="004A131A"/>
    <w:rsid w:val="004A17BD"/>
    <w:rsid w:val="004A1D0C"/>
    <w:rsid w:val="004A2920"/>
    <w:rsid w:val="004A3F7E"/>
    <w:rsid w:val="004A4FCD"/>
    <w:rsid w:val="004A7D04"/>
    <w:rsid w:val="004B0381"/>
    <w:rsid w:val="004B4A82"/>
    <w:rsid w:val="004B520C"/>
    <w:rsid w:val="004B650B"/>
    <w:rsid w:val="004B6854"/>
    <w:rsid w:val="004B6D5F"/>
    <w:rsid w:val="004B73D6"/>
    <w:rsid w:val="004B7EBD"/>
    <w:rsid w:val="004C1F24"/>
    <w:rsid w:val="004C4779"/>
    <w:rsid w:val="004C7E04"/>
    <w:rsid w:val="004D05AD"/>
    <w:rsid w:val="004D1BC9"/>
    <w:rsid w:val="004D290D"/>
    <w:rsid w:val="004D2DC7"/>
    <w:rsid w:val="004D3EBD"/>
    <w:rsid w:val="004D6363"/>
    <w:rsid w:val="004D6E56"/>
    <w:rsid w:val="004E126A"/>
    <w:rsid w:val="004E1377"/>
    <w:rsid w:val="004E1725"/>
    <w:rsid w:val="004E19A7"/>
    <w:rsid w:val="004E1D1E"/>
    <w:rsid w:val="004E348E"/>
    <w:rsid w:val="004E4541"/>
    <w:rsid w:val="004E6CC0"/>
    <w:rsid w:val="004E7ECB"/>
    <w:rsid w:val="004F1F45"/>
    <w:rsid w:val="004F21FD"/>
    <w:rsid w:val="00503511"/>
    <w:rsid w:val="00503827"/>
    <w:rsid w:val="00503ABE"/>
    <w:rsid w:val="00505CA9"/>
    <w:rsid w:val="00505CE4"/>
    <w:rsid w:val="00505EB5"/>
    <w:rsid w:val="00506C50"/>
    <w:rsid w:val="00506DF9"/>
    <w:rsid w:val="00506E3C"/>
    <w:rsid w:val="00513774"/>
    <w:rsid w:val="00520DFE"/>
    <w:rsid w:val="0052160F"/>
    <w:rsid w:val="00522AF3"/>
    <w:rsid w:val="00530738"/>
    <w:rsid w:val="00531220"/>
    <w:rsid w:val="00532C9F"/>
    <w:rsid w:val="00533470"/>
    <w:rsid w:val="00533792"/>
    <w:rsid w:val="0053437A"/>
    <w:rsid w:val="00534C63"/>
    <w:rsid w:val="00536685"/>
    <w:rsid w:val="005373E8"/>
    <w:rsid w:val="0054128A"/>
    <w:rsid w:val="005436C9"/>
    <w:rsid w:val="00544A2B"/>
    <w:rsid w:val="005467D2"/>
    <w:rsid w:val="00547A84"/>
    <w:rsid w:val="005505B7"/>
    <w:rsid w:val="00550794"/>
    <w:rsid w:val="0055353C"/>
    <w:rsid w:val="00553FB9"/>
    <w:rsid w:val="0055478D"/>
    <w:rsid w:val="00554CFA"/>
    <w:rsid w:val="00555104"/>
    <w:rsid w:val="00555453"/>
    <w:rsid w:val="00562008"/>
    <w:rsid w:val="0056300E"/>
    <w:rsid w:val="00563191"/>
    <w:rsid w:val="00564F51"/>
    <w:rsid w:val="00565053"/>
    <w:rsid w:val="00566606"/>
    <w:rsid w:val="00572537"/>
    <w:rsid w:val="00572C9B"/>
    <w:rsid w:val="00573BE5"/>
    <w:rsid w:val="00574A4F"/>
    <w:rsid w:val="0057559A"/>
    <w:rsid w:val="00575A33"/>
    <w:rsid w:val="005804F0"/>
    <w:rsid w:val="00580F2A"/>
    <w:rsid w:val="00582647"/>
    <w:rsid w:val="00582733"/>
    <w:rsid w:val="00584A17"/>
    <w:rsid w:val="005859AB"/>
    <w:rsid w:val="00586ED3"/>
    <w:rsid w:val="00587D6E"/>
    <w:rsid w:val="00592DC4"/>
    <w:rsid w:val="00593349"/>
    <w:rsid w:val="00593D72"/>
    <w:rsid w:val="00596187"/>
    <w:rsid w:val="00596AA9"/>
    <w:rsid w:val="0059777D"/>
    <w:rsid w:val="00597F5E"/>
    <w:rsid w:val="005A0496"/>
    <w:rsid w:val="005A2552"/>
    <w:rsid w:val="005A2C00"/>
    <w:rsid w:val="005A2D7B"/>
    <w:rsid w:val="005A34DD"/>
    <w:rsid w:val="005A383A"/>
    <w:rsid w:val="005A5798"/>
    <w:rsid w:val="005A62CC"/>
    <w:rsid w:val="005A7868"/>
    <w:rsid w:val="005B11F8"/>
    <w:rsid w:val="005B331B"/>
    <w:rsid w:val="005B3474"/>
    <w:rsid w:val="005B5833"/>
    <w:rsid w:val="005B5F14"/>
    <w:rsid w:val="005B617D"/>
    <w:rsid w:val="005C1CDF"/>
    <w:rsid w:val="005C2428"/>
    <w:rsid w:val="005C2483"/>
    <w:rsid w:val="005C278E"/>
    <w:rsid w:val="005C37B5"/>
    <w:rsid w:val="005C4158"/>
    <w:rsid w:val="005C5590"/>
    <w:rsid w:val="005C5A09"/>
    <w:rsid w:val="005C68DD"/>
    <w:rsid w:val="005C6CAC"/>
    <w:rsid w:val="005C784B"/>
    <w:rsid w:val="005C7EAE"/>
    <w:rsid w:val="005D05DF"/>
    <w:rsid w:val="005D2F84"/>
    <w:rsid w:val="005D3B68"/>
    <w:rsid w:val="005D71BD"/>
    <w:rsid w:val="005E041E"/>
    <w:rsid w:val="005E075C"/>
    <w:rsid w:val="005E1C3A"/>
    <w:rsid w:val="005E1EC3"/>
    <w:rsid w:val="005E2949"/>
    <w:rsid w:val="005E29D5"/>
    <w:rsid w:val="005E46A7"/>
    <w:rsid w:val="005E6FA5"/>
    <w:rsid w:val="005F1C05"/>
    <w:rsid w:val="005F3945"/>
    <w:rsid w:val="005F4CD7"/>
    <w:rsid w:val="005F7632"/>
    <w:rsid w:val="00601596"/>
    <w:rsid w:val="006028E6"/>
    <w:rsid w:val="00602C3B"/>
    <w:rsid w:val="0060457F"/>
    <w:rsid w:val="006060A2"/>
    <w:rsid w:val="00606705"/>
    <w:rsid w:val="00606750"/>
    <w:rsid w:val="006074A8"/>
    <w:rsid w:val="006103C4"/>
    <w:rsid w:val="0061147D"/>
    <w:rsid w:val="006119D9"/>
    <w:rsid w:val="00613572"/>
    <w:rsid w:val="00613594"/>
    <w:rsid w:val="006140C8"/>
    <w:rsid w:val="00614F14"/>
    <w:rsid w:val="00615525"/>
    <w:rsid w:val="006165E2"/>
    <w:rsid w:val="006232A6"/>
    <w:rsid w:val="0062470E"/>
    <w:rsid w:val="0062605B"/>
    <w:rsid w:val="00626D56"/>
    <w:rsid w:val="00626DCE"/>
    <w:rsid w:val="00630366"/>
    <w:rsid w:val="00630C6E"/>
    <w:rsid w:val="0063400D"/>
    <w:rsid w:val="0063426E"/>
    <w:rsid w:val="00635FED"/>
    <w:rsid w:val="006365D4"/>
    <w:rsid w:val="006378E7"/>
    <w:rsid w:val="00637C51"/>
    <w:rsid w:val="00640A43"/>
    <w:rsid w:val="00644047"/>
    <w:rsid w:val="00644774"/>
    <w:rsid w:val="00646DAC"/>
    <w:rsid w:val="006473B4"/>
    <w:rsid w:val="006503C8"/>
    <w:rsid w:val="00652F20"/>
    <w:rsid w:val="00653A2C"/>
    <w:rsid w:val="0065410F"/>
    <w:rsid w:val="00654656"/>
    <w:rsid w:val="006556B5"/>
    <w:rsid w:val="00657E19"/>
    <w:rsid w:val="0066064B"/>
    <w:rsid w:val="0066377C"/>
    <w:rsid w:val="00663B39"/>
    <w:rsid w:val="00663B7A"/>
    <w:rsid w:val="0066441B"/>
    <w:rsid w:val="006644BA"/>
    <w:rsid w:val="00664976"/>
    <w:rsid w:val="00666E50"/>
    <w:rsid w:val="00670E1E"/>
    <w:rsid w:val="00671F62"/>
    <w:rsid w:val="00672A47"/>
    <w:rsid w:val="00673AFD"/>
    <w:rsid w:val="00676145"/>
    <w:rsid w:val="006767EA"/>
    <w:rsid w:val="00683F76"/>
    <w:rsid w:val="00684B61"/>
    <w:rsid w:val="00685936"/>
    <w:rsid w:val="0069415B"/>
    <w:rsid w:val="00696BA3"/>
    <w:rsid w:val="00697706"/>
    <w:rsid w:val="006A07EB"/>
    <w:rsid w:val="006A161A"/>
    <w:rsid w:val="006A1B3B"/>
    <w:rsid w:val="006A1DC7"/>
    <w:rsid w:val="006A24C0"/>
    <w:rsid w:val="006A31EB"/>
    <w:rsid w:val="006A60C9"/>
    <w:rsid w:val="006A7F58"/>
    <w:rsid w:val="006B1D4B"/>
    <w:rsid w:val="006B32DB"/>
    <w:rsid w:val="006B4334"/>
    <w:rsid w:val="006B62D6"/>
    <w:rsid w:val="006B7C2E"/>
    <w:rsid w:val="006C0C47"/>
    <w:rsid w:val="006C19D6"/>
    <w:rsid w:val="006C2ACD"/>
    <w:rsid w:val="006C3DFC"/>
    <w:rsid w:val="006C48D9"/>
    <w:rsid w:val="006C5890"/>
    <w:rsid w:val="006C63CA"/>
    <w:rsid w:val="006C6A2F"/>
    <w:rsid w:val="006D070C"/>
    <w:rsid w:val="006D07AB"/>
    <w:rsid w:val="006D10A9"/>
    <w:rsid w:val="006D153B"/>
    <w:rsid w:val="006D322E"/>
    <w:rsid w:val="006D51B5"/>
    <w:rsid w:val="006D72E5"/>
    <w:rsid w:val="006E0191"/>
    <w:rsid w:val="006E03C2"/>
    <w:rsid w:val="006E04C7"/>
    <w:rsid w:val="006E202E"/>
    <w:rsid w:val="006E2055"/>
    <w:rsid w:val="006E38EB"/>
    <w:rsid w:val="006E49B3"/>
    <w:rsid w:val="006E7C8F"/>
    <w:rsid w:val="006F3397"/>
    <w:rsid w:val="006F54E6"/>
    <w:rsid w:val="006F5981"/>
    <w:rsid w:val="006F62E2"/>
    <w:rsid w:val="006F63A1"/>
    <w:rsid w:val="006F6EC6"/>
    <w:rsid w:val="0070036B"/>
    <w:rsid w:val="0070098E"/>
    <w:rsid w:val="007041E2"/>
    <w:rsid w:val="00705B86"/>
    <w:rsid w:val="00705C17"/>
    <w:rsid w:val="00706311"/>
    <w:rsid w:val="0071128B"/>
    <w:rsid w:val="00712FB8"/>
    <w:rsid w:val="00713888"/>
    <w:rsid w:val="00714016"/>
    <w:rsid w:val="0071601D"/>
    <w:rsid w:val="0072448A"/>
    <w:rsid w:val="007244BD"/>
    <w:rsid w:val="00724BB1"/>
    <w:rsid w:val="007253B9"/>
    <w:rsid w:val="007303E5"/>
    <w:rsid w:val="0073058E"/>
    <w:rsid w:val="0073070A"/>
    <w:rsid w:val="00731496"/>
    <w:rsid w:val="00732CF4"/>
    <w:rsid w:val="007345E3"/>
    <w:rsid w:val="00734FBD"/>
    <w:rsid w:val="00737C8D"/>
    <w:rsid w:val="00740875"/>
    <w:rsid w:val="007418B1"/>
    <w:rsid w:val="00742652"/>
    <w:rsid w:val="00742D9D"/>
    <w:rsid w:val="0074388E"/>
    <w:rsid w:val="0074471F"/>
    <w:rsid w:val="00744E33"/>
    <w:rsid w:val="00745262"/>
    <w:rsid w:val="0074747A"/>
    <w:rsid w:val="00751FD2"/>
    <w:rsid w:val="0075304B"/>
    <w:rsid w:val="0075461D"/>
    <w:rsid w:val="00755416"/>
    <w:rsid w:val="007563A8"/>
    <w:rsid w:val="007577D8"/>
    <w:rsid w:val="0076013B"/>
    <w:rsid w:val="00760ED5"/>
    <w:rsid w:val="007620E6"/>
    <w:rsid w:val="00762E0A"/>
    <w:rsid w:val="00762E28"/>
    <w:rsid w:val="00763C60"/>
    <w:rsid w:val="0076433E"/>
    <w:rsid w:val="00764961"/>
    <w:rsid w:val="007658C1"/>
    <w:rsid w:val="00766CEC"/>
    <w:rsid w:val="007731BC"/>
    <w:rsid w:val="00775274"/>
    <w:rsid w:val="00776717"/>
    <w:rsid w:val="0078047E"/>
    <w:rsid w:val="00782A9F"/>
    <w:rsid w:val="00783CFE"/>
    <w:rsid w:val="00783E0B"/>
    <w:rsid w:val="007857E9"/>
    <w:rsid w:val="00785DE3"/>
    <w:rsid w:val="00786177"/>
    <w:rsid w:val="007877C8"/>
    <w:rsid w:val="00792EDB"/>
    <w:rsid w:val="007933BD"/>
    <w:rsid w:val="00793588"/>
    <w:rsid w:val="00795961"/>
    <w:rsid w:val="007959C4"/>
    <w:rsid w:val="007A38BE"/>
    <w:rsid w:val="007A5BF1"/>
    <w:rsid w:val="007A62E6"/>
    <w:rsid w:val="007A6C6A"/>
    <w:rsid w:val="007A7CC7"/>
    <w:rsid w:val="007B1861"/>
    <w:rsid w:val="007B2852"/>
    <w:rsid w:val="007B41DC"/>
    <w:rsid w:val="007B46AB"/>
    <w:rsid w:val="007B5CD9"/>
    <w:rsid w:val="007B6D46"/>
    <w:rsid w:val="007B6DF1"/>
    <w:rsid w:val="007C15EA"/>
    <w:rsid w:val="007C208A"/>
    <w:rsid w:val="007C3F79"/>
    <w:rsid w:val="007C3FA4"/>
    <w:rsid w:val="007C4D71"/>
    <w:rsid w:val="007C55FA"/>
    <w:rsid w:val="007C5A92"/>
    <w:rsid w:val="007C62F1"/>
    <w:rsid w:val="007D16B3"/>
    <w:rsid w:val="007D2A11"/>
    <w:rsid w:val="007D2BE5"/>
    <w:rsid w:val="007D53EE"/>
    <w:rsid w:val="007E334B"/>
    <w:rsid w:val="007F2F13"/>
    <w:rsid w:val="007F328B"/>
    <w:rsid w:val="007F438B"/>
    <w:rsid w:val="007F46E1"/>
    <w:rsid w:val="007F4A6F"/>
    <w:rsid w:val="007F65E4"/>
    <w:rsid w:val="007F7C09"/>
    <w:rsid w:val="007F7D4A"/>
    <w:rsid w:val="0080064E"/>
    <w:rsid w:val="008038CC"/>
    <w:rsid w:val="00803B75"/>
    <w:rsid w:val="0080580A"/>
    <w:rsid w:val="0080684C"/>
    <w:rsid w:val="00807206"/>
    <w:rsid w:val="008107E5"/>
    <w:rsid w:val="008150D4"/>
    <w:rsid w:val="00816242"/>
    <w:rsid w:val="00817083"/>
    <w:rsid w:val="00817855"/>
    <w:rsid w:val="00820778"/>
    <w:rsid w:val="00821B03"/>
    <w:rsid w:val="0082221E"/>
    <w:rsid w:val="0082272A"/>
    <w:rsid w:val="0082339B"/>
    <w:rsid w:val="00825FA2"/>
    <w:rsid w:val="00826004"/>
    <w:rsid w:val="00826D7C"/>
    <w:rsid w:val="00826F5F"/>
    <w:rsid w:val="008272C1"/>
    <w:rsid w:val="0083157A"/>
    <w:rsid w:val="00836201"/>
    <w:rsid w:val="0083651F"/>
    <w:rsid w:val="00836D82"/>
    <w:rsid w:val="00837ACE"/>
    <w:rsid w:val="00847D81"/>
    <w:rsid w:val="0085050E"/>
    <w:rsid w:val="00852854"/>
    <w:rsid w:val="008536FA"/>
    <w:rsid w:val="0085427A"/>
    <w:rsid w:val="00854C15"/>
    <w:rsid w:val="00854D4A"/>
    <w:rsid w:val="00856015"/>
    <w:rsid w:val="008561B4"/>
    <w:rsid w:val="00863859"/>
    <w:rsid w:val="00865A5A"/>
    <w:rsid w:val="00865D1A"/>
    <w:rsid w:val="00865DB6"/>
    <w:rsid w:val="00871BCC"/>
    <w:rsid w:val="00871C75"/>
    <w:rsid w:val="00871FDF"/>
    <w:rsid w:val="0087238E"/>
    <w:rsid w:val="00872BB9"/>
    <w:rsid w:val="00873903"/>
    <w:rsid w:val="008739ED"/>
    <w:rsid w:val="0087427B"/>
    <w:rsid w:val="00874D97"/>
    <w:rsid w:val="0087522D"/>
    <w:rsid w:val="00875E37"/>
    <w:rsid w:val="00876975"/>
    <w:rsid w:val="008772B5"/>
    <w:rsid w:val="008776DC"/>
    <w:rsid w:val="00877E39"/>
    <w:rsid w:val="00881960"/>
    <w:rsid w:val="00882091"/>
    <w:rsid w:val="00882728"/>
    <w:rsid w:val="00883790"/>
    <w:rsid w:val="00884E9F"/>
    <w:rsid w:val="00885B20"/>
    <w:rsid w:val="008865B7"/>
    <w:rsid w:val="00890A7B"/>
    <w:rsid w:val="00892DC3"/>
    <w:rsid w:val="008931B7"/>
    <w:rsid w:val="0089780B"/>
    <w:rsid w:val="008A1220"/>
    <w:rsid w:val="008A3303"/>
    <w:rsid w:val="008A4AED"/>
    <w:rsid w:val="008A5A78"/>
    <w:rsid w:val="008A6B86"/>
    <w:rsid w:val="008B4094"/>
    <w:rsid w:val="008B62EB"/>
    <w:rsid w:val="008C1C43"/>
    <w:rsid w:val="008C5162"/>
    <w:rsid w:val="008C5C4E"/>
    <w:rsid w:val="008C6D65"/>
    <w:rsid w:val="008D0E4C"/>
    <w:rsid w:val="008D1481"/>
    <w:rsid w:val="008D4681"/>
    <w:rsid w:val="008D4AC4"/>
    <w:rsid w:val="008E0218"/>
    <w:rsid w:val="008E2572"/>
    <w:rsid w:val="008E624B"/>
    <w:rsid w:val="008E78DD"/>
    <w:rsid w:val="008F0E9E"/>
    <w:rsid w:val="008F174F"/>
    <w:rsid w:val="008F601A"/>
    <w:rsid w:val="008F6BD5"/>
    <w:rsid w:val="00900399"/>
    <w:rsid w:val="009004CD"/>
    <w:rsid w:val="0090055D"/>
    <w:rsid w:val="00902F31"/>
    <w:rsid w:val="00903310"/>
    <w:rsid w:val="0090377E"/>
    <w:rsid w:val="00903DB7"/>
    <w:rsid w:val="0090448A"/>
    <w:rsid w:val="009050E7"/>
    <w:rsid w:val="009070CE"/>
    <w:rsid w:val="009122D6"/>
    <w:rsid w:val="00914684"/>
    <w:rsid w:val="009146A9"/>
    <w:rsid w:val="0091486C"/>
    <w:rsid w:val="0091615C"/>
    <w:rsid w:val="009170E3"/>
    <w:rsid w:val="0091772F"/>
    <w:rsid w:val="00917D3E"/>
    <w:rsid w:val="0092032E"/>
    <w:rsid w:val="00920A3C"/>
    <w:rsid w:val="009221F2"/>
    <w:rsid w:val="00922E28"/>
    <w:rsid w:val="00923AEC"/>
    <w:rsid w:val="00923CE1"/>
    <w:rsid w:val="00925327"/>
    <w:rsid w:val="00926802"/>
    <w:rsid w:val="009305D1"/>
    <w:rsid w:val="00931034"/>
    <w:rsid w:val="009315F9"/>
    <w:rsid w:val="00932189"/>
    <w:rsid w:val="00932B5D"/>
    <w:rsid w:val="0093326D"/>
    <w:rsid w:val="0093338B"/>
    <w:rsid w:val="00933824"/>
    <w:rsid w:val="00934BC0"/>
    <w:rsid w:val="00935146"/>
    <w:rsid w:val="009352AE"/>
    <w:rsid w:val="00935C37"/>
    <w:rsid w:val="00935EF8"/>
    <w:rsid w:val="00940DF6"/>
    <w:rsid w:val="00940F40"/>
    <w:rsid w:val="0094122B"/>
    <w:rsid w:val="0094226D"/>
    <w:rsid w:val="00942BB5"/>
    <w:rsid w:val="009445BC"/>
    <w:rsid w:val="009447C3"/>
    <w:rsid w:val="00944AFE"/>
    <w:rsid w:val="00944C24"/>
    <w:rsid w:val="00946656"/>
    <w:rsid w:val="00947206"/>
    <w:rsid w:val="00950655"/>
    <w:rsid w:val="009515F6"/>
    <w:rsid w:val="00954786"/>
    <w:rsid w:val="00954B23"/>
    <w:rsid w:val="00957790"/>
    <w:rsid w:val="0096109F"/>
    <w:rsid w:val="009612B8"/>
    <w:rsid w:val="00961EFA"/>
    <w:rsid w:val="00962A56"/>
    <w:rsid w:val="009637F5"/>
    <w:rsid w:val="0096541F"/>
    <w:rsid w:val="00966645"/>
    <w:rsid w:val="009703E0"/>
    <w:rsid w:val="009705C8"/>
    <w:rsid w:val="00971B28"/>
    <w:rsid w:val="00972EF2"/>
    <w:rsid w:val="00980E30"/>
    <w:rsid w:val="009841DE"/>
    <w:rsid w:val="00985792"/>
    <w:rsid w:val="00985B08"/>
    <w:rsid w:val="00987408"/>
    <w:rsid w:val="00991475"/>
    <w:rsid w:val="00991D85"/>
    <w:rsid w:val="00992E63"/>
    <w:rsid w:val="009946D6"/>
    <w:rsid w:val="00994BE5"/>
    <w:rsid w:val="00994DE3"/>
    <w:rsid w:val="009958AA"/>
    <w:rsid w:val="009958F8"/>
    <w:rsid w:val="00996005"/>
    <w:rsid w:val="009965D8"/>
    <w:rsid w:val="009A07FF"/>
    <w:rsid w:val="009A0D93"/>
    <w:rsid w:val="009A2092"/>
    <w:rsid w:val="009A4038"/>
    <w:rsid w:val="009A54D6"/>
    <w:rsid w:val="009A64D9"/>
    <w:rsid w:val="009A74A1"/>
    <w:rsid w:val="009A78F8"/>
    <w:rsid w:val="009B00F5"/>
    <w:rsid w:val="009B14C9"/>
    <w:rsid w:val="009B17AF"/>
    <w:rsid w:val="009B6949"/>
    <w:rsid w:val="009B6C5C"/>
    <w:rsid w:val="009C456A"/>
    <w:rsid w:val="009C7402"/>
    <w:rsid w:val="009D172B"/>
    <w:rsid w:val="009D1FE8"/>
    <w:rsid w:val="009E25AE"/>
    <w:rsid w:val="009E55DD"/>
    <w:rsid w:val="009E5688"/>
    <w:rsid w:val="009E7C5C"/>
    <w:rsid w:val="009F06A3"/>
    <w:rsid w:val="009F20D2"/>
    <w:rsid w:val="009F3246"/>
    <w:rsid w:val="009F3B55"/>
    <w:rsid w:val="009F3C3C"/>
    <w:rsid w:val="009F4C37"/>
    <w:rsid w:val="00A018FE"/>
    <w:rsid w:val="00A01A88"/>
    <w:rsid w:val="00A0398E"/>
    <w:rsid w:val="00A040F9"/>
    <w:rsid w:val="00A05033"/>
    <w:rsid w:val="00A06C62"/>
    <w:rsid w:val="00A07C1D"/>
    <w:rsid w:val="00A1019A"/>
    <w:rsid w:val="00A10A33"/>
    <w:rsid w:val="00A15271"/>
    <w:rsid w:val="00A21070"/>
    <w:rsid w:val="00A218E9"/>
    <w:rsid w:val="00A21ECF"/>
    <w:rsid w:val="00A22573"/>
    <w:rsid w:val="00A24509"/>
    <w:rsid w:val="00A24DDD"/>
    <w:rsid w:val="00A26294"/>
    <w:rsid w:val="00A26D8F"/>
    <w:rsid w:val="00A30729"/>
    <w:rsid w:val="00A355BD"/>
    <w:rsid w:val="00A3567A"/>
    <w:rsid w:val="00A36315"/>
    <w:rsid w:val="00A37C58"/>
    <w:rsid w:val="00A407BE"/>
    <w:rsid w:val="00A4178A"/>
    <w:rsid w:val="00A41844"/>
    <w:rsid w:val="00A436CE"/>
    <w:rsid w:val="00A50066"/>
    <w:rsid w:val="00A53562"/>
    <w:rsid w:val="00A5391A"/>
    <w:rsid w:val="00A539DD"/>
    <w:rsid w:val="00A5420F"/>
    <w:rsid w:val="00A55337"/>
    <w:rsid w:val="00A55411"/>
    <w:rsid w:val="00A60183"/>
    <w:rsid w:val="00A60B8C"/>
    <w:rsid w:val="00A6168E"/>
    <w:rsid w:val="00A630C8"/>
    <w:rsid w:val="00A6385E"/>
    <w:rsid w:val="00A656DD"/>
    <w:rsid w:val="00A71526"/>
    <w:rsid w:val="00A733CC"/>
    <w:rsid w:val="00A73C41"/>
    <w:rsid w:val="00A8026B"/>
    <w:rsid w:val="00A816BA"/>
    <w:rsid w:val="00A81934"/>
    <w:rsid w:val="00A846CA"/>
    <w:rsid w:val="00A86125"/>
    <w:rsid w:val="00A92F62"/>
    <w:rsid w:val="00A93F4B"/>
    <w:rsid w:val="00A94EBC"/>
    <w:rsid w:val="00A95746"/>
    <w:rsid w:val="00A95B85"/>
    <w:rsid w:val="00A962F1"/>
    <w:rsid w:val="00A96D35"/>
    <w:rsid w:val="00A97FE7"/>
    <w:rsid w:val="00AA0741"/>
    <w:rsid w:val="00AA20F7"/>
    <w:rsid w:val="00AA458F"/>
    <w:rsid w:val="00AA4C2C"/>
    <w:rsid w:val="00AA4D19"/>
    <w:rsid w:val="00AA7858"/>
    <w:rsid w:val="00AA7A99"/>
    <w:rsid w:val="00AB2828"/>
    <w:rsid w:val="00AB5413"/>
    <w:rsid w:val="00AC3823"/>
    <w:rsid w:val="00AC3B25"/>
    <w:rsid w:val="00AC51DE"/>
    <w:rsid w:val="00AC55A3"/>
    <w:rsid w:val="00AC5D3F"/>
    <w:rsid w:val="00AD09C3"/>
    <w:rsid w:val="00AD1302"/>
    <w:rsid w:val="00AD3E69"/>
    <w:rsid w:val="00AD4C6F"/>
    <w:rsid w:val="00AD6E88"/>
    <w:rsid w:val="00AD7798"/>
    <w:rsid w:val="00AD7E66"/>
    <w:rsid w:val="00AE14DC"/>
    <w:rsid w:val="00AE1AEF"/>
    <w:rsid w:val="00AE1B20"/>
    <w:rsid w:val="00AE2448"/>
    <w:rsid w:val="00AE323C"/>
    <w:rsid w:val="00AE3E07"/>
    <w:rsid w:val="00AE7ABF"/>
    <w:rsid w:val="00AF3BBE"/>
    <w:rsid w:val="00AF3DAD"/>
    <w:rsid w:val="00AF5C1D"/>
    <w:rsid w:val="00AF6E88"/>
    <w:rsid w:val="00AF7C69"/>
    <w:rsid w:val="00B00181"/>
    <w:rsid w:val="00B0050E"/>
    <w:rsid w:val="00B00BEA"/>
    <w:rsid w:val="00B029C3"/>
    <w:rsid w:val="00B02E6B"/>
    <w:rsid w:val="00B04AF5"/>
    <w:rsid w:val="00B04C31"/>
    <w:rsid w:val="00B06780"/>
    <w:rsid w:val="00B07C9A"/>
    <w:rsid w:val="00B103C2"/>
    <w:rsid w:val="00B107B9"/>
    <w:rsid w:val="00B10A7E"/>
    <w:rsid w:val="00B10B26"/>
    <w:rsid w:val="00B11490"/>
    <w:rsid w:val="00B1269E"/>
    <w:rsid w:val="00B12E30"/>
    <w:rsid w:val="00B1449A"/>
    <w:rsid w:val="00B15A64"/>
    <w:rsid w:val="00B17F68"/>
    <w:rsid w:val="00B225ED"/>
    <w:rsid w:val="00B26714"/>
    <w:rsid w:val="00B2674F"/>
    <w:rsid w:val="00B27A63"/>
    <w:rsid w:val="00B30F56"/>
    <w:rsid w:val="00B32C7F"/>
    <w:rsid w:val="00B358BB"/>
    <w:rsid w:val="00B375D3"/>
    <w:rsid w:val="00B413B9"/>
    <w:rsid w:val="00B425B7"/>
    <w:rsid w:val="00B427D0"/>
    <w:rsid w:val="00B42F77"/>
    <w:rsid w:val="00B442E0"/>
    <w:rsid w:val="00B4711B"/>
    <w:rsid w:val="00B47843"/>
    <w:rsid w:val="00B47CE4"/>
    <w:rsid w:val="00B47EEC"/>
    <w:rsid w:val="00B51253"/>
    <w:rsid w:val="00B51A1E"/>
    <w:rsid w:val="00B537E0"/>
    <w:rsid w:val="00B537FB"/>
    <w:rsid w:val="00B54759"/>
    <w:rsid w:val="00B5788E"/>
    <w:rsid w:val="00B60725"/>
    <w:rsid w:val="00B61592"/>
    <w:rsid w:val="00B63C05"/>
    <w:rsid w:val="00B63DD8"/>
    <w:rsid w:val="00B64CA4"/>
    <w:rsid w:val="00B65C28"/>
    <w:rsid w:val="00B708AC"/>
    <w:rsid w:val="00B72C78"/>
    <w:rsid w:val="00B72E25"/>
    <w:rsid w:val="00B73321"/>
    <w:rsid w:val="00B765F7"/>
    <w:rsid w:val="00B83DFA"/>
    <w:rsid w:val="00B8409D"/>
    <w:rsid w:val="00B8457F"/>
    <w:rsid w:val="00B85271"/>
    <w:rsid w:val="00B8579F"/>
    <w:rsid w:val="00B87F7C"/>
    <w:rsid w:val="00B90E5E"/>
    <w:rsid w:val="00B913B0"/>
    <w:rsid w:val="00B9249A"/>
    <w:rsid w:val="00B93DB2"/>
    <w:rsid w:val="00BA0CA9"/>
    <w:rsid w:val="00BA31FC"/>
    <w:rsid w:val="00BA5A53"/>
    <w:rsid w:val="00BB1A88"/>
    <w:rsid w:val="00BB28AD"/>
    <w:rsid w:val="00BB37C4"/>
    <w:rsid w:val="00BB3DD4"/>
    <w:rsid w:val="00BB45D7"/>
    <w:rsid w:val="00BB4A31"/>
    <w:rsid w:val="00BB50FF"/>
    <w:rsid w:val="00BB6A0D"/>
    <w:rsid w:val="00BB6AFD"/>
    <w:rsid w:val="00BC205D"/>
    <w:rsid w:val="00BC30E1"/>
    <w:rsid w:val="00BC5270"/>
    <w:rsid w:val="00BC54EA"/>
    <w:rsid w:val="00BC5B3F"/>
    <w:rsid w:val="00BC6931"/>
    <w:rsid w:val="00BD2862"/>
    <w:rsid w:val="00BD374B"/>
    <w:rsid w:val="00BD4F3A"/>
    <w:rsid w:val="00BD6ECF"/>
    <w:rsid w:val="00BE5BDB"/>
    <w:rsid w:val="00BF0325"/>
    <w:rsid w:val="00BF0B8F"/>
    <w:rsid w:val="00BF114C"/>
    <w:rsid w:val="00BF6FF2"/>
    <w:rsid w:val="00BF7B4E"/>
    <w:rsid w:val="00C000C9"/>
    <w:rsid w:val="00C02897"/>
    <w:rsid w:val="00C04B16"/>
    <w:rsid w:val="00C04BC8"/>
    <w:rsid w:val="00C04C24"/>
    <w:rsid w:val="00C1124B"/>
    <w:rsid w:val="00C1124D"/>
    <w:rsid w:val="00C11268"/>
    <w:rsid w:val="00C11AA2"/>
    <w:rsid w:val="00C12902"/>
    <w:rsid w:val="00C16E03"/>
    <w:rsid w:val="00C17701"/>
    <w:rsid w:val="00C20BA7"/>
    <w:rsid w:val="00C21F43"/>
    <w:rsid w:val="00C23171"/>
    <w:rsid w:val="00C27E85"/>
    <w:rsid w:val="00C3187A"/>
    <w:rsid w:val="00C3231D"/>
    <w:rsid w:val="00C3341B"/>
    <w:rsid w:val="00C3534E"/>
    <w:rsid w:val="00C35CD5"/>
    <w:rsid w:val="00C36EDB"/>
    <w:rsid w:val="00C36F97"/>
    <w:rsid w:val="00C37518"/>
    <w:rsid w:val="00C379BF"/>
    <w:rsid w:val="00C40C84"/>
    <w:rsid w:val="00C46400"/>
    <w:rsid w:val="00C4748A"/>
    <w:rsid w:val="00C50E9F"/>
    <w:rsid w:val="00C5262A"/>
    <w:rsid w:val="00C57EDB"/>
    <w:rsid w:val="00C601DF"/>
    <w:rsid w:val="00C61AA8"/>
    <w:rsid w:val="00C62CCC"/>
    <w:rsid w:val="00C631D0"/>
    <w:rsid w:val="00C63A3D"/>
    <w:rsid w:val="00C65DAF"/>
    <w:rsid w:val="00C677FA"/>
    <w:rsid w:val="00C72521"/>
    <w:rsid w:val="00C72B46"/>
    <w:rsid w:val="00C72CB8"/>
    <w:rsid w:val="00C7345A"/>
    <w:rsid w:val="00C73540"/>
    <w:rsid w:val="00C767C8"/>
    <w:rsid w:val="00C803A2"/>
    <w:rsid w:val="00C80475"/>
    <w:rsid w:val="00C839F8"/>
    <w:rsid w:val="00C83AC5"/>
    <w:rsid w:val="00C85370"/>
    <w:rsid w:val="00C862A3"/>
    <w:rsid w:val="00C863B5"/>
    <w:rsid w:val="00C865FC"/>
    <w:rsid w:val="00C875D9"/>
    <w:rsid w:val="00C90F18"/>
    <w:rsid w:val="00C93856"/>
    <w:rsid w:val="00C93DF2"/>
    <w:rsid w:val="00CA08D6"/>
    <w:rsid w:val="00CA102C"/>
    <w:rsid w:val="00CA420C"/>
    <w:rsid w:val="00CA42E0"/>
    <w:rsid w:val="00CA634F"/>
    <w:rsid w:val="00CA75E0"/>
    <w:rsid w:val="00CA7A58"/>
    <w:rsid w:val="00CB05B7"/>
    <w:rsid w:val="00CB1A42"/>
    <w:rsid w:val="00CB3BD7"/>
    <w:rsid w:val="00CB449F"/>
    <w:rsid w:val="00CC1638"/>
    <w:rsid w:val="00CC2AF3"/>
    <w:rsid w:val="00CC2C6B"/>
    <w:rsid w:val="00CC73D4"/>
    <w:rsid w:val="00CC7F82"/>
    <w:rsid w:val="00CD24AE"/>
    <w:rsid w:val="00CD36B5"/>
    <w:rsid w:val="00CD56D5"/>
    <w:rsid w:val="00CE1123"/>
    <w:rsid w:val="00CE289E"/>
    <w:rsid w:val="00CE33FB"/>
    <w:rsid w:val="00CE3461"/>
    <w:rsid w:val="00CE3812"/>
    <w:rsid w:val="00CE5E7D"/>
    <w:rsid w:val="00CF0325"/>
    <w:rsid w:val="00CF2F96"/>
    <w:rsid w:val="00CF4965"/>
    <w:rsid w:val="00CF52BD"/>
    <w:rsid w:val="00CF7BF1"/>
    <w:rsid w:val="00CF7D80"/>
    <w:rsid w:val="00D019BC"/>
    <w:rsid w:val="00D0312B"/>
    <w:rsid w:val="00D05F4A"/>
    <w:rsid w:val="00D108BB"/>
    <w:rsid w:val="00D11998"/>
    <w:rsid w:val="00D120EC"/>
    <w:rsid w:val="00D12D74"/>
    <w:rsid w:val="00D1336E"/>
    <w:rsid w:val="00D14B0F"/>
    <w:rsid w:val="00D15BE7"/>
    <w:rsid w:val="00D1608B"/>
    <w:rsid w:val="00D17480"/>
    <w:rsid w:val="00D1772D"/>
    <w:rsid w:val="00D17F2B"/>
    <w:rsid w:val="00D22039"/>
    <w:rsid w:val="00D227E5"/>
    <w:rsid w:val="00D22BDD"/>
    <w:rsid w:val="00D22ED6"/>
    <w:rsid w:val="00D247D0"/>
    <w:rsid w:val="00D24B87"/>
    <w:rsid w:val="00D255FB"/>
    <w:rsid w:val="00D31028"/>
    <w:rsid w:val="00D32BE7"/>
    <w:rsid w:val="00D342FC"/>
    <w:rsid w:val="00D3439C"/>
    <w:rsid w:val="00D3544D"/>
    <w:rsid w:val="00D35A33"/>
    <w:rsid w:val="00D35EE8"/>
    <w:rsid w:val="00D40177"/>
    <w:rsid w:val="00D42E5E"/>
    <w:rsid w:val="00D45037"/>
    <w:rsid w:val="00D55E7C"/>
    <w:rsid w:val="00D56597"/>
    <w:rsid w:val="00D56DC5"/>
    <w:rsid w:val="00D61F4C"/>
    <w:rsid w:val="00D628AA"/>
    <w:rsid w:val="00D654B5"/>
    <w:rsid w:val="00D662BD"/>
    <w:rsid w:val="00D6638C"/>
    <w:rsid w:val="00D665EC"/>
    <w:rsid w:val="00D70C9D"/>
    <w:rsid w:val="00D718A4"/>
    <w:rsid w:val="00D76217"/>
    <w:rsid w:val="00D80C09"/>
    <w:rsid w:val="00D820DA"/>
    <w:rsid w:val="00D83D89"/>
    <w:rsid w:val="00D840D5"/>
    <w:rsid w:val="00D85C53"/>
    <w:rsid w:val="00D873D2"/>
    <w:rsid w:val="00D8747D"/>
    <w:rsid w:val="00D90DA6"/>
    <w:rsid w:val="00D91604"/>
    <w:rsid w:val="00D935B5"/>
    <w:rsid w:val="00D94C35"/>
    <w:rsid w:val="00D951FA"/>
    <w:rsid w:val="00D95B8D"/>
    <w:rsid w:val="00D96136"/>
    <w:rsid w:val="00D97F50"/>
    <w:rsid w:val="00DA047B"/>
    <w:rsid w:val="00DA19B3"/>
    <w:rsid w:val="00DA6319"/>
    <w:rsid w:val="00DA6557"/>
    <w:rsid w:val="00DA66B9"/>
    <w:rsid w:val="00DA6EA8"/>
    <w:rsid w:val="00DA7863"/>
    <w:rsid w:val="00DB1533"/>
    <w:rsid w:val="00DB1831"/>
    <w:rsid w:val="00DB26C1"/>
    <w:rsid w:val="00DB2BB4"/>
    <w:rsid w:val="00DB408A"/>
    <w:rsid w:val="00DB4481"/>
    <w:rsid w:val="00DB477B"/>
    <w:rsid w:val="00DB4B7C"/>
    <w:rsid w:val="00DB58E8"/>
    <w:rsid w:val="00DB70B1"/>
    <w:rsid w:val="00DC0098"/>
    <w:rsid w:val="00DC026E"/>
    <w:rsid w:val="00DC05FF"/>
    <w:rsid w:val="00DC226C"/>
    <w:rsid w:val="00DC632F"/>
    <w:rsid w:val="00DC7681"/>
    <w:rsid w:val="00DD3BFD"/>
    <w:rsid w:val="00DD6DC7"/>
    <w:rsid w:val="00DD75BD"/>
    <w:rsid w:val="00DD766E"/>
    <w:rsid w:val="00DE18AD"/>
    <w:rsid w:val="00DE1B3F"/>
    <w:rsid w:val="00DE3193"/>
    <w:rsid w:val="00DE4B9B"/>
    <w:rsid w:val="00DF6678"/>
    <w:rsid w:val="00E0343F"/>
    <w:rsid w:val="00E055B8"/>
    <w:rsid w:val="00E07876"/>
    <w:rsid w:val="00E07E2B"/>
    <w:rsid w:val="00E11110"/>
    <w:rsid w:val="00E144D3"/>
    <w:rsid w:val="00E2073E"/>
    <w:rsid w:val="00E20F79"/>
    <w:rsid w:val="00E211B3"/>
    <w:rsid w:val="00E24339"/>
    <w:rsid w:val="00E2473F"/>
    <w:rsid w:val="00E25054"/>
    <w:rsid w:val="00E270F5"/>
    <w:rsid w:val="00E27A19"/>
    <w:rsid w:val="00E27D99"/>
    <w:rsid w:val="00E31EA3"/>
    <w:rsid w:val="00E32E90"/>
    <w:rsid w:val="00E351AE"/>
    <w:rsid w:val="00E3681F"/>
    <w:rsid w:val="00E36A60"/>
    <w:rsid w:val="00E41D93"/>
    <w:rsid w:val="00E4308E"/>
    <w:rsid w:val="00E43132"/>
    <w:rsid w:val="00E447E1"/>
    <w:rsid w:val="00E4660B"/>
    <w:rsid w:val="00E50815"/>
    <w:rsid w:val="00E51E5A"/>
    <w:rsid w:val="00E52105"/>
    <w:rsid w:val="00E53502"/>
    <w:rsid w:val="00E53F97"/>
    <w:rsid w:val="00E53FF6"/>
    <w:rsid w:val="00E552C7"/>
    <w:rsid w:val="00E635EB"/>
    <w:rsid w:val="00E678F6"/>
    <w:rsid w:val="00E75432"/>
    <w:rsid w:val="00E75B66"/>
    <w:rsid w:val="00E75DD9"/>
    <w:rsid w:val="00E7741E"/>
    <w:rsid w:val="00E835E0"/>
    <w:rsid w:val="00E8494C"/>
    <w:rsid w:val="00E85F5A"/>
    <w:rsid w:val="00E87882"/>
    <w:rsid w:val="00E90748"/>
    <w:rsid w:val="00E91AB8"/>
    <w:rsid w:val="00E92265"/>
    <w:rsid w:val="00E95B13"/>
    <w:rsid w:val="00EA154D"/>
    <w:rsid w:val="00EA1656"/>
    <w:rsid w:val="00EA652E"/>
    <w:rsid w:val="00EA7E58"/>
    <w:rsid w:val="00EB217A"/>
    <w:rsid w:val="00EB384C"/>
    <w:rsid w:val="00EB3F53"/>
    <w:rsid w:val="00EB4C2B"/>
    <w:rsid w:val="00EB5B43"/>
    <w:rsid w:val="00EC4F34"/>
    <w:rsid w:val="00EC6BBB"/>
    <w:rsid w:val="00EC6CA0"/>
    <w:rsid w:val="00ED0903"/>
    <w:rsid w:val="00ED30BB"/>
    <w:rsid w:val="00ED41AF"/>
    <w:rsid w:val="00ED681D"/>
    <w:rsid w:val="00ED6A33"/>
    <w:rsid w:val="00EE17A6"/>
    <w:rsid w:val="00EE37EC"/>
    <w:rsid w:val="00EE76DB"/>
    <w:rsid w:val="00EF2216"/>
    <w:rsid w:val="00EF3C4B"/>
    <w:rsid w:val="00EF3EEB"/>
    <w:rsid w:val="00EF66B8"/>
    <w:rsid w:val="00F0088E"/>
    <w:rsid w:val="00F02686"/>
    <w:rsid w:val="00F02796"/>
    <w:rsid w:val="00F02B5C"/>
    <w:rsid w:val="00F0586D"/>
    <w:rsid w:val="00F05C05"/>
    <w:rsid w:val="00F061F7"/>
    <w:rsid w:val="00F1116F"/>
    <w:rsid w:val="00F14E99"/>
    <w:rsid w:val="00F167A1"/>
    <w:rsid w:val="00F17EBF"/>
    <w:rsid w:val="00F20936"/>
    <w:rsid w:val="00F20F19"/>
    <w:rsid w:val="00F21D3D"/>
    <w:rsid w:val="00F242B0"/>
    <w:rsid w:val="00F2483D"/>
    <w:rsid w:val="00F2509C"/>
    <w:rsid w:val="00F253A3"/>
    <w:rsid w:val="00F30878"/>
    <w:rsid w:val="00F32365"/>
    <w:rsid w:val="00F32D15"/>
    <w:rsid w:val="00F35882"/>
    <w:rsid w:val="00F36B1A"/>
    <w:rsid w:val="00F41465"/>
    <w:rsid w:val="00F42375"/>
    <w:rsid w:val="00F450EA"/>
    <w:rsid w:val="00F47359"/>
    <w:rsid w:val="00F503D4"/>
    <w:rsid w:val="00F506E6"/>
    <w:rsid w:val="00F51A0E"/>
    <w:rsid w:val="00F539E3"/>
    <w:rsid w:val="00F53D84"/>
    <w:rsid w:val="00F5529B"/>
    <w:rsid w:val="00F61BAC"/>
    <w:rsid w:val="00F61DF8"/>
    <w:rsid w:val="00F6452A"/>
    <w:rsid w:val="00F658AA"/>
    <w:rsid w:val="00F65977"/>
    <w:rsid w:val="00F660DF"/>
    <w:rsid w:val="00F6787D"/>
    <w:rsid w:val="00F70036"/>
    <w:rsid w:val="00F70D45"/>
    <w:rsid w:val="00F7113C"/>
    <w:rsid w:val="00F7156E"/>
    <w:rsid w:val="00F71C2F"/>
    <w:rsid w:val="00F73E24"/>
    <w:rsid w:val="00F747BA"/>
    <w:rsid w:val="00F76164"/>
    <w:rsid w:val="00F76A32"/>
    <w:rsid w:val="00F80094"/>
    <w:rsid w:val="00F83F0E"/>
    <w:rsid w:val="00F8456B"/>
    <w:rsid w:val="00F86DCB"/>
    <w:rsid w:val="00F87BB3"/>
    <w:rsid w:val="00F955F3"/>
    <w:rsid w:val="00F95C08"/>
    <w:rsid w:val="00F97AEF"/>
    <w:rsid w:val="00FA0ADD"/>
    <w:rsid w:val="00FA10EE"/>
    <w:rsid w:val="00FA138B"/>
    <w:rsid w:val="00FA1D7E"/>
    <w:rsid w:val="00FA28F4"/>
    <w:rsid w:val="00FA3015"/>
    <w:rsid w:val="00FA414F"/>
    <w:rsid w:val="00FA4259"/>
    <w:rsid w:val="00FA4DC7"/>
    <w:rsid w:val="00FB2945"/>
    <w:rsid w:val="00FB39BB"/>
    <w:rsid w:val="00FC294E"/>
    <w:rsid w:val="00FC3E1D"/>
    <w:rsid w:val="00FC4B2D"/>
    <w:rsid w:val="00FD13E6"/>
    <w:rsid w:val="00FD2703"/>
    <w:rsid w:val="00FD2983"/>
    <w:rsid w:val="00FD2D8D"/>
    <w:rsid w:val="00FD347F"/>
    <w:rsid w:val="00FD4730"/>
    <w:rsid w:val="00FD4BE2"/>
    <w:rsid w:val="00FD555B"/>
    <w:rsid w:val="00FE05FB"/>
    <w:rsid w:val="00FE10F2"/>
    <w:rsid w:val="00FE1CE1"/>
    <w:rsid w:val="00FE498E"/>
    <w:rsid w:val="00FF139C"/>
    <w:rsid w:val="00FF1D48"/>
    <w:rsid w:val="00FF3450"/>
    <w:rsid w:val="00FF5FFF"/>
    <w:rsid w:val="00FF6253"/>
    <w:rsid w:val="00FF728B"/>
    <w:rsid w:val="00FF7A8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3E5E1FB"/>
  <w15:docId w15:val="{A3B2D782-5A72-4B62-9C39-78B79EA6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71"/>
    <w:pPr>
      <w:suppressAutoHyphens/>
      <w:kinsoku w:val="0"/>
      <w:overflowPunct w:val="0"/>
      <w:autoSpaceDE w:val="0"/>
      <w:autoSpaceDN w:val="0"/>
      <w:adjustRightInd w:val="0"/>
      <w:snapToGrid w:val="0"/>
      <w:spacing w:line="240" w:lineRule="atLeast"/>
    </w:pPr>
    <w:rPr>
      <w:rFonts w:ascii="Times New Roman" w:eastAsiaTheme="minorHAnsi" w:hAnsi="Times New Roman" w:cs="Times New Roman"/>
      <w:lang w:val="fr-CH" w:eastAsia="en-US"/>
    </w:rPr>
  </w:style>
  <w:style w:type="paragraph" w:styleId="Titre1">
    <w:name w:val="heading 1"/>
    <w:aliases w:val="Table_G"/>
    <w:basedOn w:val="SingleTxtG"/>
    <w:next w:val="SingleTxtG"/>
    <w:link w:val="Titre1Car"/>
    <w:qFormat/>
    <w:rsid w:val="00B85271"/>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B85271"/>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B85271"/>
    <w:rPr>
      <w:rFonts w:ascii="Times New Roman" w:eastAsiaTheme="minorHAnsi" w:hAnsi="Times New Roman" w:cs="Times New Roman"/>
      <w:b/>
      <w:sz w:val="18"/>
      <w:lang w:val="fr-CH" w:eastAsia="en-US"/>
    </w:rPr>
  </w:style>
  <w:style w:type="paragraph" w:styleId="Pieddepage">
    <w:name w:val="footer"/>
    <w:aliases w:val="3_G"/>
    <w:basedOn w:val="Normal"/>
    <w:next w:val="Normal"/>
    <w:link w:val="PieddepageCar"/>
    <w:qFormat/>
    <w:rsid w:val="00B85271"/>
    <w:pPr>
      <w:spacing w:line="240" w:lineRule="auto"/>
    </w:pPr>
    <w:rPr>
      <w:sz w:val="16"/>
    </w:rPr>
  </w:style>
  <w:style w:type="character" w:customStyle="1" w:styleId="PieddepageCar">
    <w:name w:val="Pied de page Car"/>
    <w:aliases w:val="3_G Car"/>
    <w:basedOn w:val="Policepardfaut"/>
    <w:link w:val="Pieddepage"/>
    <w:rsid w:val="00B85271"/>
    <w:rPr>
      <w:rFonts w:ascii="Times New Roman" w:eastAsiaTheme="minorHAnsi" w:hAnsi="Times New Roman" w:cs="Times New Roman"/>
      <w:sz w:val="16"/>
      <w:lang w:val="fr-CH" w:eastAsia="en-US"/>
    </w:rPr>
  </w:style>
  <w:style w:type="paragraph" w:customStyle="1" w:styleId="HMG">
    <w:name w:val="_ H __M_G"/>
    <w:basedOn w:val="Normal"/>
    <w:next w:val="Normal"/>
    <w:qFormat/>
    <w:rsid w:val="00B8527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B8527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B8527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8527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8527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85271"/>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B85271"/>
    <w:pPr>
      <w:spacing w:after="120"/>
      <w:ind w:left="1134" w:right="1134"/>
      <w:jc w:val="both"/>
    </w:pPr>
  </w:style>
  <w:style w:type="paragraph" w:customStyle="1" w:styleId="SLG">
    <w:name w:val="__S_L_G"/>
    <w:basedOn w:val="Normal"/>
    <w:next w:val="Normal"/>
    <w:rsid w:val="00B85271"/>
    <w:pPr>
      <w:keepNext/>
      <w:keepLines/>
      <w:spacing w:before="240" w:after="240" w:line="580" w:lineRule="exact"/>
      <w:ind w:left="1134" w:right="1134"/>
    </w:pPr>
    <w:rPr>
      <w:b/>
      <w:sz w:val="56"/>
    </w:rPr>
  </w:style>
  <w:style w:type="paragraph" w:customStyle="1" w:styleId="SMG">
    <w:name w:val="__S_M_G"/>
    <w:basedOn w:val="Normal"/>
    <w:next w:val="Normal"/>
    <w:rsid w:val="00B85271"/>
    <w:pPr>
      <w:keepNext/>
      <w:keepLines/>
      <w:spacing w:before="240" w:after="240" w:line="420" w:lineRule="exact"/>
      <w:ind w:left="1134" w:right="1134"/>
    </w:pPr>
    <w:rPr>
      <w:b/>
      <w:sz w:val="40"/>
    </w:rPr>
  </w:style>
  <w:style w:type="paragraph" w:customStyle="1" w:styleId="SSG">
    <w:name w:val="__S_S_G"/>
    <w:basedOn w:val="Normal"/>
    <w:next w:val="Normal"/>
    <w:rsid w:val="00B85271"/>
    <w:pPr>
      <w:keepNext/>
      <w:keepLines/>
      <w:spacing w:before="240" w:after="240" w:line="300" w:lineRule="exact"/>
      <w:ind w:left="1134" w:right="1134"/>
    </w:pPr>
    <w:rPr>
      <w:b/>
      <w:sz w:val="28"/>
    </w:rPr>
  </w:style>
  <w:style w:type="paragraph" w:customStyle="1" w:styleId="XLargeG">
    <w:name w:val="__XLarge_G"/>
    <w:basedOn w:val="Normal"/>
    <w:next w:val="Normal"/>
    <w:rsid w:val="00B85271"/>
    <w:pPr>
      <w:keepNext/>
      <w:keepLines/>
      <w:spacing w:before="240" w:after="240" w:line="420" w:lineRule="exact"/>
      <w:ind w:left="1134" w:right="1134"/>
    </w:pPr>
    <w:rPr>
      <w:b/>
      <w:sz w:val="40"/>
    </w:rPr>
  </w:style>
  <w:style w:type="paragraph" w:customStyle="1" w:styleId="Bullet1G">
    <w:name w:val="_Bullet 1_G"/>
    <w:basedOn w:val="Normal"/>
    <w:qFormat/>
    <w:rsid w:val="00B85271"/>
    <w:pPr>
      <w:numPr>
        <w:numId w:val="14"/>
      </w:numPr>
      <w:spacing w:after="120"/>
      <w:ind w:right="1134"/>
      <w:jc w:val="both"/>
    </w:pPr>
  </w:style>
  <w:style w:type="paragraph" w:customStyle="1" w:styleId="Bullet2G">
    <w:name w:val="_Bullet 2_G"/>
    <w:basedOn w:val="Normal"/>
    <w:qFormat/>
    <w:rsid w:val="00B85271"/>
    <w:pPr>
      <w:numPr>
        <w:numId w:val="15"/>
      </w:numPr>
      <w:spacing w:after="120"/>
      <w:ind w:right="1134"/>
      <w:jc w:val="both"/>
    </w:pPr>
  </w:style>
  <w:style w:type="paragraph" w:customStyle="1" w:styleId="ParNoG">
    <w:name w:val="_ParNo_G"/>
    <w:basedOn w:val="Normal"/>
    <w:qFormat/>
    <w:rsid w:val="00B85271"/>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B85271"/>
    <w:rPr>
      <w:rFonts w:ascii="Times New Roman" w:hAnsi="Times New Roman"/>
      <w:sz w:val="18"/>
      <w:vertAlign w:val="superscript"/>
      <w:lang w:val="fr-CH"/>
    </w:rPr>
  </w:style>
  <w:style w:type="character" w:styleId="Appeldenotedefin">
    <w:name w:val="endnote reference"/>
    <w:aliases w:val="1_G"/>
    <w:basedOn w:val="Appelnotedebasdep"/>
    <w:qFormat/>
    <w:rsid w:val="00B85271"/>
    <w:rPr>
      <w:rFonts w:ascii="Times New Roman" w:hAnsi="Times New Roman"/>
      <w:sz w:val="18"/>
      <w:vertAlign w:val="superscript"/>
      <w:lang w:val="fr-CH"/>
    </w:rPr>
  </w:style>
  <w:style w:type="table" w:styleId="Grilledutableau">
    <w:name w:val="Table Grid"/>
    <w:basedOn w:val="TableauNormal"/>
    <w:rsid w:val="00B85271"/>
    <w:pPr>
      <w:suppressAutoHyphens/>
      <w:spacing w:line="240" w:lineRule="atLeast"/>
    </w:pPr>
    <w:rPr>
      <w:rFonts w:ascii="Times New Roman" w:eastAsiaTheme="minorHAnsi" w:hAnsi="Times New Roman" w:cs="Times New Roman"/>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B85271"/>
    <w:rPr>
      <w:color w:val="0000FF"/>
      <w:u w:val="none"/>
    </w:rPr>
  </w:style>
  <w:style w:type="character" w:styleId="Lienhypertextesuivivisit">
    <w:name w:val="FollowedHyperlink"/>
    <w:basedOn w:val="Policepardfaut"/>
    <w:unhideWhenUsed/>
    <w:rsid w:val="00B85271"/>
    <w:rPr>
      <w:color w:val="0000FF"/>
      <w:u w:val="none"/>
    </w:rPr>
  </w:style>
  <w:style w:type="paragraph" w:styleId="Notedebasdepage">
    <w:name w:val="footnote text"/>
    <w:aliases w:val="5_G"/>
    <w:basedOn w:val="Normal"/>
    <w:link w:val="NotedebasdepageCar"/>
    <w:qFormat/>
    <w:rsid w:val="00B85271"/>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B85271"/>
    <w:rPr>
      <w:rFonts w:ascii="Times New Roman" w:eastAsiaTheme="minorHAnsi" w:hAnsi="Times New Roman" w:cs="Times New Roman"/>
      <w:sz w:val="18"/>
      <w:lang w:val="fr-CH" w:eastAsia="en-US"/>
    </w:rPr>
  </w:style>
  <w:style w:type="paragraph" w:styleId="Notedefin">
    <w:name w:val="endnote text"/>
    <w:aliases w:val="2_G"/>
    <w:basedOn w:val="Notedebasdepage"/>
    <w:link w:val="NotedefinCar"/>
    <w:qFormat/>
    <w:rsid w:val="00B85271"/>
  </w:style>
  <w:style w:type="character" w:customStyle="1" w:styleId="NotedefinCar">
    <w:name w:val="Note de fin Car"/>
    <w:aliases w:val="2_G Car"/>
    <w:basedOn w:val="Policepardfaut"/>
    <w:link w:val="Notedefin"/>
    <w:rsid w:val="00B85271"/>
    <w:rPr>
      <w:rFonts w:ascii="Times New Roman" w:eastAsiaTheme="minorHAnsi" w:hAnsi="Times New Roman" w:cs="Times New Roman"/>
      <w:sz w:val="18"/>
      <w:lang w:val="fr-CH" w:eastAsia="en-US"/>
    </w:rPr>
  </w:style>
  <w:style w:type="character" w:styleId="Numrodepage">
    <w:name w:val="page number"/>
    <w:aliases w:val="7_G"/>
    <w:basedOn w:val="Policepardfaut"/>
    <w:qFormat/>
    <w:rsid w:val="00B85271"/>
    <w:rPr>
      <w:rFonts w:ascii="Times New Roman" w:hAnsi="Times New Roman"/>
      <w:b/>
      <w:sz w:val="18"/>
      <w:lang w:val="fr-CH"/>
    </w:rPr>
  </w:style>
  <w:style w:type="character" w:customStyle="1" w:styleId="Titre1Car">
    <w:name w:val="Titre 1 Car"/>
    <w:aliases w:val="Table_G Car"/>
    <w:basedOn w:val="Policepardfaut"/>
    <w:link w:val="Titre1"/>
    <w:rsid w:val="00B85271"/>
    <w:rPr>
      <w:rFonts w:ascii="Times New Roman" w:eastAsiaTheme="minorHAnsi" w:hAnsi="Times New Roman" w:cs="Times New Roman"/>
      <w:lang w:val="fr-CH" w:eastAsia="en-US"/>
    </w:rPr>
  </w:style>
  <w:style w:type="character" w:customStyle="1" w:styleId="Titre2Car">
    <w:name w:val="Titre 2 Car"/>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link w:val="Titre9"/>
    <w:semiHidden/>
    <w:rsid w:val="00023842"/>
    <w:rPr>
      <w:rFonts w:ascii="Times New Roman" w:eastAsia="Times New Roman" w:hAnsi="Times New Roman" w:cs="Times New Roman"/>
      <w:sz w:val="20"/>
      <w:szCs w:val="20"/>
      <w:lang w:eastAsia="en-US"/>
    </w:rPr>
  </w:style>
  <w:style w:type="character" w:customStyle="1" w:styleId="SingleTxtGChar">
    <w:name w:val="_ Single Txt_G Char"/>
    <w:link w:val="SingleTxtG"/>
    <w:rsid w:val="00153F95"/>
    <w:rPr>
      <w:rFonts w:ascii="Times New Roman" w:eastAsiaTheme="minorHAnsi" w:hAnsi="Times New Roman" w:cs="Times New Roman"/>
      <w:lang w:val="fr-CH" w:eastAsia="en-US"/>
    </w:rPr>
  </w:style>
  <w:style w:type="paragraph" w:styleId="Textedebulles">
    <w:name w:val="Balloon Text"/>
    <w:basedOn w:val="Normal"/>
    <w:link w:val="TextedebullesCar"/>
    <w:uiPriority w:val="99"/>
    <w:semiHidden/>
    <w:unhideWhenUsed/>
    <w:rsid w:val="008739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9ED"/>
    <w:rPr>
      <w:rFonts w:ascii="Segoe UI" w:eastAsiaTheme="minorHAnsi" w:hAnsi="Segoe UI" w:cs="Segoe UI"/>
      <w:sz w:val="18"/>
      <w:szCs w:val="18"/>
      <w:lang w:val="fr-CH" w:eastAsia="en-US"/>
    </w:rPr>
  </w:style>
  <w:style w:type="character" w:customStyle="1" w:styleId="preferred">
    <w:name w:val="preferred"/>
    <w:basedOn w:val="Policepardfaut"/>
    <w:rsid w:val="00355A96"/>
  </w:style>
  <w:style w:type="paragraph" w:customStyle="1" w:styleId="SingleTxt">
    <w:name w:val="__Single Txt"/>
    <w:basedOn w:val="Normal"/>
    <w:rsid w:val="00A96D35"/>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21" Type="http://schemas.openxmlformats.org/officeDocument/2006/relationships/chart" Target="charts/chart3.xml"/><Relationship Id="rId34" Type="http://schemas.openxmlformats.org/officeDocument/2006/relationships/header" Target="header8.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footer" Target="footer17.xm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3.xml"/><Relationship Id="rId53" Type="http://schemas.openxmlformats.org/officeDocument/2006/relationships/header" Target="header17.xml"/><Relationship Id="rId58"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oter" Target="footer11.xml"/><Relationship Id="rId48" Type="http://schemas.openxmlformats.org/officeDocument/2006/relationships/header" Target="header14.xml"/><Relationship Id="rId56" Type="http://schemas.openxmlformats.org/officeDocument/2006/relationships/header" Target="header18.xml"/><Relationship Id="rId64" Type="http://schemas.openxmlformats.org/officeDocument/2006/relationships/customXml" Target="../customXml/item4.xml"/><Relationship Id="rId8" Type="http://schemas.openxmlformats.org/officeDocument/2006/relationships/image" Target="media/image1.wmf"/><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7.xml"/><Relationship Id="rId33" Type="http://schemas.openxmlformats.org/officeDocument/2006/relationships/footer" Target="footer7.xml"/><Relationship Id="rId38" Type="http://schemas.openxmlformats.org/officeDocument/2006/relationships/hyperlink" Target="http://www.wfp.org/funding/year" TargetMode="External"/><Relationship Id="rId46" Type="http://schemas.openxmlformats.org/officeDocument/2006/relationships/footer" Target="footer12.xml"/><Relationship Id="rId59" Type="http://schemas.openxmlformats.org/officeDocument/2006/relationships/footer" Target="footer19.xml"/><Relationship Id="rId20" Type="http://schemas.openxmlformats.org/officeDocument/2006/relationships/chart" Target="charts/chart2.xml"/><Relationship Id="rId41" Type="http://schemas.openxmlformats.org/officeDocument/2006/relationships/header" Target="header11.xml"/><Relationship Id="rId54" Type="http://schemas.openxmlformats.org/officeDocument/2006/relationships/footer" Target="footer16.xm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hart" Target="charts/chart5.xml"/><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header" Target="header15.xml"/><Relationship Id="rId57" Type="http://schemas.openxmlformats.org/officeDocument/2006/relationships/header" Target="header19.xml"/><Relationship Id="rId10" Type="http://schemas.openxmlformats.org/officeDocument/2006/relationships/oleObject" Target="embeddings/oleObject2.bin"/><Relationship Id="rId31" Type="http://schemas.openxmlformats.org/officeDocument/2006/relationships/header" Target="header7.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fontTable" Target="fontTable.xml"/><Relationship Id="rId65"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data.oecd.org/fr/conversion/taux-de-change.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rategyand.pwc.com/perspectives/2015-aviation-trends" TargetMode="External"/><Relationship Id="rId3" Type="http://schemas.openxmlformats.org/officeDocument/2006/relationships/hyperlink" Target="http://www.carlsonwagonlit.it/export/sites/cwt/it/countries/it/cwt_news/cwt_eventi/playing_by_the_rules_handbook.pdf" TargetMode="External"/><Relationship Id="rId7" Type="http://schemas.openxmlformats.org/officeDocument/2006/relationships/hyperlink" Target="http://www.ilostaffunion.org/new/wp-content/uploads/Collective-agreement-signed-GV-CLK-13.12.2012.pdf" TargetMode="External"/><Relationship Id="rId2" Type="http://schemas.openxmlformats.org/officeDocument/2006/relationships/hyperlink" Target="http://www.carlsonwagonlit.it/export/sites/cwt/it/countries/it/cwt_news/cwt_eventi/playing_by_the_rules_handbook.pdf" TargetMode="External"/><Relationship Id="rId1" Type="http://schemas.openxmlformats.org/officeDocument/2006/relationships/hyperlink" Target="http://www.un.org/fr/ga/about/subsidiary/index.shtml" TargetMode="External"/><Relationship Id="rId6" Type="http://schemas.openxmlformats.org/officeDocument/2006/relationships/hyperlink" Target="http://www.greeningtheblue.org/sites/default/files/FRA_INFOG_movingtoward_221116.pdf" TargetMode="External"/><Relationship Id="rId5" Type="http://schemas.openxmlformats.org/officeDocument/2006/relationships/hyperlink" Target="http://www.unenvironment.org/fr/system/404?destination=/&amp;_exception_statuscode=404" TargetMode="External"/><Relationship Id="rId10" Type="http://schemas.openxmlformats.org/officeDocument/2006/relationships/hyperlink" Target="http://www.skyscanner.net" TargetMode="External"/><Relationship Id="rId4" Type="http://schemas.openxmlformats.org/officeDocument/2006/relationships/hyperlink" Target="http://www.carlsonwagonlit.it/export/sites/cwt/it/countries/it/cwt_news/cwt_eventi/playing_by_the_rules_handbook.pdf" TargetMode="External"/><Relationship Id="rId9" Type="http://schemas.openxmlformats.org/officeDocument/2006/relationships/hyperlink" Target="http://www.casto.com/wp-content/uploads/2016/01/CastoNewsletter_OBT201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JIU_REP.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'Category - Total Expenditures'!$B$11</c:f>
              <c:strCache>
                <c:ptCount val="1"/>
                <c:pt idx="0">
                  <c:v>FAO</c:v>
                </c:pt>
              </c:strCache>
            </c:strRef>
          </c:tx>
          <c:spPr>
            <a:ln>
              <a:prstDash val="lgDashDot"/>
            </a:ln>
          </c:spPr>
          <c:dLbls>
            <c:dLbl>
              <c:idx val="0"/>
              <c:layout>
                <c:manualLayout>
                  <c:x val="-0.11260390335297725"/>
                  <c:y val="3.3007063612225856E-2"/>
                </c:manualLayout>
              </c:layout>
              <c:tx>
                <c:rich>
                  <a:bodyPr/>
                  <a:lstStyle/>
                  <a:p>
                    <a:r>
                      <a:rPr lang="en-US"/>
                      <a:t>FAO 115,95</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DE0-43D6-B422-6EB812D76ACC}"/>
                </c:ext>
              </c:extLst>
            </c:dLbl>
            <c:dLbl>
              <c:idx val="1"/>
              <c:layout>
                <c:manualLayout>
                  <c:x val="-4.6352771789889703E-2"/>
                  <c:y val="-5.0911456158433926E-2"/>
                </c:manualLayout>
              </c:layout>
              <c:tx>
                <c:rich>
                  <a:bodyPr/>
                  <a:lstStyle/>
                  <a:p>
                    <a:r>
                      <a:rPr lang="en-US"/>
                      <a:t>115,63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E0-43D6-B422-6EB812D76ACC}"/>
                </c:ext>
              </c:extLst>
            </c:dLbl>
            <c:dLbl>
              <c:idx val="2"/>
              <c:tx>
                <c:rich>
                  <a:bodyPr/>
                  <a:lstStyle/>
                  <a:p>
                    <a:r>
                      <a:rPr lang="en-US"/>
                      <a:t>115,37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E0-43D6-B422-6EB812D76ACC}"/>
                </c:ext>
              </c:extLst>
            </c:dLbl>
            <c:dLbl>
              <c:idx val="3"/>
              <c:layout>
                <c:manualLayout>
                  <c:x val="-5.292001425847827E-4"/>
                  <c:y val="4.8910892225084185E-2"/>
                </c:manualLayout>
              </c:layout>
              <c:tx>
                <c:rich>
                  <a:bodyPr/>
                  <a:lstStyle/>
                  <a:p>
                    <a:r>
                      <a:rPr lang="en-US"/>
                      <a:t>113,20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E0-43D6-B422-6EB812D76ACC}"/>
                </c:ext>
              </c:extLst>
            </c:dLbl>
            <c:numFmt formatCode="#,##0.00" sourceLinked="0"/>
            <c:spPr>
              <a:noFill/>
              <a:ln>
                <a:noFill/>
              </a:ln>
              <a:effectLst/>
            </c:spPr>
            <c:txPr>
              <a:bodyPr/>
              <a:lstStyle/>
              <a:p>
                <a:pPr>
                  <a:defRPr lang="en-US" sz="800">
                    <a:solidFill>
                      <a:schemeClr val="accent1"/>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Expenditures'!$A$12:$A$15</c:f>
              <c:numCache>
                <c:formatCode>General</c:formatCode>
                <c:ptCount val="4"/>
                <c:pt idx="0">
                  <c:v>2012</c:v>
                </c:pt>
                <c:pt idx="1">
                  <c:v>2013</c:v>
                </c:pt>
                <c:pt idx="2">
                  <c:v>2014</c:v>
                </c:pt>
                <c:pt idx="3">
                  <c:v>2015</c:v>
                </c:pt>
              </c:numCache>
            </c:numRef>
          </c:cat>
          <c:val>
            <c:numRef>
              <c:f>'Category - Total Expenditures'!$B$12:$B$15</c:f>
              <c:numCache>
                <c:formatCode>#,##0</c:formatCode>
                <c:ptCount val="4"/>
                <c:pt idx="0">
                  <c:v>115950000</c:v>
                </c:pt>
                <c:pt idx="1">
                  <c:v>115630000</c:v>
                </c:pt>
                <c:pt idx="2">
                  <c:v>115370000</c:v>
                </c:pt>
                <c:pt idx="3">
                  <c:v>113200000</c:v>
                </c:pt>
              </c:numCache>
            </c:numRef>
          </c:val>
          <c:smooth val="0"/>
          <c:extLst>
            <c:ext xmlns:c16="http://schemas.microsoft.com/office/drawing/2014/chart" uri="{C3380CC4-5D6E-409C-BE32-E72D297353CC}">
              <c16:uniqueId val="{00000004-6DE0-43D6-B422-6EB812D76ACC}"/>
            </c:ext>
          </c:extLst>
        </c:ser>
        <c:ser>
          <c:idx val="1"/>
          <c:order val="1"/>
          <c:tx>
            <c:strRef>
              <c:f>'Category - Total Expenditures'!$C$11</c:f>
              <c:strCache>
                <c:ptCount val="1"/>
                <c:pt idx="0">
                  <c:v>UNICEF</c:v>
                </c:pt>
              </c:strCache>
            </c:strRef>
          </c:tx>
          <c:spPr>
            <a:ln>
              <a:prstDash val="sysDash"/>
            </a:ln>
          </c:spPr>
          <c:marker>
            <c:symbol val="x"/>
            <c:size val="7"/>
          </c:marker>
          <c:dLbls>
            <c:dLbl>
              <c:idx val="0"/>
              <c:layout>
                <c:manualLayout>
                  <c:x val="-0.11981559632047351"/>
                  <c:y val="-4.5467494955090414E-2"/>
                </c:manualLayout>
              </c:layout>
              <c:tx>
                <c:rich>
                  <a:bodyPr/>
                  <a:lstStyle/>
                  <a:p>
                    <a:r>
                      <a:rPr lang="en-US"/>
                      <a:t>UNICEF 126,30</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6DE0-43D6-B422-6EB812D76ACC}"/>
                </c:ext>
              </c:extLst>
            </c:dLbl>
            <c:dLbl>
              <c:idx val="1"/>
              <c:layout>
                <c:manualLayout>
                  <c:x val="-5.5753424632384384E-2"/>
                  <c:y val="-4.6991436481368873E-2"/>
                </c:manualLayout>
              </c:layout>
              <c:tx>
                <c:rich>
                  <a:bodyPr/>
                  <a:lstStyle/>
                  <a:p>
                    <a:r>
                      <a:rPr lang="en-US"/>
                      <a:t>134,70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DE0-43D6-B422-6EB812D76ACC}"/>
                </c:ext>
              </c:extLst>
            </c:dLbl>
            <c:dLbl>
              <c:idx val="2"/>
              <c:tx>
                <c:rich>
                  <a:bodyPr/>
                  <a:lstStyle/>
                  <a:p>
                    <a:r>
                      <a:rPr lang="en-US"/>
                      <a:t>144,40</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E0-43D6-B422-6EB812D76ACC}"/>
                </c:ext>
              </c:extLst>
            </c:dLbl>
            <c:dLbl>
              <c:idx val="3"/>
              <c:layout>
                <c:manualLayout>
                  <c:x val="-2.8062239438127311E-2"/>
                  <c:y val="-5.7002999549982766E-2"/>
                </c:manualLayout>
              </c:layout>
              <c:tx>
                <c:rich>
                  <a:bodyPr/>
                  <a:lstStyle/>
                  <a:p>
                    <a:r>
                      <a:rPr lang="en-US"/>
                      <a:t>150,20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E0-43D6-B422-6EB812D76ACC}"/>
                </c:ext>
              </c:extLst>
            </c:dLbl>
            <c:numFmt formatCode="#,##0.00" sourceLinked="0"/>
            <c:spPr>
              <a:noFill/>
              <a:ln>
                <a:noFill/>
              </a:ln>
              <a:effectLst/>
            </c:spPr>
            <c:txPr>
              <a:bodyPr/>
              <a:lstStyle/>
              <a:p>
                <a:pPr>
                  <a:defRPr lang="en-US" sz="800">
                    <a:solidFill>
                      <a:schemeClr val="accent2">
                        <a:lumMod val="75000"/>
                      </a:schemeClr>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numRef>
              <c:f>'Category - Total Expenditures'!$A$12:$A$15</c:f>
              <c:numCache>
                <c:formatCode>General</c:formatCode>
                <c:ptCount val="4"/>
                <c:pt idx="0">
                  <c:v>2012</c:v>
                </c:pt>
                <c:pt idx="1">
                  <c:v>2013</c:v>
                </c:pt>
                <c:pt idx="2">
                  <c:v>2014</c:v>
                </c:pt>
                <c:pt idx="3">
                  <c:v>2015</c:v>
                </c:pt>
              </c:numCache>
            </c:numRef>
          </c:cat>
          <c:val>
            <c:numRef>
              <c:f>'Category - Total Expenditures'!$C$12:$C$15</c:f>
              <c:numCache>
                <c:formatCode>#,##0</c:formatCode>
                <c:ptCount val="4"/>
                <c:pt idx="0">
                  <c:v>126300000</c:v>
                </c:pt>
                <c:pt idx="1">
                  <c:v>134700000</c:v>
                </c:pt>
                <c:pt idx="2">
                  <c:v>144400000</c:v>
                </c:pt>
                <c:pt idx="3">
                  <c:v>150200000</c:v>
                </c:pt>
              </c:numCache>
            </c:numRef>
          </c:val>
          <c:smooth val="0"/>
          <c:extLst>
            <c:ext xmlns:c16="http://schemas.microsoft.com/office/drawing/2014/chart" uri="{C3380CC4-5D6E-409C-BE32-E72D297353CC}">
              <c16:uniqueId val="{00000009-6DE0-43D6-B422-6EB812D76ACC}"/>
            </c:ext>
          </c:extLst>
        </c:ser>
        <c:ser>
          <c:idx val="2"/>
          <c:order val="2"/>
          <c:tx>
            <c:strRef>
              <c:f>'Category - Total Expenditures'!$D$11</c:f>
              <c:strCache>
                <c:ptCount val="1"/>
                <c:pt idx="0">
                  <c:v>WHO</c:v>
                </c:pt>
              </c:strCache>
            </c:strRef>
          </c:tx>
          <c:spPr>
            <a:ln cmpd="sng">
              <a:prstDash val="sysDot"/>
            </a:ln>
          </c:spPr>
          <c:marker>
            <c:symbol val="triangle"/>
            <c:size val="7"/>
          </c:marker>
          <c:dLbls>
            <c:dLbl>
              <c:idx val="0"/>
              <c:layout>
                <c:manualLayout>
                  <c:x val="-0.10448013574600012"/>
                  <c:y val="-6.6586844073022664E-2"/>
                </c:manualLayout>
              </c:layout>
              <c:tx>
                <c:rich>
                  <a:bodyPr/>
                  <a:lstStyle/>
                  <a:p>
                    <a:r>
                      <a:rPr lang="en-US"/>
                      <a:t>OMS 144,69</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6DE0-43D6-B422-6EB812D76ACC}"/>
                </c:ext>
              </c:extLst>
            </c:dLbl>
            <c:dLbl>
              <c:idx val="1"/>
              <c:layout>
                <c:manualLayout>
                  <c:x val="-6.3513433871102698E-2"/>
                  <c:y val="-5.6099611535187992E-2"/>
                </c:manualLayout>
              </c:layout>
              <c:tx>
                <c:rich>
                  <a:bodyPr/>
                  <a:lstStyle/>
                  <a:p>
                    <a:r>
                      <a:rPr lang="en-US"/>
                      <a:t>165,44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E0-43D6-B422-6EB812D76ACC}"/>
                </c:ext>
              </c:extLst>
            </c:dLbl>
            <c:dLbl>
              <c:idx val="2"/>
              <c:layout>
                <c:manualLayout>
                  <c:x val="-7.0582375235534983E-2"/>
                  <c:y val="-4.5512381517577534E-2"/>
                </c:manualLayout>
              </c:layout>
              <c:tx>
                <c:rich>
                  <a:bodyPr/>
                  <a:lstStyle/>
                  <a:p>
                    <a:r>
                      <a:rPr lang="en-US"/>
                      <a:t>184,58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DE0-43D6-B422-6EB812D76ACC}"/>
                </c:ext>
              </c:extLst>
            </c:dLbl>
            <c:dLbl>
              <c:idx val="3"/>
              <c:layout>
                <c:manualLayout>
                  <c:x val="-1.2951096666331903E-3"/>
                  <c:y val="-8.9066785758898058E-3"/>
                </c:manualLayout>
              </c:layout>
              <c:tx>
                <c:rich>
                  <a:bodyPr/>
                  <a:lstStyle/>
                  <a:p>
                    <a:r>
                      <a:rPr lang="en-US"/>
                      <a:t>226,34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E0-43D6-B422-6EB812D76ACC}"/>
                </c:ext>
              </c:extLst>
            </c:dLbl>
            <c:numFmt formatCode="#,##0.00" sourceLinked="0"/>
            <c:spPr>
              <a:noFill/>
              <a:ln>
                <a:noFill/>
              </a:ln>
              <a:effectLst/>
            </c:spPr>
            <c:txPr>
              <a:bodyPr/>
              <a:lstStyle/>
              <a:p>
                <a:pPr>
                  <a:defRPr lang="en-US" sz="800">
                    <a:solidFill>
                      <a:schemeClr val="accent3">
                        <a:lumMod val="75000"/>
                      </a:schemeClr>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Expenditures'!$A$12:$A$15</c:f>
              <c:numCache>
                <c:formatCode>General</c:formatCode>
                <c:ptCount val="4"/>
                <c:pt idx="0">
                  <c:v>2012</c:v>
                </c:pt>
                <c:pt idx="1">
                  <c:v>2013</c:v>
                </c:pt>
                <c:pt idx="2">
                  <c:v>2014</c:v>
                </c:pt>
                <c:pt idx="3">
                  <c:v>2015</c:v>
                </c:pt>
              </c:numCache>
            </c:numRef>
          </c:cat>
          <c:val>
            <c:numRef>
              <c:f>'Category - Total Expenditures'!$D$12:$D$15</c:f>
              <c:numCache>
                <c:formatCode>#,##0</c:formatCode>
                <c:ptCount val="4"/>
                <c:pt idx="0">
                  <c:v>144689092</c:v>
                </c:pt>
                <c:pt idx="1">
                  <c:v>165444976</c:v>
                </c:pt>
                <c:pt idx="2">
                  <c:v>184575907</c:v>
                </c:pt>
                <c:pt idx="3">
                  <c:v>226342000</c:v>
                </c:pt>
              </c:numCache>
            </c:numRef>
          </c:val>
          <c:smooth val="0"/>
          <c:extLst>
            <c:ext xmlns:c16="http://schemas.microsoft.com/office/drawing/2014/chart" uri="{C3380CC4-5D6E-409C-BE32-E72D297353CC}">
              <c16:uniqueId val="{0000000E-6DE0-43D6-B422-6EB812D76ACC}"/>
            </c:ext>
          </c:extLst>
        </c:ser>
        <c:ser>
          <c:idx val="3"/>
          <c:order val="3"/>
          <c:tx>
            <c:strRef>
              <c:f>'Category - Total Expenditures'!$E$11</c:f>
              <c:strCache>
                <c:ptCount val="1"/>
                <c:pt idx="0">
                  <c:v>WFP</c:v>
                </c:pt>
              </c:strCache>
            </c:strRef>
          </c:tx>
          <c:dLbls>
            <c:dLbl>
              <c:idx val="0"/>
              <c:layout>
                <c:manualLayout>
                  <c:x val="-0.11711990872149868"/>
                  <c:y val="-4.2508321488570117E-2"/>
                </c:manualLayout>
              </c:layout>
              <c:tx>
                <c:rich>
                  <a:bodyPr/>
                  <a:lstStyle/>
                  <a:p>
                    <a:r>
                      <a:rPr lang="en-US"/>
                      <a:t>PAM 88,69</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6DE0-43D6-B422-6EB812D76ACC}"/>
                </c:ext>
              </c:extLst>
            </c:dLbl>
            <c:dLbl>
              <c:idx val="1"/>
              <c:layout>
                <c:manualLayout>
                  <c:x val="-5.5382688916247751E-2"/>
                  <c:y val="-5.3588332091572287E-2"/>
                </c:manualLayout>
              </c:layout>
              <c:tx>
                <c:rich>
                  <a:bodyPr/>
                  <a:lstStyle/>
                  <a:p>
                    <a:r>
                      <a:rPr lang="en-US"/>
                      <a:t>91,31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DE0-43D6-B422-6EB812D76ACC}"/>
                </c:ext>
              </c:extLst>
            </c:dLbl>
            <c:dLbl>
              <c:idx val="2"/>
              <c:layout>
                <c:manualLayout>
                  <c:x val="-1.3226209681727368E-2"/>
                  <c:y val="2.4279314331939562E-2"/>
                </c:manualLayout>
              </c:layout>
              <c:tx>
                <c:rich>
                  <a:bodyPr/>
                  <a:lstStyle/>
                  <a:p>
                    <a:r>
                      <a:rPr lang="en-US"/>
                      <a:t>99,59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DE0-43D6-B422-6EB812D76ACC}"/>
                </c:ext>
              </c:extLst>
            </c:dLbl>
            <c:dLbl>
              <c:idx val="3"/>
              <c:layout>
                <c:manualLayout>
                  <c:x val="0"/>
                  <c:y val="-5.0438612942557394E-2"/>
                </c:manualLayout>
              </c:layout>
              <c:tx>
                <c:rich>
                  <a:bodyPr/>
                  <a:lstStyle/>
                  <a:p>
                    <a:r>
                      <a:rPr lang="en-US"/>
                      <a:t>113,30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DE0-43D6-B422-6EB812D76ACC}"/>
                </c:ext>
              </c:extLst>
            </c:dLbl>
            <c:numFmt formatCode="#,##0.00" sourceLinked="0"/>
            <c:spPr>
              <a:noFill/>
              <a:ln>
                <a:noFill/>
              </a:ln>
              <a:effectLst/>
            </c:spPr>
            <c:txPr>
              <a:bodyPr/>
              <a:lstStyle/>
              <a:p>
                <a:pPr>
                  <a:defRPr lang="en-US" sz="800">
                    <a:solidFill>
                      <a:schemeClr val="accent4">
                        <a:lumMod val="75000"/>
                      </a:schemeClr>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Expenditures'!$A$12:$A$15</c:f>
              <c:numCache>
                <c:formatCode>General</c:formatCode>
                <c:ptCount val="4"/>
                <c:pt idx="0">
                  <c:v>2012</c:v>
                </c:pt>
                <c:pt idx="1">
                  <c:v>2013</c:v>
                </c:pt>
                <c:pt idx="2">
                  <c:v>2014</c:v>
                </c:pt>
                <c:pt idx="3">
                  <c:v>2015</c:v>
                </c:pt>
              </c:numCache>
            </c:numRef>
          </c:cat>
          <c:val>
            <c:numRef>
              <c:f>'Category - Total Expenditures'!$E$12:$E$15</c:f>
              <c:numCache>
                <c:formatCode>#,##0</c:formatCode>
                <c:ptCount val="4"/>
                <c:pt idx="0">
                  <c:v>88690960.900000006</c:v>
                </c:pt>
                <c:pt idx="1">
                  <c:v>91308223.790000007</c:v>
                </c:pt>
                <c:pt idx="2">
                  <c:v>99593232.599999994</c:v>
                </c:pt>
                <c:pt idx="3">
                  <c:v>113299313.93000001</c:v>
                </c:pt>
              </c:numCache>
            </c:numRef>
          </c:val>
          <c:smooth val="0"/>
          <c:extLst>
            <c:ext xmlns:c16="http://schemas.microsoft.com/office/drawing/2014/chart" uri="{C3380CC4-5D6E-409C-BE32-E72D297353CC}">
              <c16:uniqueId val="{00000013-6DE0-43D6-B422-6EB812D76ACC}"/>
            </c:ext>
          </c:extLst>
        </c:ser>
        <c:dLbls>
          <c:showLegendKey val="0"/>
          <c:showVal val="0"/>
          <c:showCatName val="0"/>
          <c:showSerName val="0"/>
          <c:showPercent val="0"/>
          <c:showBubbleSize val="0"/>
        </c:dLbls>
        <c:marker val="1"/>
        <c:smooth val="0"/>
        <c:axId val="142737408"/>
        <c:axId val="142738944"/>
      </c:lineChart>
      <c:catAx>
        <c:axId val="142737408"/>
        <c:scaling>
          <c:orientation val="minMax"/>
        </c:scaling>
        <c:delete val="0"/>
        <c:axPos val="b"/>
        <c:numFmt formatCode="General" sourceLinked="1"/>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42738944"/>
        <c:crosses val="autoZero"/>
        <c:auto val="1"/>
        <c:lblAlgn val="ctr"/>
        <c:lblOffset val="100"/>
        <c:noMultiLvlLbl val="0"/>
      </c:catAx>
      <c:valAx>
        <c:axId val="142738944"/>
        <c:scaling>
          <c:orientation val="minMax"/>
          <c:max val="230000000"/>
          <c:min val="88000000"/>
        </c:scaling>
        <c:delete val="0"/>
        <c:axPos val="l"/>
        <c:majorGridlines>
          <c:spPr>
            <a:ln>
              <a:noFill/>
            </a:ln>
          </c:spPr>
        </c:majorGridlines>
        <c:numFmt formatCode="#,##0" sourceLinked="1"/>
        <c:majorTickMark val="out"/>
        <c:minorTickMark val="none"/>
        <c:tickLblPos val="nextTo"/>
        <c:txPr>
          <a:bodyPr/>
          <a:lstStyle/>
          <a:p>
            <a:pPr>
              <a:defRPr lang="en-US" sz="900" baseline="0">
                <a:latin typeface="Times New Roman" panose="02020603050405020304" pitchFamily="18" charset="0"/>
                <a:cs typeface="Times New Roman" panose="02020603050405020304" pitchFamily="18" charset="0"/>
              </a:defRPr>
            </a:pPr>
            <a:endParaRPr lang="fr-FR"/>
          </a:p>
        </c:txPr>
        <c:crossAx val="142737408"/>
        <c:crosses val="autoZero"/>
        <c:crossBetween val="between"/>
        <c:dispUnits>
          <c:builtInUnit val="millions"/>
          <c:dispUnitsLbl>
            <c:layout>
              <c:manualLayout>
                <c:xMode val="edge"/>
                <c:yMode val="edge"/>
                <c:x val="2.1753864891718933E-2"/>
                <c:y val="0.12107958866950676"/>
              </c:manualLayout>
            </c:layout>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En millions de dollars des États-Unis  </a:t>
                  </a:r>
                </a:p>
              </c:rich>
            </c:tx>
          </c:dispUnitsLbl>
        </c:dispUnits>
      </c:valAx>
    </c:plotArea>
    <c:plotVisOnly val="1"/>
    <c:dispBlanksAs val="gap"/>
    <c:showDLblsOverMax val="0"/>
  </c:chart>
  <c:spPr>
    <a:ln w="6350">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53085719544638"/>
          <c:y val="9.5804610026859485E-2"/>
          <c:w val="0.89203298108303508"/>
          <c:h val="0.79936416121645493"/>
        </c:manualLayout>
      </c:layout>
      <c:lineChart>
        <c:grouping val="standard"/>
        <c:varyColors val="0"/>
        <c:ser>
          <c:idx val="0"/>
          <c:order val="0"/>
          <c:tx>
            <c:strRef>
              <c:f>'Category - Total Expenditures'!$B$18</c:f>
              <c:strCache>
                <c:ptCount val="1"/>
                <c:pt idx="0">
                  <c:v>UNHQ&amp;OAH</c:v>
                </c:pt>
              </c:strCache>
            </c:strRef>
          </c:tx>
          <c:spPr>
            <a:ln>
              <a:prstDash val="sysDot"/>
            </a:ln>
          </c:spPr>
          <c:dLbls>
            <c:dLbl>
              <c:idx val="0"/>
              <c:layout>
                <c:manualLayout>
                  <c:x val="-6.9959741713449181E-2"/>
                  <c:y val="-0.10718942233388142"/>
                </c:manualLayout>
              </c:layout>
              <c:tx>
                <c:rich>
                  <a:bodyPr/>
                  <a:lstStyle/>
                  <a:p>
                    <a:r>
                      <a:rPr lang="en-US" sz="800"/>
                      <a:t>Siège</a:t>
                    </a:r>
                    <a:r>
                      <a:rPr lang="en-US" sz="800" baseline="0"/>
                      <a:t> et bureaux hors Siège </a:t>
                    </a:r>
                    <a:br>
                      <a:rPr lang="en-US" sz="800" baseline="0"/>
                    </a:br>
                    <a:r>
                      <a:rPr lang="en-US" sz="800" baseline="0"/>
                      <a:t>de l</a:t>
                    </a:r>
                    <a:r>
                      <a:rPr lang="en-US" sz="800" b="0" i="0" u="none" strike="noStrike" baseline="0">
                        <a:effectLst/>
                      </a:rPr>
                      <a:t>’</a:t>
                    </a:r>
                    <a:r>
                      <a:rPr lang="en-US" sz="800" baseline="0"/>
                      <a:t>ONU</a:t>
                    </a:r>
                    <a:br>
                      <a:rPr lang="en-US" sz="800" baseline="0"/>
                    </a:br>
                    <a:r>
                      <a:rPr lang="en-US" sz="800"/>
                      <a:t>83,61</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E07-42A3-8186-B91719F31FEF}"/>
                </c:ext>
              </c:extLst>
            </c:dLbl>
            <c:dLbl>
              <c:idx val="1"/>
              <c:tx>
                <c:rich>
                  <a:bodyPr/>
                  <a:lstStyle/>
                  <a:p>
                    <a:r>
                      <a:rPr lang="en-US"/>
                      <a:t>77,54</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07-42A3-8186-B91719F31FEF}"/>
                </c:ext>
              </c:extLst>
            </c:dLbl>
            <c:dLbl>
              <c:idx val="2"/>
              <c:layout>
                <c:manualLayout>
                  <c:x val="-4.0981854535836623E-2"/>
                  <c:y val="-4.5092406963114534E-2"/>
                </c:manualLayout>
              </c:layout>
              <c:tx>
                <c:rich>
                  <a:bodyPr/>
                  <a:lstStyle/>
                  <a:p>
                    <a:r>
                      <a:rPr lang="en-US"/>
                      <a:t>76,01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07-42A3-8186-B91719F31FEF}"/>
                </c:ext>
              </c:extLst>
            </c:dLbl>
            <c:dLbl>
              <c:idx val="3"/>
              <c:layout>
                <c:manualLayout>
                  <c:x val="-8.2868878447993708E-3"/>
                  <c:y val="-7.0818711810218954E-3"/>
                </c:manualLayout>
              </c:layout>
              <c:tx>
                <c:rich>
                  <a:bodyPr/>
                  <a:lstStyle/>
                  <a:p>
                    <a:r>
                      <a:rPr lang="en-US"/>
                      <a:t>73,77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E07-42A3-8186-B91719F31FEF}"/>
                </c:ext>
              </c:extLst>
            </c:dLbl>
            <c:numFmt formatCode="0.00" sourceLinked="0"/>
            <c:spPr>
              <a:noFill/>
              <a:ln>
                <a:noFill/>
              </a:ln>
              <a:effectLst/>
            </c:spPr>
            <c:txPr>
              <a:bodyPr/>
              <a:lstStyle/>
              <a:p>
                <a:pPr>
                  <a:defRPr lang="en-US" sz="800">
                    <a:solidFill>
                      <a:schemeClr val="accent5">
                        <a:lumMod val="75000"/>
                      </a:schemeClr>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Expenditures'!$A$19:$A$22</c:f>
              <c:numCache>
                <c:formatCode>General</c:formatCode>
                <c:ptCount val="4"/>
                <c:pt idx="0">
                  <c:v>2012</c:v>
                </c:pt>
                <c:pt idx="1">
                  <c:v>2013</c:v>
                </c:pt>
                <c:pt idx="2">
                  <c:v>2014</c:v>
                </c:pt>
                <c:pt idx="3">
                  <c:v>2015</c:v>
                </c:pt>
              </c:numCache>
            </c:numRef>
          </c:cat>
          <c:val>
            <c:numRef>
              <c:f>'Category - Total Expenditures'!$B$19:$B$22</c:f>
              <c:numCache>
                <c:formatCode>#,##0</c:formatCode>
                <c:ptCount val="4"/>
                <c:pt idx="0">
                  <c:v>82593070.397783741</c:v>
                </c:pt>
                <c:pt idx="1">
                  <c:v>77541131.690731898</c:v>
                </c:pt>
                <c:pt idx="2">
                  <c:v>76014388.205842108</c:v>
                </c:pt>
                <c:pt idx="3">
                  <c:v>73774729.602827638</c:v>
                </c:pt>
              </c:numCache>
            </c:numRef>
          </c:val>
          <c:smooth val="0"/>
          <c:extLst>
            <c:ext xmlns:c16="http://schemas.microsoft.com/office/drawing/2014/chart" uri="{C3380CC4-5D6E-409C-BE32-E72D297353CC}">
              <c16:uniqueId val="{00000004-6E07-42A3-8186-B91719F31FEF}"/>
            </c:ext>
          </c:extLst>
        </c:ser>
        <c:ser>
          <c:idx val="1"/>
          <c:order val="1"/>
          <c:tx>
            <c:strRef>
              <c:f>'Category - Total Expenditures'!$C$18</c:f>
              <c:strCache>
                <c:ptCount val="1"/>
                <c:pt idx="0">
                  <c:v>IAEA</c:v>
                </c:pt>
              </c:strCache>
            </c:strRef>
          </c:tx>
          <c:spPr>
            <a:ln>
              <a:prstDash val="lgDashDot"/>
            </a:ln>
          </c:spPr>
          <c:marker>
            <c:spPr>
              <a:ln>
                <a:prstDash val="lgDash"/>
              </a:ln>
            </c:spPr>
          </c:marker>
          <c:dLbls>
            <c:dLbl>
              <c:idx val="0"/>
              <c:layout>
                <c:manualLayout>
                  <c:x val="-0.12737849763352171"/>
                  <c:y val="-3.5487309929489216E-2"/>
                </c:manualLayout>
              </c:layout>
              <c:tx>
                <c:rich>
                  <a:bodyPr/>
                  <a:lstStyle/>
                  <a:p>
                    <a:r>
                      <a:rPr lang="en-US"/>
                      <a:t>AIEA 68,19</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6E07-42A3-8186-B91719F31FEF}"/>
                </c:ext>
              </c:extLst>
            </c:dLbl>
            <c:dLbl>
              <c:idx val="1"/>
              <c:layout>
                <c:manualLayout>
                  <c:x val="-7.5234614760491522E-2"/>
                  <c:y val="-3.3972458671574592E-2"/>
                </c:manualLayout>
              </c:layout>
              <c:tx>
                <c:rich>
                  <a:bodyPr/>
                  <a:lstStyle/>
                  <a:p>
                    <a:r>
                      <a:rPr lang="en-US"/>
                      <a:t>73,23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E07-42A3-8186-B91719F31FEF}"/>
                </c:ext>
              </c:extLst>
            </c:dLbl>
            <c:dLbl>
              <c:idx val="2"/>
              <c:layout>
                <c:manualLayout>
                  <c:x val="-7.7636161075340923E-2"/>
                  <c:y val="-3.9527191650920411E-2"/>
                </c:manualLayout>
              </c:layout>
              <c:tx>
                <c:rich>
                  <a:bodyPr/>
                  <a:lstStyle/>
                  <a:p>
                    <a:r>
                      <a:rPr lang="en-US"/>
                      <a:t>71,90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E07-42A3-8186-B91719F31FEF}"/>
                </c:ext>
              </c:extLst>
            </c:dLbl>
            <c:dLbl>
              <c:idx val="3"/>
              <c:layout>
                <c:manualLayout>
                  <c:x val="-2.0258857283775478E-3"/>
                  <c:y val="-1.1429765856976087E-2"/>
                </c:manualLayout>
              </c:layout>
              <c:tx>
                <c:rich>
                  <a:bodyPr/>
                  <a:lstStyle/>
                  <a:p>
                    <a:r>
                      <a:rPr lang="en-US"/>
                      <a:t>69,27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E07-42A3-8186-B91719F31FEF}"/>
                </c:ext>
              </c:extLst>
            </c:dLbl>
            <c:numFmt formatCode="#,##0.00" sourceLinked="0"/>
            <c:spPr>
              <a:noFill/>
              <a:ln>
                <a:noFill/>
              </a:ln>
              <a:effectLst/>
            </c:spPr>
            <c:txPr>
              <a:bodyPr/>
              <a:lstStyle/>
              <a:p>
                <a:pPr>
                  <a:defRPr lang="en-US" sz="800">
                    <a:solidFill>
                      <a:srgbClr val="C00000"/>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Expenditures'!$A$19:$A$22</c:f>
              <c:numCache>
                <c:formatCode>General</c:formatCode>
                <c:ptCount val="4"/>
                <c:pt idx="0">
                  <c:v>2012</c:v>
                </c:pt>
                <c:pt idx="1">
                  <c:v>2013</c:v>
                </c:pt>
                <c:pt idx="2">
                  <c:v>2014</c:v>
                </c:pt>
                <c:pt idx="3">
                  <c:v>2015</c:v>
                </c:pt>
              </c:numCache>
            </c:numRef>
          </c:cat>
          <c:val>
            <c:numRef>
              <c:f>'Category - Total Expenditures'!$C$19:$C$22</c:f>
              <c:numCache>
                <c:formatCode>#,##0</c:formatCode>
                <c:ptCount val="4"/>
                <c:pt idx="0">
                  <c:v>68186740</c:v>
                </c:pt>
                <c:pt idx="1">
                  <c:v>73225977</c:v>
                </c:pt>
                <c:pt idx="2">
                  <c:v>71899375</c:v>
                </c:pt>
                <c:pt idx="3">
                  <c:v>69268778</c:v>
                </c:pt>
              </c:numCache>
            </c:numRef>
          </c:val>
          <c:smooth val="0"/>
          <c:extLst>
            <c:ext xmlns:c16="http://schemas.microsoft.com/office/drawing/2014/chart" uri="{C3380CC4-5D6E-409C-BE32-E72D297353CC}">
              <c16:uniqueId val="{00000009-6E07-42A3-8186-B91719F31FEF}"/>
            </c:ext>
          </c:extLst>
        </c:ser>
        <c:ser>
          <c:idx val="2"/>
          <c:order val="2"/>
          <c:tx>
            <c:strRef>
              <c:f>'Category - Total Expenditures'!$D$18</c:f>
              <c:strCache>
                <c:ptCount val="1"/>
                <c:pt idx="0">
                  <c:v>UNFPA</c:v>
                </c:pt>
              </c:strCache>
            </c:strRef>
          </c:tx>
          <c:marker>
            <c:spPr>
              <a:ln>
                <a:prstDash val="solid"/>
              </a:ln>
            </c:spPr>
          </c:marker>
          <c:dLbls>
            <c:dLbl>
              <c:idx val="0"/>
              <c:layout>
                <c:manualLayout>
                  <c:x val="-0.11371798897884818"/>
                  <c:y val="4.9516569501460113E-2"/>
                </c:manualLayout>
              </c:layout>
              <c:tx>
                <c:rich>
                  <a:bodyPr/>
                  <a:lstStyle/>
                  <a:p>
                    <a:r>
                      <a:rPr lang="en-US"/>
                      <a:t>FNUAP 78,85</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6E07-42A3-8186-B91719F31FEF}"/>
                </c:ext>
              </c:extLst>
            </c:dLbl>
            <c:dLbl>
              <c:idx val="1"/>
              <c:layout>
                <c:manualLayout>
                  <c:x val="-4.7674442164196466E-2"/>
                  <c:y val="-6.1788104863005483E-2"/>
                </c:manualLayout>
              </c:layout>
              <c:tx>
                <c:rich>
                  <a:bodyPr/>
                  <a:lstStyle/>
                  <a:p>
                    <a:r>
                      <a:rPr lang="en-US"/>
                      <a:t>85,26</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E07-42A3-8186-B91719F31FEF}"/>
                </c:ext>
              </c:extLst>
            </c:dLbl>
            <c:dLbl>
              <c:idx val="2"/>
              <c:layout>
                <c:manualLayout>
                  <c:x val="-3.4337967591131752E-2"/>
                  <c:y val="-5.0657661794967966E-2"/>
                </c:manualLayout>
              </c:layout>
              <c:tx>
                <c:rich>
                  <a:bodyPr/>
                  <a:lstStyle/>
                  <a:p>
                    <a:r>
                      <a:rPr lang="en-US"/>
                      <a:t>83,14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E07-42A3-8186-B91719F31FEF}"/>
                </c:ext>
              </c:extLst>
            </c:dLbl>
            <c:dLbl>
              <c:idx val="3"/>
              <c:layout>
                <c:manualLayout>
                  <c:x val="-3.2339166909422334E-3"/>
                  <c:y val="5.0221645346411783E-2"/>
                </c:manualLayout>
              </c:layout>
              <c:tx>
                <c:rich>
                  <a:bodyPr/>
                  <a:lstStyle/>
                  <a:p>
                    <a:r>
                      <a:rPr lang="en-US"/>
                      <a:t>69,25</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E07-42A3-8186-B91719F31FEF}"/>
                </c:ext>
              </c:extLst>
            </c:dLbl>
            <c:numFmt formatCode="#,##0.00" sourceLinked="0"/>
            <c:spPr>
              <a:noFill/>
              <a:ln>
                <a:noFill/>
              </a:ln>
              <a:effectLst/>
            </c:spPr>
            <c:txPr>
              <a:bodyPr/>
              <a:lstStyle/>
              <a:p>
                <a:pPr>
                  <a:defRPr lang="en-US" sz="800">
                    <a:solidFill>
                      <a:srgbClr val="00B050"/>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Expenditures'!$A$19:$A$22</c:f>
              <c:numCache>
                <c:formatCode>General</c:formatCode>
                <c:ptCount val="4"/>
                <c:pt idx="0">
                  <c:v>2012</c:v>
                </c:pt>
                <c:pt idx="1">
                  <c:v>2013</c:v>
                </c:pt>
                <c:pt idx="2">
                  <c:v>2014</c:v>
                </c:pt>
                <c:pt idx="3">
                  <c:v>2015</c:v>
                </c:pt>
              </c:numCache>
            </c:numRef>
          </c:cat>
          <c:val>
            <c:numRef>
              <c:f>'Category - Total Expenditures'!$D$19:$D$22</c:f>
              <c:numCache>
                <c:formatCode>#,##0</c:formatCode>
                <c:ptCount val="4"/>
                <c:pt idx="0">
                  <c:v>78850000</c:v>
                </c:pt>
                <c:pt idx="1">
                  <c:v>85256000</c:v>
                </c:pt>
                <c:pt idx="2">
                  <c:v>83139000</c:v>
                </c:pt>
                <c:pt idx="3">
                  <c:v>69251000</c:v>
                </c:pt>
              </c:numCache>
            </c:numRef>
          </c:val>
          <c:smooth val="0"/>
          <c:extLst>
            <c:ext xmlns:c16="http://schemas.microsoft.com/office/drawing/2014/chart" uri="{C3380CC4-5D6E-409C-BE32-E72D297353CC}">
              <c16:uniqueId val="{0000000E-6E07-42A3-8186-B91719F31FEF}"/>
            </c:ext>
          </c:extLst>
        </c:ser>
        <c:ser>
          <c:idx val="3"/>
          <c:order val="3"/>
          <c:tx>
            <c:strRef>
              <c:f>'Category - Total Expenditures'!$E$18</c:f>
              <c:strCache>
                <c:ptCount val="1"/>
                <c:pt idx="0">
                  <c:v>UNHCR</c:v>
                </c:pt>
              </c:strCache>
            </c:strRef>
          </c:tx>
          <c:dLbls>
            <c:dLbl>
              <c:idx val="0"/>
              <c:layout>
                <c:manualLayout>
                  <c:x val="-0.11612363357833723"/>
                  <c:y val="2.8125471073047387E-2"/>
                </c:manualLayout>
              </c:layout>
              <c:tx>
                <c:rich>
                  <a:bodyPr/>
                  <a:lstStyle/>
                  <a:p>
                    <a:r>
                      <a:rPr lang="en-US"/>
                      <a:t>HCR 53,17</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6E07-42A3-8186-B91719F31FEF}"/>
                </c:ext>
              </c:extLst>
            </c:dLbl>
            <c:dLbl>
              <c:idx val="1"/>
              <c:tx>
                <c:rich>
                  <a:bodyPr/>
                  <a:lstStyle/>
                  <a:p>
                    <a:r>
                      <a:rPr lang="en-US"/>
                      <a:t>55,69</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E07-42A3-8186-B91719F31FEF}"/>
                </c:ext>
              </c:extLst>
            </c:dLbl>
            <c:dLbl>
              <c:idx val="2"/>
              <c:tx>
                <c:rich>
                  <a:bodyPr/>
                  <a:lstStyle/>
                  <a:p>
                    <a:r>
                      <a:rPr lang="en-US"/>
                      <a:t>58,40</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E07-42A3-8186-B91719F31FEF}"/>
                </c:ext>
              </c:extLst>
            </c:dLbl>
            <c:dLbl>
              <c:idx val="3"/>
              <c:layout>
                <c:manualLayout>
                  <c:x val="-5.8814326512321826E-3"/>
                  <c:y val="-4.0485989630258054E-3"/>
                </c:manualLayout>
              </c:layout>
              <c:tx>
                <c:rich>
                  <a:bodyPr/>
                  <a:lstStyle/>
                  <a:p>
                    <a:r>
                      <a:rPr lang="en-US"/>
                      <a:t>56,00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E07-42A3-8186-B91719F31FEF}"/>
                </c:ext>
              </c:extLst>
            </c:dLbl>
            <c:numFmt formatCode="#,##0.00" sourceLinked="0"/>
            <c:spPr>
              <a:noFill/>
              <a:ln>
                <a:noFill/>
              </a:ln>
              <a:effectLst/>
            </c:spPr>
            <c:txPr>
              <a:bodyPr/>
              <a:lstStyle/>
              <a:p>
                <a:pPr>
                  <a:defRPr lang="en-US" sz="800">
                    <a:solidFill>
                      <a:schemeClr val="accent4">
                        <a:lumMod val="75000"/>
                      </a:schemeClr>
                    </a:solidFill>
                    <a:latin typeface="Times New Roman" panose="02020603050405020304" pitchFamily="18" charset="0"/>
                    <a:cs typeface="Times New Roman" panose="02020603050405020304" pitchFamily="18" charset="0"/>
                  </a:defRPr>
                </a:pPr>
                <a:endParaRPr lang="fr-F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Expenditures'!$A$19:$A$22</c:f>
              <c:numCache>
                <c:formatCode>General</c:formatCode>
                <c:ptCount val="4"/>
                <c:pt idx="0">
                  <c:v>2012</c:v>
                </c:pt>
                <c:pt idx="1">
                  <c:v>2013</c:v>
                </c:pt>
                <c:pt idx="2">
                  <c:v>2014</c:v>
                </c:pt>
                <c:pt idx="3">
                  <c:v>2015</c:v>
                </c:pt>
              </c:numCache>
            </c:numRef>
          </c:cat>
          <c:val>
            <c:numRef>
              <c:f>'Category - Total Expenditures'!$E$19:$E$22</c:f>
              <c:numCache>
                <c:formatCode>#,##0</c:formatCode>
                <c:ptCount val="4"/>
                <c:pt idx="0">
                  <c:v>53171087</c:v>
                </c:pt>
                <c:pt idx="1">
                  <c:v>55691661</c:v>
                </c:pt>
                <c:pt idx="2">
                  <c:v>58402289</c:v>
                </c:pt>
                <c:pt idx="3">
                  <c:v>55996705</c:v>
                </c:pt>
              </c:numCache>
            </c:numRef>
          </c:val>
          <c:smooth val="0"/>
          <c:extLst>
            <c:ext xmlns:c16="http://schemas.microsoft.com/office/drawing/2014/chart" uri="{C3380CC4-5D6E-409C-BE32-E72D297353CC}">
              <c16:uniqueId val="{00000013-6E07-42A3-8186-B91719F31FEF}"/>
            </c:ext>
          </c:extLst>
        </c:ser>
        <c:ser>
          <c:idx val="4"/>
          <c:order val="4"/>
          <c:tx>
            <c:strRef>
              <c:f>'Category - Total Expenditures'!$F$18</c:f>
              <c:strCache>
                <c:ptCount val="1"/>
              </c:strCache>
            </c:strRef>
          </c:tx>
          <c:spPr>
            <a:ln>
              <a:prstDash val="sysDash"/>
            </a:ln>
          </c:spPr>
          <c:dLbls>
            <c:dLbl>
              <c:idx val="0"/>
              <c:layout>
                <c:manualLayout>
                  <c:x val="-0.1138924318318621"/>
                  <c:y val="-4.0473281613164463E-2"/>
                </c:manualLayout>
              </c:layout>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4-6E07-42A3-8186-B91719F31FEF}"/>
                </c:ext>
              </c:extLst>
            </c:dLbl>
            <c:dLbl>
              <c:idx val="3"/>
              <c:layout>
                <c:manualLayout>
                  <c:x val="-1.3331146326301698E-2"/>
                  <c:y val="3.45176036711270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E07-42A3-8186-B91719F31FEF}"/>
                </c:ext>
              </c:extLst>
            </c:dLbl>
            <c:numFmt formatCode="#,##0.00" sourceLinked="0"/>
            <c:spPr>
              <a:noFill/>
              <a:ln>
                <a:noFill/>
              </a:ln>
              <a:effectLst/>
            </c:spPr>
            <c:txPr>
              <a:bodyPr/>
              <a:lstStyle/>
              <a:p>
                <a:pPr>
                  <a:defRPr lang="en-US" sz="900">
                    <a:solidFill>
                      <a:schemeClr val="accent5">
                        <a:lumMod val="75000"/>
                      </a:schemeClr>
                    </a:solidFill>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'Category - Total Expenditures'!$A$19:$A$22</c:f>
              <c:numCache>
                <c:formatCode>General</c:formatCode>
                <c:ptCount val="4"/>
                <c:pt idx="0">
                  <c:v>2012</c:v>
                </c:pt>
                <c:pt idx="1">
                  <c:v>2013</c:v>
                </c:pt>
                <c:pt idx="2">
                  <c:v>2014</c:v>
                </c:pt>
                <c:pt idx="3">
                  <c:v>2015</c:v>
                </c:pt>
              </c:numCache>
            </c:numRef>
          </c:cat>
          <c:val>
            <c:numRef>
              <c:f>'Category - Total Expenditures'!$F$19:$F$22</c:f>
              <c:numCache>
                <c:formatCode>General</c:formatCode>
                <c:ptCount val="4"/>
              </c:numCache>
            </c:numRef>
          </c:val>
          <c:smooth val="0"/>
          <c:extLst>
            <c:ext xmlns:c16="http://schemas.microsoft.com/office/drawing/2014/chart" uri="{C3380CC4-5D6E-409C-BE32-E72D297353CC}">
              <c16:uniqueId val="{00000016-6E07-42A3-8186-B91719F31FEF}"/>
            </c:ext>
          </c:extLst>
        </c:ser>
        <c:dLbls>
          <c:showLegendKey val="0"/>
          <c:showVal val="0"/>
          <c:showCatName val="0"/>
          <c:showSerName val="0"/>
          <c:showPercent val="0"/>
          <c:showBubbleSize val="0"/>
        </c:dLbls>
        <c:marker val="1"/>
        <c:smooth val="0"/>
        <c:axId val="157767552"/>
        <c:axId val="157769088"/>
      </c:lineChart>
      <c:catAx>
        <c:axId val="157767552"/>
        <c:scaling>
          <c:orientation val="minMax"/>
        </c:scaling>
        <c:delete val="0"/>
        <c:axPos val="b"/>
        <c:numFmt formatCode="General" sourceLinked="1"/>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57769088"/>
        <c:crosses val="autoZero"/>
        <c:auto val="1"/>
        <c:lblAlgn val="ctr"/>
        <c:lblOffset val="100"/>
        <c:noMultiLvlLbl val="0"/>
      </c:catAx>
      <c:valAx>
        <c:axId val="157769088"/>
        <c:scaling>
          <c:orientation val="minMax"/>
          <c:max val="90000000"/>
          <c:min val="50000000"/>
        </c:scaling>
        <c:delete val="0"/>
        <c:axPos val="l"/>
        <c:majorGridlines>
          <c:spPr>
            <a:ln>
              <a:noFill/>
            </a:ln>
          </c:spPr>
        </c:majorGridlines>
        <c:numFmt formatCode="#,##0" sourceLinked="0"/>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57767552"/>
        <c:crosses val="autoZero"/>
        <c:crossBetween val="between"/>
        <c:dispUnits>
          <c:builtInUnit val="millions"/>
          <c:dispUnitsLbl>
            <c:layout>
              <c:manualLayout>
                <c:xMode val="edge"/>
                <c:yMode val="edge"/>
                <c:x val="1.4545881900447651E-2"/>
                <c:y val="0.16504545515816391"/>
              </c:manualLayout>
            </c:layout>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En millions de dollars des États-Unis</a:t>
                  </a:r>
                </a:p>
              </c:rich>
            </c:tx>
          </c:dispUnitsLbl>
        </c:dispUnits>
      </c:valAx>
    </c:plotArea>
    <c:plotVisOnly val="1"/>
    <c:dispBlanksAs val="gap"/>
    <c:showDLblsOverMax val="0"/>
  </c:chart>
  <c:spPr>
    <a:ln w="6350">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958097842925682E-2"/>
          <c:y val="2.9290453423029512E-2"/>
          <c:w val="0.87741343390420823"/>
          <c:h val="0.90946977635400139"/>
        </c:manualLayout>
      </c:layout>
      <c:lineChart>
        <c:grouping val="standard"/>
        <c:varyColors val="0"/>
        <c:ser>
          <c:idx val="0"/>
          <c:order val="0"/>
          <c:tx>
            <c:strRef>
              <c:f>Sheet1!$A$2</c:f>
              <c:strCache>
                <c:ptCount val="1"/>
                <c:pt idx="0">
                  <c:v>ILO</c:v>
                </c:pt>
              </c:strCache>
            </c:strRef>
          </c:tx>
          <c:spPr>
            <a:ln>
              <a:prstDash val="dash"/>
            </a:ln>
          </c:spPr>
          <c:dLbls>
            <c:dLbl>
              <c:idx val="0"/>
              <c:layout>
                <c:manualLayout>
                  <c:x val="-0.12587638783591795"/>
                  <c:y val="4.9654192476775676E-17"/>
                </c:manualLayout>
              </c:layout>
              <c:tx>
                <c:rich>
                  <a:bodyPr/>
                  <a:lstStyle/>
                  <a:p>
                    <a:r>
                      <a:rPr lang="en-US"/>
                      <a:t>OIT 28,35</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037A-4AEE-BC44-DD27B1C4F35E}"/>
                </c:ext>
              </c:extLst>
            </c:dLbl>
            <c:dLbl>
              <c:idx val="1"/>
              <c:tx>
                <c:rich>
                  <a:bodyPr/>
                  <a:lstStyle/>
                  <a:p>
                    <a:r>
                      <a:rPr lang="en-US"/>
                      <a:t>32,77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7A-4AEE-BC44-DD27B1C4F35E}"/>
                </c:ext>
              </c:extLst>
            </c:dLbl>
            <c:dLbl>
              <c:idx val="2"/>
              <c:layout>
                <c:manualLayout>
                  <c:x val="-4.6532438478747322E-2"/>
                  <c:y val="2.8871397042882812E-2"/>
                </c:manualLayout>
              </c:layout>
              <c:tx>
                <c:rich>
                  <a:bodyPr/>
                  <a:lstStyle/>
                  <a:p>
                    <a:r>
                      <a:rPr lang="en-US"/>
                      <a:t>27,31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7A-4AEE-BC44-DD27B1C4F35E}"/>
                </c:ext>
              </c:extLst>
            </c:dLbl>
            <c:dLbl>
              <c:idx val="3"/>
              <c:tx>
                <c:rich>
                  <a:bodyPr/>
                  <a:lstStyle/>
                  <a:p>
                    <a:r>
                      <a:rPr lang="en-US"/>
                      <a:t>29,75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7A-4AEE-BC44-DD27B1C4F35E}"/>
                </c:ext>
              </c:extLst>
            </c:dLbl>
            <c:numFmt formatCode="#,##0.00" sourceLinked="0"/>
            <c:spPr>
              <a:noFill/>
              <a:ln>
                <a:noFill/>
              </a:ln>
              <a:effectLst/>
            </c:spPr>
            <c:txPr>
              <a:bodyPr/>
              <a:lstStyle/>
              <a:p>
                <a:pPr>
                  <a:defRPr lang="en-US" sz="800">
                    <a:solidFill>
                      <a:schemeClr val="tx2"/>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Sheet1!$B$2:$E$2</c:f>
              <c:numCache>
                <c:formatCode>#,##0</c:formatCode>
                <c:ptCount val="4"/>
                <c:pt idx="0">
                  <c:v>28347000</c:v>
                </c:pt>
                <c:pt idx="1">
                  <c:v>32768000</c:v>
                </c:pt>
                <c:pt idx="2">
                  <c:v>27308000</c:v>
                </c:pt>
                <c:pt idx="3">
                  <c:v>29751000</c:v>
                </c:pt>
              </c:numCache>
            </c:numRef>
          </c:val>
          <c:smooth val="0"/>
          <c:extLst>
            <c:ext xmlns:c16="http://schemas.microsoft.com/office/drawing/2014/chart" uri="{C3380CC4-5D6E-409C-BE32-E72D297353CC}">
              <c16:uniqueId val="{00000004-037A-4AEE-BC44-DD27B1C4F35E}"/>
            </c:ext>
          </c:extLst>
        </c:ser>
        <c:ser>
          <c:idx val="1"/>
          <c:order val="1"/>
          <c:tx>
            <c:strRef>
              <c:f>Sheet1!$A$3</c:f>
              <c:strCache>
                <c:ptCount val="1"/>
                <c:pt idx="0">
                  <c:v>UNDP</c:v>
                </c:pt>
              </c:strCache>
            </c:strRef>
          </c:tx>
          <c:spPr>
            <a:ln>
              <a:prstDash val="sysDash"/>
            </a:ln>
          </c:spPr>
          <c:dLbls>
            <c:dLbl>
              <c:idx val="0"/>
              <c:layout>
                <c:manualLayout>
                  <c:x val="-0.12045491939016442"/>
                  <c:y val="-3.4674336442091565E-2"/>
                </c:manualLayout>
              </c:layout>
              <c:tx>
                <c:rich>
                  <a:bodyPr/>
                  <a:lstStyle/>
                  <a:p>
                    <a:r>
                      <a:rPr lang="en-US"/>
                      <a:t>PNUD 25,84</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037A-4AEE-BC44-DD27B1C4F35E}"/>
                </c:ext>
              </c:extLst>
            </c:dLbl>
            <c:dLbl>
              <c:idx val="1"/>
              <c:layout>
                <c:manualLayout>
                  <c:x val="-2.505592841163351E-2"/>
                  <c:y val="-3.9370086876658376E-2"/>
                </c:manualLayout>
              </c:layout>
              <c:tx>
                <c:rich>
                  <a:bodyPr/>
                  <a:lstStyle/>
                  <a:p>
                    <a:r>
                      <a:rPr lang="en-US"/>
                      <a:t>23,48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37A-4AEE-BC44-DD27B1C4F35E}"/>
                </c:ext>
              </c:extLst>
            </c:dLbl>
            <c:dLbl>
              <c:idx val="2"/>
              <c:tx>
                <c:rich>
                  <a:bodyPr/>
                  <a:lstStyle/>
                  <a:p>
                    <a:r>
                      <a:rPr lang="en-US"/>
                      <a:t>24,12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37A-4AEE-BC44-DD27B1C4F35E}"/>
                </c:ext>
              </c:extLst>
            </c:dLbl>
            <c:dLbl>
              <c:idx val="3"/>
              <c:tx>
                <c:rich>
                  <a:bodyPr/>
                  <a:lstStyle/>
                  <a:p>
                    <a:r>
                      <a:rPr lang="en-US"/>
                      <a:t>19,82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37A-4AEE-BC44-DD27B1C4F35E}"/>
                </c:ext>
              </c:extLst>
            </c:dLbl>
            <c:numFmt formatCode="#,##0.00" sourceLinked="0"/>
            <c:spPr>
              <a:noFill/>
              <a:ln>
                <a:noFill/>
              </a:ln>
              <a:effectLst/>
            </c:spPr>
            <c:txPr>
              <a:bodyPr/>
              <a:lstStyle/>
              <a:p>
                <a:pPr>
                  <a:defRPr lang="en-US" sz="800">
                    <a:solidFill>
                      <a:schemeClr val="accent2"/>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Sheet1!$B$3:$E$3</c:f>
              <c:numCache>
                <c:formatCode>#,##0</c:formatCode>
                <c:ptCount val="4"/>
                <c:pt idx="0">
                  <c:v>25843247</c:v>
                </c:pt>
                <c:pt idx="1">
                  <c:v>23484336</c:v>
                </c:pt>
                <c:pt idx="2">
                  <c:v>24123686</c:v>
                </c:pt>
                <c:pt idx="3">
                  <c:v>19817655</c:v>
                </c:pt>
              </c:numCache>
            </c:numRef>
          </c:val>
          <c:smooth val="0"/>
          <c:extLst>
            <c:ext xmlns:c16="http://schemas.microsoft.com/office/drawing/2014/chart" uri="{C3380CC4-5D6E-409C-BE32-E72D297353CC}">
              <c16:uniqueId val="{00000009-037A-4AEE-BC44-DD27B1C4F35E}"/>
            </c:ext>
          </c:extLst>
        </c:ser>
        <c:ser>
          <c:idx val="2"/>
          <c:order val="2"/>
          <c:tx>
            <c:strRef>
              <c:f>Sheet1!$A$4</c:f>
              <c:strCache>
                <c:ptCount val="1"/>
                <c:pt idx="0">
                  <c:v>UNESCO</c:v>
                </c:pt>
              </c:strCache>
            </c:strRef>
          </c:tx>
          <c:spPr>
            <a:ln>
              <a:prstDash val="lgDashDot"/>
            </a:ln>
          </c:spPr>
          <c:dLbls>
            <c:dLbl>
              <c:idx val="0"/>
              <c:layout>
                <c:manualLayout>
                  <c:x val="-0.1232096496757444"/>
                  <c:y val="-4.0835538639171179E-2"/>
                </c:manualLayout>
              </c:layout>
              <c:tx>
                <c:rich>
                  <a:bodyPr/>
                  <a:lstStyle/>
                  <a:p>
                    <a:r>
                      <a:rPr lang="en-US"/>
                      <a:t>UNESCO 16,38</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037A-4AEE-BC44-DD27B1C4F35E}"/>
                </c:ext>
              </c:extLst>
            </c:dLbl>
            <c:dLbl>
              <c:idx val="1"/>
              <c:layout>
                <c:manualLayout>
                  <c:x val="-3.0425055928411642E-2"/>
                  <c:y val="4.1994759335102272E-2"/>
                </c:manualLayout>
              </c:layout>
              <c:tx>
                <c:rich>
                  <a:bodyPr/>
                  <a:lstStyle/>
                  <a:p>
                    <a:r>
                      <a:rPr lang="en-US"/>
                      <a:t>19,03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37A-4AEE-BC44-DD27B1C4F35E}"/>
                </c:ext>
              </c:extLst>
            </c:dLbl>
            <c:dLbl>
              <c:idx val="2"/>
              <c:layout>
                <c:manualLayout>
                  <c:x val="-3.7583892617450237E-2"/>
                  <c:y val="3.1496069501326752E-2"/>
                </c:manualLayout>
              </c:layout>
              <c:tx>
                <c:rich>
                  <a:bodyPr/>
                  <a:lstStyle/>
                  <a:p>
                    <a:r>
                      <a:rPr lang="en-US"/>
                      <a:t>17,13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37A-4AEE-BC44-DD27B1C4F35E}"/>
                </c:ext>
              </c:extLst>
            </c:dLbl>
            <c:dLbl>
              <c:idx val="3"/>
              <c:tx>
                <c:rich>
                  <a:bodyPr/>
                  <a:lstStyle/>
                  <a:p>
                    <a:r>
                      <a:rPr lang="en-US"/>
                      <a:t>16,86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37A-4AEE-BC44-DD27B1C4F35E}"/>
                </c:ext>
              </c:extLst>
            </c:dLbl>
            <c:numFmt formatCode="#,##0.00" sourceLinked="0"/>
            <c:spPr>
              <a:noFill/>
              <a:ln>
                <a:noFill/>
              </a:ln>
              <a:effectLst/>
            </c:spPr>
            <c:txPr>
              <a:bodyPr/>
              <a:lstStyle/>
              <a:p>
                <a:pPr>
                  <a:defRPr lang="en-US" sz="800">
                    <a:solidFill>
                      <a:schemeClr val="accent3"/>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Sheet1!$B$4:$E$4</c:f>
              <c:numCache>
                <c:formatCode>#,##0</c:formatCode>
                <c:ptCount val="4"/>
                <c:pt idx="0">
                  <c:v>16377989</c:v>
                </c:pt>
                <c:pt idx="1">
                  <c:v>19026673</c:v>
                </c:pt>
                <c:pt idx="2">
                  <c:v>17130366</c:v>
                </c:pt>
                <c:pt idx="3">
                  <c:v>16857165</c:v>
                </c:pt>
              </c:numCache>
            </c:numRef>
          </c:val>
          <c:smooth val="0"/>
          <c:extLst>
            <c:ext xmlns:c16="http://schemas.microsoft.com/office/drawing/2014/chart" uri="{C3380CC4-5D6E-409C-BE32-E72D297353CC}">
              <c16:uniqueId val="{0000000E-037A-4AEE-BC44-DD27B1C4F35E}"/>
            </c:ext>
          </c:extLst>
        </c:ser>
        <c:ser>
          <c:idx val="3"/>
          <c:order val="3"/>
          <c:tx>
            <c:strRef>
              <c:f>Sheet1!$A$5</c:f>
              <c:strCache>
                <c:ptCount val="1"/>
                <c:pt idx="0">
                  <c:v>UNIDO</c:v>
                </c:pt>
              </c:strCache>
            </c:strRef>
          </c:tx>
          <c:spPr>
            <a:ln>
              <a:prstDash val="lgDash"/>
            </a:ln>
          </c:spPr>
          <c:dLbls>
            <c:dLbl>
              <c:idx val="0"/>
              <c:layout>
                <c:manualLayout>
                  <c:x val="-0.12012414662549814"/>
                  <c:y val="2.9985824428583888E-2"/>
                </c:manualLayout>
              </c:layout>
              <c:tx>
                <c:rich>
                  <a:bodyPr/>
                  <a:lstStyle/>
                  <a:p>
                    <a:r>
                      <a:rPr lang="en-US"/>
                      <a:t>ONUDI 19,42</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037A-4AEE-BC44-DD27B1C4F35E}"/>
                </c:ext>
              </c:extLst>
            </c:dLbl>
            <c:dLbl>
              <c:idx val="1"/>
              <c:layout>
                <c:manualLayout>
                  <c:x val="-2.8950542822677876E-2"/>
                  <c:y val="-3.1215167130183456E-2"/>
                </c:manualLayout>
              </c:layout>
              <c:tx>
                <c:rich>
                  <a:bodyPr/>
                  <a:lstStyle/>
                  <a:p>
                    <a:r>
                      <a:rPr lang="en-US"/>
                      <a:t>19,74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37A-4AEE-BC44-DD27B1C4F35E}"/>
                </c:ext>
              </c:extLst>
            </c:dLbl>
            <c:dLbl>
              <c:idx val="2"/>
              <c:layout>
                <c:manualLayout>
                  <c:x val="-2.734217933252921E-2"/>
                  <c:y val="-3.3444821925196308E-2"/>
                </c:manualLayout>
              </c:layout>
              <c:tx>
                <c:rich>
                  <a:bodyPr/>
                  <a:lstStyle/>
                  <a:p>
                    <a:r>
                      <a:rPr lang="en-US"/>
                      <a:t>18,16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37A-4AEE-BC44-DD27B1C4F35E}"/>
                </c:ext>
              </c:extLst>
            </c:dLbl>
            <c:dLbl>
              <c:idx val="3"/>
              <c:tx>
                <c:rich>
                  <a:bodyPr/>
                  <a:lstStyle/>
                  <a:p>
                    <a:r>
                      <a:rPr lang="en-US"/>
                      <a:t>17,54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37A-4AEE-BC44-DD27B1C4F35E}"/>
                </c:ext>
              </c:extLst>
            </c:dLbl>
            <c:numFmt formatCode="#,##0.00" sourceLinked="0"/>
            <c:spPr>
              <a:noFill/>
              <a:ln>
                <a:noFill/>
              </a:ln>
              <a:effectLst/>
            </c:spPr>
            <c:txPr>
              <a:bodyPr/>
              <a:lstStyle/>
              <a:p>
                <a:pPr>
                  <a:defRPr lang="en-US" sz="800">
                    <a:solidFill>
                      <a:schemeClr val="accent4"/>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Sheet1!$B$5:$E$5</c:f>
              <c:numCache>
                <c:formatCode>#,##0</c:formatCode>
                <c:ptCount val="4"/>
                <c:pt idx="0">
                  <c:v>19424605</c:v>
                </c:pt>
                <c:pt idx="1">
                  <c:v>19735398</c:v>
                </c:pt>
                <c:pt idx="2">
                  <c:v>18161006</c:v>
                </c:pt>
                <c:pt idx="3">
                  <c:v>17537537</c:v>
                </c:pt>
              </c:numCache>
            </c:numRef>
          </c:val>
          <c:smooth val="0"/>
          <c:extLst>
            <c:ext xmlns:c16="http://schemas.microsoft.com/office/drawing/2014/chart" uri="{C3380CC4-5D6E-409C-BE32-E72D297353CC}">
              <c16:uniqueId val="{00000013-037A-4AEE-BC44-DD27B1C4F35E}"/>
            </c:ext>
          </c:extLst>
        </c:ser>
        <c:ser>
          <c:idx val="4"/>
          <c:order val="4"/>
          <c:tx>
            <c:strRef>
              <c:f>Sheet1!$A$6</c:f>
              <c:strCache>
                <c:ptCount val="1"/>
                <c:pt idx="0">
                  <c:v>UNOPS</c:v>
                </c:pt>
              </c:strCache>
            </c:strRef>
          </c:tx>
          <c:spPr>
            <a:ln>
              <a:prstDash val="sysDot"/>
            </a:ln>
          </c:spPr>
          <c:dLbls>
            <c:dLbl>
              <c:idx val="0"/>
              <c:layout>
                <c:manualLayout>
                  <c:x val="-0.12170023184008376"/>
                  <c:y val="5.2472784595098035E-2"/>
                </c:manualLayout>
              </c:layout>
              <c:tx>
                <c:rich>
                  <a:bodyPr/>
                  <a:lstStyle/>
                  <a:p>
                    <a:r>
                      <a:rPr lang="en-US"/>
                      <a:t>UNOPS 19,28</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4-037A-4AEE-BC44-DD27B1C4F35E}"/>
                </c:ext>
              </c:extLst>
            </c:dLbl>
            <c:dLbl>
              <c:idx val="1"/>
              <c:tx>
                <c:rich>
                  <a:bodyPr/>
                  <a:lstStyle/>
                  <a:p>
                    <a:r>
                      <a:rPr lang="en-US"/>
                      <a:t>22,83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37A-4AEE-BC44-DD27B1C4F35E}"/>
                </c:ext>
              </c:extLst>
            </c:dLbl>
            <c:dLbl>
              <c:idx val="2"/>
              <c:tx>
                <c:rich>
                  <a:bodyPr/>
                  <a:lstStyle/>
                  <a:p>
                    <a:r>
                      <a:rPr lang="en-US"/>
                      <a:t>24,80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37A-4AEE-BC44-DD27B1C4F35E}"/>
                </c:ext>
              </c:extLst>
            </c:dLbl>
            <c:dLbl>
              <c:idx val="3"/>
              <c:tx>
                <c:rich>
                  <a:bodyPr/>
                  <a:lstStyle/>
                  <a:p>
                    <a:r>
                      <a:rPr lang="en-US"/>
                      <a:t>35,68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37A-4AEE-BC44-DD27B1C4F35E}"/>
                </c:ext>
              </c:extLst>
            </c:dLbl>
            <c:numFmt formatCode="#,##0.00" sourceLinked="0"/>
            <c:spPr>
              <a:noFill/>
              <a:ln>
                <a:noFill/>
              </a:ln>
              <a:effectLst/>
            </c:spPr>
            <c:txPr>
              <a:bodyPr/>
              <a:lstStyle/>
              <a:p>
                <a:pPr>
                  <a:defRPr lang="en-US" sz="800">
                    <a:solidFill>
                      <a:srgbClr val="00B0F0"/>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Sheet1!$B$6:$E$6</c:f>
              <c:numCache>
                <c:formatCode>#,##0</c:formatCode>
                <c:ptCount val="4"/>
                <c:pt idx="0">
                  <c:v>19281000</c:v>
                </c:pt>
                <c:pt idx="1">
                  <c:v>22830000</c:v>
                </c:pt>
                <c:pt idx="2">
                  <c:v>24798000</c:v>
                </c:pt>
                <c:pt idx="3">
                  <c:v>35682000</c:v>
                </c:pt>
              </c:numCache>
            </c:numRef>
          </c:val>
          <c:smooth val="0"/>
          <c:extLst>
            <c:ext xmlns:c16="http://schemas.microsoft.com/office/drawing/2014/chart" uri="{C3380CC4-5D6E-409C-BE32-E72D297353CC}">
              <c16:uniqueId val="{00000018-037A-4AEE-BC44-DD27B1C4F35E}"/>
            </c:ext>
          </c:extLst>
        </c:ser>
        <c:ser>
          <c:idx val="5"/>
          <c:order val="5"/>
          <c:tx>
            <c:strRef>
              <c:f>Sheet1!$A$7</c:f>
              <c:strCache>
                <c:ptCount val="1"/>
                <c:pt idx="0">
                  <c:v>WIPO</c:v>
                </c:pt>
              </c:strCache>
            </c:strRef>
          </c:tx>
          <c:dLbls>
            <c:dLbl>
              <c:idx val="0"/>
              <c:layout>
                <c:manualLayout>
                  <c:x val="-0.1274879005117576"/>
                  <c:y val="-2.9392965207214673E-2"/>
                </c:manualLayout>
              </c:layout>
              <c:tx>
                <c:rich>
                  <a:bodyPr/>
                  <a:lstStyle/>
                  <a:p>
                    <a:r>
                      <a:rPr lang="en-US"/>
                      <a:t>OMPI 19,54</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9-037A-4AEE-BC44-DD27B1C4F35E}"/>
                </c:ext>
              </c:extLst>
            </c:dLbl>
            <c:dLbl>
              <c:idx val="1"/>
              <c:tx>
                <c:rich>
                  <a:bodyPr/>
                  <a:lstStyle/>
                  <a:p>
                    <a:r>
                      <a:rPr lang="en-US"/>
                      <a:t>21,99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37A-4AEE-BC44-DD27B1C4F35E}"/>
                </c:ext>
              </c:extLst>
            </c:dLbl>
            <c:dLbl>
              <c:idx val="2"/>
              <c:layout>
                <c:manualLayout>
                  <c:x val="-1.4475271411338963E-2"/>
                  <c:y val="2.0066893155117786E-2"/>
                </c:manualLayout>
              </c:layout>
              <c:tx>
                <c:rich>
                  <a:bodyPr/>
                  <a:lstStyle/>
                  <a:p>
                    <a:r>
                      <a:rPr lang="en-US"/>
                      <a:t>18,03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37A-4AEE-BC44-DD27B1C4F35E}"/>
                </c:ext>
              </c:extLst>
            </c:dLbl>
            <c:dLbl>
              <c:idx val="3"/>
              <c:tx>
                <c:rich>
                  <a:bodyPr/>
                  <a:lstStyle/>
                  <a:p>
                    <a:r>
                      <a:rPr lang="en-US"/>
                      <a:t>19,24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37A-4AEE-BC44-DD27B1C4F35E}"/>
                </c:ext>
              </c:extLst>
            </c:dLbl>
            <c:numFmt formatCode="#,##0.00" sourceLinked="0"/>
            <c:spPr>
              <a:noFill/>
              <a:ln>
                <a:noFill/>
              </a:ln>
              <a:effectLst/>
            </c:spPr>
            <c:txPr>
              <a:bodyPr/>
              <a:lstStyle/>
              <a:p>
                <a:pPr>
                  <a:defRPr lang="en-US" sz="800">
                    <a:solidFill>
                      <a:schemeClr val="accent6"/>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2012</c:v>
                </c:pt>
                <c:pt idx="1">
                  <c:v>2013</c:v>
                </c:pt>
                <c:pt idx="2">
                  <c:v>2014</c:v>
                </c:pt>
                <c:pt idx="3">
                  <c:v>2015</c:v>
                </c:pt>
              </c:numCache>
            </c:numRef>
          </c:cat>
          <c:val>
            <c:numRef>
              <c:f>Sheet1!$B$7:$E$7</c:f>
              <c:numCache>
                <c:formatCode>#,##0</c:formatCode>
                <c:ptCount val="4"/>
                <c:pt idx="0">
                  <c:v>19541578</c:v>
                </c:pt>
                <c:pt idx="1">
                  <c:v>21994606</c:v>
                </c:pt>
                <c:pt idx="2">
                  <c:v>18030568</c:v>
                </c:pt>
                <c:pt idx="3">
                  <c:v>19242204</c:v>
                </c:pt>
              </c:numCache>
            </c:numRef>
          </c:val>
          <c:smooth val="0"/>
          <c:extLst>
            <c:ext xmlns:c16="http://schemas.microsoft.com/office/drawing/2014/chart" uri="{C3380CC4-5D6E-409C-BE32-E72D297353CC}">
              <c16:uniqueId val="{0000001D-037A-4AEE-BC44-DD27B1C4F35E}"/>
            </c:ext>
          </c:extLst>
        </c:ser>
        <c:dLbls>
          <c:showLegendKey val="0"/>
          <c:showVal val="0"/>
          <c:showCatName val="0"/>
          <c:showSerName val="0"/>
          <c:showPercent val="0"/>
          <c:showBubbleSize val="0"/>
        </c:dLbls>
        <c:marker val="1"/>
        <c:smooth val="0"/>
        <c:axId val="184525952"/>
        <c:axId val="184527488"/>
      </c:lineChart>
      <c:catAx>
        <c:axId val="184525952"/>
        <c:scaling>
          <c:orientation val="minMax"/>
        </c:scaling>
        <c:delete val="0"/>
        <c:axPos val="b"/>
        <c:numFmt formatCode="General" sourceLinked="1"/>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84527488"/>
        <c:crosses val="autoZero"/>
        <c:auto val="1"/>
        <c:lblAlgn val="ctr"/>
        <c:lblOffset val="100"/>
        <c:noMultiLvlLbl val="0"/>
      </c:catAx>
      <c:valAx>
        <c:axId val="184527488"/>
        <c:scaling>
          <c:orientation val="minMax"/>
          <c:max val="36000000"/>
          <c:min val="16000000"/>
        </c:scaling>
        <c:delete val="0"/>
        <c:axPos val="l"/>
        <c:majorGridlines>
          <c:spPr>
            <a:ln>
              <a:noFill/>
            </a:ln>
          </c:spPr>
        </c:majorGridlines>
        <c:numFmt formatCode="#,##0" sourceLinked="1"/>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84525952"/>
        <c:crosses val="autoZero"/>
        <c:crossBetween val="between"/>
        <c:dispUnits>
          <c:builtInUnit val="millions"/>
          <c:dispUnitsLbl>
            <c:layout>
              <c:manualLayout>
                <c:xMode val="edge"/>
                <c:yMode val="edge"/>
                <c:x val="7.2440944881889766E-3"/>
                <c:y val="0.23034717783768516"/>
              </c:manualLayout>
            </c:layout>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En millions </a:t>
                  </a:r>
                  <a:r>
                    <a:rPr lang="en-US" sz="800" baseline="0">
                      <a:latin typeface="Times New Roman" panose="02020603050405020304" pitchFamily="18" charset="0"/>
                      <a:cs typeface="Times New Roman" panose="02020603050405020304" pitchFamily="18" charset="0"/>
                    </a:rPr>
                    <a:t>de dollars des États-Unis</a:t>
                  </a:r>
                  <a:endParaRPr lang="en-US" sz="800">
                    <a:latin typeface="Times New Roman" panose="02020603050405020304" pitchFamily="18" charset="0"/>
                    <a:cs typeface="Times New Roman" panose="02020603050405020304" pitchFamily="18" charset="0"/>
                  </a:endParaRPr>
                </a:p>
              </c:rich>
            </c:tx>
          </c:dispUnitsLbl>
        </c:dispUnits>
      </c:valAx>
    </c:plotArea>
    <c:plotVisOnly val="1"/>
    <c:dispBlanksAs val="gap"/>
    <c:showDLblsOverMax val="0"/>
  </c:chart>
  <c:spPr>
    <a:ln w="6350">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531577218006244E-2"/>
          <c:y val="4.2397659088278937E-2"/>
          <c:w val="0.87329144942855963"/>
          <c:h val="0.8769249061988057"/>
        </c:manualLayout>
      </c:layout>
      <c:lineChart>
        <c:grouping val="standard"/>
        <c:varyColors val="0"/>
        <c:ser>
          <c:idx val="0"/>
          <c:order val="0"/>
          <c:tx>
            <c:strRef>
              <c:f>Sheet2!$B$1</c:f>
              <c:strCache>
                <c:ptCount val="1"/>
                <c:pt idx="0">
                  <c:v>ICAO</c:v>
                </c:pt>
              </c:strCache>
            </c:strRef>
          </c:tx>
          <c:dLbls>
            <c:dLbl>
              <c:idx val="0"/>
              <c:layout>
                <c:manualLayout>
                  <c:x val="-0.11443715318299548"/>
                  <c:y val="4.3947659111370808E-2"/>
                </c:manualLayout>
              </c:layout>
              <c:tx>
                <c:rich>
                  <a:bodyPr/>
                  <a:lstStyle/>
                  <a:p>
                    <a:r>
                      <a:rPr lang="en-US"/>
                      <a:t>OACI 13,20</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63B6-402E-A8A5-11DD81DDFD63}"/>
                </c:ext>
              </c:extLst>
            </c:dLbl>
            <c:dLbl>
              <c:idx val="1"/>
              <c:layout>
                <c:manualLayout>
                  <c:x val="-4.3981481481481483E-2"/>
                  <c:y val="-4.1568620819169164E-2"/>
                </c:manualLayout>
              </c:layout>
              <c:tx>
                <c:rich>
                  <a:bodyPr/>
                  <a:lstStyle/>
                  <a:p>
                    <a:r>
                      <a:rPr lang="en-US"/>
                      <a:t>12,50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B6-402E-A8A5-11DD81DDFD63}"/>
                </c:ext>
              </c:extLst>
            </c:dLbl>
            <c:dLbl>
              <c:idx val="2"/>
              <c:layout>
                <c:manualLayout>
                  <c:x val="-4.1666666666666664E-2"/>
                  <c:y val="-3.8104569084238371E-2"/>
                </c:manualLayout>
              </c:layout>
              <c:tx>
                <c:rich>
                  <a:bodyPr/>
                  <a:lstStyle/>
                  <a:p>
                    <a:r>
                      <a:rPr lang="en-US"/>
                      <a:t>13,30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B6-402E-A8A5-11DD81DDFD63}"/>
                </c:ext>
              </c:extLst>
            </c:dLbl>
            <c:dLbl>
              <c:idx val="3"/>
              <c:tx>
                <c:rich>
                  <a:bodyPr/>
                  <a:lstStyle/>
                  <a:p>
                    <a:r>
                      <a:rPr lang="en-US"/>
                      <a:t>13,00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B6-402E-A8A5-11DD81DDFD63}"/>
                </c:ext>
              </c:extLst>
            </c:dLbl>
            <c:numFmt formatCode="#,##0.00" sourceLinked="0"/>
            <c:spPr>
              <a:noFill/>
              <a:ln>
                <a:noFill/>
              </a:ln>
              <a:effectLst/>
            </c:spPr>
            <c:txPr>
              <a:bodyPr/>
              <a:lstStyle/>
              <a:p>
                <a:pPr>
                  <a:defRPr lang="en-US" sz="800">
                    <a:solidFill>
                      <a:schemeClr val="accent1"/>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Sheet2!$A$2:$A$5</c:f>
              <c:numCache>
                <c:formatCode>General</c:formatCode>
                <c:ptCount val="4"/>
                <c:pt idx="0">
                  <c:v>2012</c:v>
                </c:pt>
                <c:pt idx="1">
                  <c:v>2013</c:v>
                </c:pt>
                <c:pt idx="2">
                  <c:v>2014</c:v>
                </c:pt>
                <c:pt idx="3">
                  <c:v>2015</c:v>
                </c:pt>
              </c:numCache>
            </c:numRef>
          </c:cat>
          <c:val>
            <c:numRef>
              <c:f>Sheet2!$B$2:$B$5</c:f>
              <c:numCache>
                <c:formatCode>#,##0</c:formatCode>
                <c:ptCount val="4"/>
                <c:pt idx="0">
                  <c:v>13200000</c:v>
                </c:pt>
                <c:pt idx="1">
                  <c:v>12500000</c:v>
                </c:pt>
                <c:pt idx="2">
                  <c:v>13300000</c:v>
                </c:pt>
                <c:pt idx="3">
                  <c:v>13000000</c:v>
                </c:pt>
              </c:numCache>
            </c:numRef>
          </c:val>
          <c:smooth val="0"/>
          <c:extLst>
            <c:ext xmlns:c16="http://schemas.microsoft.com/office/drawing/2014/chart" uri="{C3380CC4-5D6E-409C-BE32-E72D297353CC}">
              <c16:uniqueId val="{00000004-63B6-402E-A8A5-11DD81DDFD63}"/>
            </c:ext>
          </c:extLst>
        </c:ser>
        <c:ser>
          <c:idx val="1"/>
          <c:order val="1"/>
          <c:tx>
            <c:strRef>
              <c:f>Sheet2!$C$1</c:f>
              <c:strCache>
                <c:ptCount val="1"/>
                <c:pt idx="0">
                  <c:v>ITU</c:v>
                </c:pt>
              </c:strCache>
            </c:strRef>
          </c:tx>
          <c:spPr>
            <a:ln>
              <a:prstDash val="sysDash"/>
            </a:ln>
          </c:spPr>
          <c:dLbls>
            <c:dLbl>
              <c:idx val="0"/>
              <c:layout>
                <c:manualLayout>
                  <c:x val="-0.1192602485069285"/>
                  <c:y val="-4.793863854266539E-2"/>
                </c:manualLayout>
              </c:layout>
              <c:tx>
                <c:rich>
                  <a:bodyPr/>
                  <a:lstStyle/>
                  <a:p>
                    <a:r>
                      <a:rPr lang="en-US"/>
                      <a:t>UIT 9,88</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63B6-402E-A8A5-11DD81DDFD63}"/>
                </c:ext>
              </c:extLst>
            </c:dLbl>
            <c:dLbl>
              <c:idx val="1"/>
              <c:layout>
                <c:manualLayout>
                  <c:x val="-4.9750669057120188E-17"/>
                  <c:y val="-9.5877277085331652E-3"/>
                </c:manualLayout>
              </c:layout>
              <c:tx>
                <c:rich>
                  <a:bodyPr/>
                  <a:lstStyle/>
                  <a:p>
                    <a:r>
                      <a:rPr lang="en-US"/>
                      <a:t>8,66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B6-402E-A8A5-11DD81DDFD63}"/>
                </c:ext>
              </c:extLst>
            </c:dLbl>
            <c:dLbl>
              <c:idx val="2"/>
              <c:layout>
                <c:manualLayout>
                  <c:x val="-2.7777777777778408E-2"/>
                  <c:y val="4.5032672554099921E-2"/>
                </c:manualLayout>
              </c:layout>
              <c:tx>
                <c:rich>
                  <a:bodyPr/>
                  <a:lstStyle/>
                  <a:p>
                    <a:r>
                      <a:rPr lang="en-US"/>
                      <a:t>7,15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B6-402E-A8A5-11DD81DDFD63}"/>
                </c:ext>
              </c:extLst>
            </c:dLbl>
            <c:dLbl>
              <c:idx val="3"/>
              <c:tx>
                <c:rich>
                  <a:bodyPr/>
                  <a:lstStyle/>
                  <a:p>
                    <a:r>
                      <a:rPr lang="en-US"/>
                      <a:t>7,15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B6-402E-A8A5-11DD81DDFD63}"/>
                </c:ext>
              </c:extLst>
            </c:dLbl>
            <c:numFmt formatCode="#,##0.00" sourceLinked="0"/>
            <c:spPr>
              <a:noFill/>
              <a:ln>
                <a:noFill/>
              </a:ln>
              <a:effectLst/>
            </c:spPr>
            <c:txPr>
              <a:bodyPr/>
              <a:lstStyle/>
              <a:p>
                <a:pPr>
                  <a:defRPr lang="en-US" sz="800">
                    <a:solidFill>
                      <a:srgbClr val="C00000"/>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Sheet2!$A$2:$A$5</c:f>
              <c:numCache>
                <c:formatCode>General</c:formatCode>
                <c:ptCount val="4"/>
                <c:pt idx="0">
                  <c:v>2012</c:v>
                </c:pt>
                <c:pt idx="1">
                  <c:v>2013</c:v>
                </c:pt>
                <c:pt idx="2">
                  <c:v>2014</c:v>
                </c:pt>
                <c:pt idx="3">
                  <c:v>2015</c:v>
                </c:pt>
              </c:numCache>
            </c:numRef>
          </c:cat>
          <c:val>
            <c:numRef>
              <c:f>Sheet2!$C$2:$C$5</c:f>
              <c:numCache>
                <c:formatCode>#,##0</c:formatCode>
                <c:ptCount val="4"/>
                <c:pt idx="0">
                  <c:v>9882729</c:v>
                </c:pt>
                <c:pt idx="1">
                  <c:v>8661273</c:v>
                </c:pt>
                <c:pt idx="2">
                  <c:v>7148472</c:v>
                </c:pt>
                <c:pt idx="3">
                  <c:v>7151767</c:v>
                </c:pt>
              </c:numCache>
            </c:numRef>
          </c:val>
          <c:smooth val="0"/>
          <c:extLst>
            <c:ext xmlns:c16="http://schemas.microsoft.com/office/drawing/2014/chart" uri="{C3380CC4-5D6E-409C-BE32-E72D297353CC}">
              <c16:uniqueId val="{00000009-63B6-402E-A8A5-11DD81DDFD63}"/>
            </c:ext>
          </c:extLst>
        </c:ser>
        <c:ser>
          <c:idx val="2"/>
          <c:order val="2"/>
          <c:tx>
            <c:strRef>
              <c:f>Sheet2!$D$1</c:f>
              <c:strCache>
                <c:ptCount val="1"/>
                <c:pt idx="0">
                  <c:v>UN Women</c:v>
                </c:pt>
              </c:strCache>
            </c:strRef>
          </c:tx>
          <c:spPr>
            <a:ln>
              <a:prstDash val="dashDot"/>
            </a:ln>
          </c:spPr>
          <c:dLbls>
            <c:dLbl>
              <c:idx val="1"/>
              <c:layout>
                <c:manualLayout>
                  <c:x val="-0.21918823919058966"/>
                  <c:y val="6.9280769434022088E-3"/>
                </c:manualLayout>
              </c:layout>
              <c:tx>
                <c:rich>
                  <a:bodyPr/>
                  <a:lstStyle/>
                  <a:p>
                    <a:pPr>
                      <a:defRPr lang="en-US" sz="800">
                        <a:solidFill>
                          <a:schemeClr val="accent3"/>
                        </a:solidFill>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ONU-Femmes 6,58</a:t>
                    </a:r>
                  </a:p>
                </c:rich>
              </c:tx>
              <c:numFmt formatCode="#,##0.00" sourceLinked="0"/>
              <c:spP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63B6-402E-A8A5-11DD81DDFD63}"/>
                </c:ext>
              </c:extLst>
            </c:dLbl>
            <c:dLbl>
              <c:idx val="2"/>
              <c:tx>
                <c:rich>
                  <a:bodyPr/>
                  <a:lstStyle/>
                  <a:p>
                    <a:pPr>
                      <a:defRPr lang="en-US" sz="800">
                        <a:solidFill>
                          <a:schemeClr val="accent3"/>
                        </a:solidFill>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7,48</a:t>
                    </a:r>
                  </a:p>
                </c:rich>
              </c:tx>
              <c:numFmt formatCode="#,##0.00"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3B6-402E-A8A5-11DD81DDFD63}"/>
                </c:ext>
              </c:extLst>
            </c:dLbl>
            <c:dLbl>
              <c:idx val="3"/>
              <c:tx>
                <c:rich>
                  <a:bodyPr/>
                  <a:lstStyle/>
                  <a:p>
                    <a:pPr>
                      <a:defRPr lang="en-US" sz="800">
                        <a:solidFill>
                          <a:schemeClr val="accent3"/>
                        </a:solidFill>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9,10</a:t>
                    </a:r>
                  </a:p>
                </c:rich>
              </c:tx>
              <c:numFmt formatCode="#,##0.00"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3B6-402E-A8A5-11DD81DDFD63}"/>
                </c:ext>
              </c:extLst>
            </c:dLbl>
            <c:numFmt formatCode="#,##0.00" sourceLinked="0"/>
            <c:spPr>
              <a:noFill/>
              <a:ln>
                <a:noFill/>
              </a:ln>
              <a:effectLst/>
            </c:spPr>
            <c:txPr>
              <a:bodyPr/>
              <a:lstStyle/>
              <a:p>
                <a:pPr>
                  <a:defRPr lang="en-US" sz="800">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Sheet2!$A$2:$A$5</c:f>
              <c:numCache>
                <c:formatCode>General</c:formatCode>
                <c:ptCount val="4"/>
                <c:pt idx="0">
                  <c:v>2012</c:v>
                </c:pt>
                <c:pt idx="1">
                  <c:v>2013</c:v>
                </c:pt>
                <c:pt idx="2">
                  <c:v>2014</c:v>
                </c:pt>
                <c:pt idx="3">
                  <c:v>2015</c:v>
                </c:pt>
              </c:numCache>
            </c:numRef>
          </c:cat>
          <c:val>
            <c:numRef>
              <c:f>Sheet2!$D$2:$D$5</c:f>
              <c:numCache>
                <c:formatCode>#,##0</c:formatCode>
                <c:ptCount val="4"/>
                <c:pt idx="1">
                  <c:v>6583370</c:v>
                </c:pt>
                <c:pt idx="2">
                  <c:v>7475098</c:v>
                </c:pt>
                <c:pt idx="3">
                  <c:v>9100324</c:v>
                </c:pt>
              </c:numCache>
            </c:numRef>
          </c:val>
          <c:smooth val="0"/>
          <c:extLst>
            <c:ext xmlns:c16="http://schemas.microsoft.com/office/drawing/2014/chart" uri="{C3380CC4-5D6E-409C-BE32-E72D297353CC}">
              <c16:uniqueId val="{0000000D-63B6-402E-A8A5-11DD81DDFD63}"/>
            </c:ext>
          </c:extLst>
        </c:ser>
        <c:ser>
          <c:idx val="3"/>
          <c:order val="3"/>
          <c:tx>
            <c:strRef>
              <c:f>Sheet2!$E$1</c:f>
              <c:strCache>
                <c:ptCount val="1"/>
                <c:pt idx="0">
                  <c:v>UNAIDS</c:v>
                </c:pt>
              </c:strCache>
            </c:strRef>
          </c:tx>
          <c:spPr>
            <a:ln>
              <a:prstDash val="sysDot"/>
            </a:ln>
          </c:spPr>
          <c:dLbls>
            <c:dLbl>
              <c:idx val="0"/>
              <c:layout>
                <c:manualLayout>
                  <c:x val="-0.11763651939340919"/>
                  <c:y val="4.3004702109280195E-2"/>
                </c:manualLayout>
              </c:layout>
              <c:tx>
                <c:rich>
                  <a:bodyPr/>
                  <a:lstStyle/>
                  <a:p>
                    <a:r>
                      <a:rPr lang="en-US"/>
                      <a:t>ONUSIDA 9,03</a:t>
                    </a:r>
                  </a:p>
                </c:rich>
              </c:tx>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E-63B6-402E-A8A5-11DD81DDFD63}"/>
                </c:ext>
              </c:extLst>
            </c:dLbl>
            <c:dLbl>
              <c:idx val="1"/>
              <c:layout>
                <c:manualLayout>
                  <c:x val="-3.0165912518854223E-2"/>
                  <c:y val="-3.3070278247214042E-2"/>
                </c:manualLayout>
              </c:layout>
              <c:tx>
                <c:rich>
                  <a:bodyPr/>
                  <a:lstStyle/>
                  <a:p>
                    <a:r>
                      <a:rPr lang="en-US"/>
                      <a:t>11,41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3B6-402E-A8A5-11DD81DDFD63}"/>
                </c:ext>
              </c:extLst>
            </c:dLbl>
            <c:dLbl>
              <c:idx val="2"/>
              <c:layout>
                <c:manualLayout>
                  <c:x val="-1.0055304172951278E-2"/>
                  <c:y val="-3.6076667178778998E-2"/>
                </c:manualLayout>
              </c:layout>
              <c:tx>
                <c:rich>
                  <a:bodyPr/>
                  <a:lstStyle/>
                  <a:p>
                    <a:r>
                      <a:rPr lang="en-US"/>
                      <a:t>10,56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3B6-402E-A8A5-11DD81DDFD63}"/>
                </c:ext>
              </c:extLst>
            </c:dLbl>
            <c:dLbl>
              <c:idx val="3"/>
              <c:tx>
                <c:rich>
                  <a:bodyPr/>
                  <a:lstStyle/>
                  <a:p>
                    <a:r>
                      <a:rPr lang="en-US"/>
                      <a:t>9,85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3B6-402E-A8A5-11DD81DDFD63}"/>
                </c:ext>
              </c:extLst>
            </c:dLbl>
            <c:numFmt formatCode="#,##0.00" sourceLinked="0"/>
            <c:spPr>
              <a:noFill/>
              <a:ln>
                <a:noFill/>
              </a:ln>
              <a:effectLst/>
            </c:spPr>
            <c:txPr>
              <a:bodyPr/>
              <a:lstStyle/>
              <a:p>
                <a:pPr>
                  <a:defRPr lang="en-US" sz="800">
                    <a:solidFill>
                      <a:schemeClr val="accent4"/>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Sheet2!$A$2:$A$5</c:f>
              <c:numCache>
                <c:formatCode>General</c:formatCode>
                <c:ptCount val="4"/>
                <c:pt idx="0">
                  <c:v>2012</c:v>
                </c:pt>
                <c:pt idx="1">
                  <c:v>2013</c:v>
                </c:pt>
                <c:pt idx="2">
                  <c:v>2014</c:v>
                </c:pt>
                <c:pt idx="3">
                  <c:v>2015</c:v>
                </c:pt>
              </c:numCache>
            </c:numRef>
          </c:cat>
          <c:val>
            <c:numRef>
              <c:f>Sheet2!$E$2:$E$5</c:f>
              <c:numCache>
                <c:formatCode>#,##0</c:formatCode>
                <c:ptCount val="4"/>
                <c:pt idx="0">
                  <c:v>9025044</c:v>
                </c:pt>
                <c:pt idx="1">
                  <c:v>11414633</c:v>
                </c:pt>
                <c:pt idx="2">
                  <c:v>10555486</c:v>
                </c:pt>
                <c:pt idx="3">
                  <c:v>9845649</c:v>
                </c:pt>
              </c:numCache>
            </c:numRef>
          </c:val>
          <c:smooth val="0"/>
          <c:extLst>
            <c:ext xmlns:c16="http://schemas.microsoft.com/office/drawing/2014/chart" uri="{C3380CC4-5D6E-409C-BE32-E72D297353CC}">
              <c16:uniqueId val="{00000012-63B6-402E-A8A5-11DD81DDFD63}"/>
            </c:ext>
          </c:extLst>
        </c:ser>
        <c:dLbls>
          <c:showLegendKey val="0"/>
          <c:showVal val="0"/>
          <c:showCatName val="0"/>
          <c:showSerName val="0"/>
          <c:showPercent val="0"/>
          <c:showBubbleSize val="0"/>
        </c:dLbls>
        <c:marker val="1"/>
        <c:smooth val="0"/>
        <c:axId val="185097216"/>
        <c:axId val="185115392"/>
      </c:lineChart>
      <c:catAx>
        <c:axId val="185097216"/>
        <c:scaling>
          <c:orientation val="minMax"/>
        </c:scaling>
        <c:delete val="0"/>
        <c:axPos val="b"/>
        <c:numFmt formatCode="General" sourceLinked="1"/>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85115392"/>
        <c:crosses val="autoZero"/>
        <c:auto val="1"/>
        <c:lblAlgn val="ctr"/>
        <c:lblOffset val="100"/>
        <c:noMultiLvlLbl val="0"/>
      </c:catAx>
      <c:valAx>
        <c:axId val="185115392"/>
        <c:scaling>
          <c:orientation val="minMax"/>
          <c:min val="6000000"/>
        </c:scaling>
        <c:delete val="0"/>
        <c:axPos val="l"/>
        <c:majorGridlines>
          <c:spPr>
            <a:ln>
              <a:noFill/>
            </a:ln>
          </c:spPr>
        </c:majorGridlines>
        <c:numFmt formatCode="#,##0" sourceLinked="1"/>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85097216"/>
        <c:crosses val="autoZero"/>
        <c:crossBetween val="between"/>
        <c:dispUnits>
          <c:builtInUnit val="millions"/>
          <c:dispUnitsLbl>
            <c:layout>
              <c:manualLayout>
                <c:xMode val="edge"/>
                <c:yMode val="edge"/>
                <c:x val="1.0756097821557925E-2"/>
                <c:y val="0.1318463547761228"/>
              </c:manualLayout>
            </c:layout>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En millions</a:t>
                  </a:r>
                  <a:r>
                    <a:rPr lang="en-US" sz="800" baseline="0">
                      <a:latin typeface="Times New Roman" panose="02020603050405020304" pitchFamily="18" charset="0"/>
                      <a:cs typeface="Times New Roman" panose="02020603050405020304" pitchFamily="18" charset="0"/>
                    </a:rPr>
                    <a:t> de dollars des États-Unis</a:t>
                  </a:r>
                  <a:endParaRPr lang="en-US" sz="800">
                    <a:latin typeface="Times New Roman" panose="02020603050405020304" pitchFamily="18" charset="0"/>
                    <a:cs typeface="Times New Roman" panose="02020603050405020304" pitchFamily="18" charset="0"/>
                  </a:endParaRPr>
                </a:p>
              </c:rich>
            </c:tx>
          </c:dispUnitsLbl>
        </c:dispUnits>
      </c:valAx>
    </c:plotArea>
    <c:plotVisOnly val="1"/>
    <c:dispBlanksAs val="gap"/>
    <c:showDLblsOverMax val="0"/>
  </c:chart>
  <c:spPr>
    <a:ln w="6350">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Sheet1!$B$9</c:f>
              <c:strCache>
                <c:ptCount val="1"/>
                <c:pt idx="0">
                  <c:v>IMO</c:v>
                </c:pt>
              </c:strCache>
            </c:strRef>
          </c:tx>
          <c:spPr>
            <a:ln>
              <a:prstDash val="lgDashDotDot"/>
            </a:ln>
          </c:spPr>
          <c:dLbls>
            <c:dLbl>
              <c:idx val="0"/>
              <c:layout>
                <c:manualLayout>
                  <c:x val="-0.12017286509471255"/>
                  <c:y val="3.0014859481923839E-2"/>
                </c:manualLayout>
              </c:layout>
              <c:tx>
                <c:rich>
                  <a:bodyPr/>
                  <a:lstStyle/>
                  <a:p>
                    <a:r>
                      <a:rPr lang="en-US"/>
                      <a:t>OMI 3,39</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EBFB-40C1-B942-028553318A5B}"/>
                </c:ext>
              </c:extLst>
            </c:dLbl>
            <c:dLbl>
              <c:idx val="1"/>
              <c:tx>
                <c:rich>
                  <a:bodyPr/>
                  <a:lstStyle/>
                  <a:p>
                    <a:r>
                      <a:rPr lang="en-US"/>
                      <a:t>3,35</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FB-40C1-B942-028553318A5B}"/>
                </c:ext>
              </c:extLst>
            </c:dLbl>
            <c:dLbl>
              <c:idx val="2"/>
              <c:layout>
                <c:manualLayout>
                  <c:x val="-4.4776119402985072E-2"/>
                  <c:y val="6.3544234456313284E-2"/>
                </c:manualLayout>
              </c:layout>
              <c:tx>
                <c:rich>
                  <a:bodyPr/>
                  <a:lstStyle/>
                  <a:p>
                    <a:r>
                      <a:rPr lang="en-US"/>
                      <a:t>3,18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FB-40C1-B942-028553318A5B}"/>
                </c:ext>
              </c:extLst>
            </c:dLbl>
            <c:dLbl>
              <c:idx val="3"/>
              <c:layout>
                <c:manualLayout>
                  <c:x val="2.1524132400116652E-3"/>
                  <c:y val="9.275733509202324E-3"/>
                </c:manualLayout>
              </c:layout>
              <c:tx>
                <c:rich>
                  <a:bodyPr/>
                  <a:lstStyle/>
                  <a:p>
                    <a:r>
                      <a:rPr lang="en-US"/>
                      <a:t>2,72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FB-40C1-B942-028553318A5B}"/>
                </c:ext>
              </c:extLst>
            </c:dLbl>
            <c:numFmt formatCode="#,##0.00" sourceLinked="0"/>
            <c:spPr>
              <a:noFill/>
              <a:ln>
                <a:noFill/>
              </a:ln>
              <a:effectLst/>
            </c:spPr>
            <c:txPr>
              <a:bodyPr/>
              <a:lstStyle/>
              <a:p>
                <a:pPr>
                  <a:defRPr lang="en-US" sz="800">
                    <a:solidFill>
                      <a:schemeClr val="accent1">
                        <a:lumMod val="75000"/>
                      </a:schemeClr>
                    </a:solidFill>
                    <a:latin typeface="Times New Roman" panose="02020603050405020304" pitchFamily="18" charset="0"/>
                    <a:cs typeface="Times New Roman" panose="02020603050405020304" pitchFamily="18" charset="0"/>
                  </a:defRPr>
                </a:pPr>
                <a:endParaRPr lang="fr-F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Sheet1!$A$10:$A$13</c:f>
              <c:numCache>
                <c:formatCode>General</c:formatCode>
                <c:ptCount val="4"/>
                <c:pt idx="0">
                  <c:v>2012</c:v>
                </c:pt>
                <c:pt idx="1">
                  <c:v>2013</c:v>
                </c:pt>
                <c:pt idx="2">
                  <c:v>2014</c:v>
                </c:pt>
                <c:pt idx="3">
                  <c:v>2015</c:v>
                </c:pt>
              </c:numCache>
            </c:numRef>
          </c:cat>
          <c:val>
            <c:numRef>
              <c:f>Sheet1!$B$10:$B$13</c:f>
              <c:numCache>
                <c:formatCode>#,##0</c:formatCode>
                <c:ptCount val="4"/>
                <c:pt idx="0">
                  <c:v>3392057</c:v>
                </c:pt>
                <c:pt idx="1">
                  <c:v>3346711</c:v>
                </c:pt>
                <c:pt idx="2">
                  <c:v>3179504</c:v>
                </c:pt>
                <c:pt idx="3">
                  <c:v>2722354</c:v>
                </c:pt>
              </c:numCache>
            </c:numRef>
          </c:val>
          <c:smooth val="0"/>
          <c:extLst>
            <c:ext xmlns:c16="http://schemas.microsoft.com/office/drawing/2014/chart" uri="{C3380CC4-5D6E-409C-BE32-E72D297353CC}">
              <c16:uniqueId val="{00000004-EBFB-40C1-B942-028553318A5B}"/>
            </c:ext>
          </c:extLst>
        </c:ser>
        <c:ser>
          <c:idx val="1"/>
          <c:order val="1"/>
          <c:tx>
            <c:strRef>
              <c:f>Sheet1!$C$9</c:f>
              <c:strCache>
                <c:ptCount val="1"/>
                <c:pt idx="0">
                  <c:v>ITC</c:v>
                </c:pt>
              </c:strCache>
            </c:strRef>
          </c:tx>
          <c:marker>
            <c:symbol val="x"/>
            <c:size val="7"/>
          </c:marker>
          <c:dLbls>
            <c:dLbl>
              <c:idx val="0"/>
              <c:layout>
                <c:manualLayout>
                  <c:x val="-0.11869058430111433"/>
                  <c:y val="-1.4051591948705672E-2"/>
                </c:manualLayout>
              </c:layout>
              <c:tx>
                <c:rich>
                  <a:bodyPr/>
                  <a:lstStyle/>
                  <a:p>
                    <a:r>
                      <a:rPr lang="en-US"/>
                      <a:t>CCI* 4,03</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EBFB-40C1-B942-028553318A5B}"/>
                </c:ext>
              </c:extLst>
            </c:dLbl>
            <c:dLbl>
              <c:idx val="1"/>
              <c:layout>
                <c:manualLayout>
                  <c:x val="-4.5573136465133224E-2"/>
                  <c:y val="3.5831839836782883E-2"/>
                </c:manualLayout>
              </c:layout>
              <c:tx>
                <c:rich>
                  <a:bodyPr/>
                  <a:lstStyle/>
                  <a:p>
                    <a:r>
                      <a:rPr lang="en-US"/>
                      <a:t>3,97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FB-40C1-B942-028553318A5B}"/>
                </c:ext>
              </c:extLst>
            </c:dLbl>
            <c:dLbl>
              <c:idx val="2"/>
              <c:tx>
                <c:rich>
                  <a:bodyPr/>
                  <a:lstStyle/>
                  <a:p>
                    <a:r>
                      <a:rPr lang="en-US"/>
                      <a:t>4,51</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BFB-40C1-B942-028553318A5B}"/>
                </c:ext>
              </c:extLst>
            </c:dLbl>
            <c:dLbl>
              <c:idx val="3"/>
              <c:layout>
                <c:manualLayout>
                  <c:x val="6.7082239720036132E-3"/>
                  <c:y val="-1.2833000495801845E-2"/>
                </c:manualLayout>
              </c:layout>
              <c:tx>
                <c:rich>
                  <a:bodyPr/>
                  <a:lstStyle/>
                  <a:p>
                    <a:r>
                      <a:rPr lang="en-US"/>
                      <a:t>4,54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FB-40C1-B942-028553318A5B}"/>
                </c:ext>
              </c:extLst>
            </c:dLbl>
            <c:numFmt formatCode="#,##0.00" sourceLinked="0"/>
            <c:spPr>
              <a:noFill/>
              <a:ln>
                <a:noFill/>
              </a:ln>
              <a:effectLst/>
            </c:spPr>
            <c:txPr>
              <a:bodyPr/>
              <a:lstStyle/>
              <a:p>
                <a:pPr>
                  <a:defRPr lang="en-US" sz="800">
                    <a:solidFill>
                      <a:schemeClr val="accent2">
                        <a:lumMod val="75000"/>
                      </a:schemeClr>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Sheet1!$A$10:$A$13</c:f>
              <c:numCache>
                <c:formatCode>General</c:formatCode>
                <c:ptCount val="4"/>
                <c:pt idx="0">
                  <c:v>2012</c:v>
                </c:pt>
                <c:pt idx="1">
                  <c:v>2013</c:v>
                </c:pt>
                <c:pt idx="2">
                  <c:v>2014</c:v>
                </c:pt>
                <c:pt idx="3">
                  <c:v>2015</c:v>
                </c:pt>
              </c:numCache>
            </c:numRef>
          </c:cat>
          <c:val>
            <c:numRef>
              <c:f>Sheet1!$C$10:$C$13</c:f>
              <c:numCache>
                <c:formatCode>#,##0</c:formatCode>
                <c:ptCount val="4"/>
                <c:pt idx="0">
                  <c:v>4032562</c:v>
                </c:pt>
                <c:pt idx="1">
                  <c:v>3967366</c:v>
                </c:pt>
                <c:pt idx="2">
                  <c:v>4506480</c:v>
                </c:pt>
                <c:pt idx="3">
                  <c:v>4537770</c:v>
                </c:pt>
              </c:numCache>
            </c:numRef>
          </c:val>
          <c:smooth val="0"/>
          <c:extLst>
            <c:ext xmlns:c16="http://schemas.microsoft.com/office/drawing/2014/chart" uri="{C3380CC4-5D6E-409C-BE32-E72D297353CC}">
              <c16:uniqueId val="{00000009-EBFB-40C1-B942-028553318A5B}"/>
            </c:ext>
          </c:extLst>
        </c:ser>
        <c:ser>
          <c:idx val="2"/>
          <c:order val="2"/>
          <c:tx>
            <c:strRef>
              <c:f>Sheet1!$D$9</c:f>
              <c:strCache>
                <c:ptCount val="1"/>
                <c:pt idx="0">
                  <c:v>UNODC</c:v>
                </c:pt>
              </c:strCache>
            </c:strRef>
          </c:tx>
          <c:spPr>
            <a:ln>
              <a:prstDash val="sysDash"/>
            </a:ln>
          </c:spPr>
          <c:dLbls>
            <c:dLbl>
              <c:idx val="0"/>
              <c:layout>
                <c:manualLayout>
                  <c:x val="-0.12866163100033121"/>
                  <c:y val="3.706330053032602E-2"/>
                </c:manualLayout>
              </c:layout>
              <c:tx>
                <c:rich>
                  <a:bodyPr/>
                  <a:lstStyle/>
                  <a:p>
                    <a:r>
                      <a:rPr lang="en-US"/>
                      <a:t>ONUDC 3,80</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EBFB-40C1-B942-028553318A5B}"/>
                </c:ext>
              </c:extLst>
            </c:dLbl>
            <c:dLbl>
              <c:idx val="1"/>
              <c:layout>
                <c:manualLayout>
                  <c:x val="-3.8355110631523838E-2"/>
                  <c:y val="-5.2954966496073799E-2"/>
                </c:manualLayout>
              </c:layout>
              <c:tx>
                <c:rich>
                  <a:bodyPr/>
                  <a:lstStyle/>
                  <a:p>
                    <a:r>
                      <a:rPr lang="en-US"/>
                      <a:t>4,07</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BFB-40C1-B942-028553318A5B}"/>
                </c:ext>
              </c:extLst>
            </c:dLbl>
            <c:dLbl>
              <c:idx val="2"/>
              <c:layout>
                <c:manualLayout>
                  <c:x val="-3.8775517643627896E-2"/>
                  <c:y val="-3.6855150214843611E-2"/>
                </c:manualLayout>
              </c:layout>
              <c:tx>
                <c:rich>
                  <a:bodyPr/>
                  <a:lstStyle/>
                  <a:p>
                    <a:r>
                      <a:rPr lang="en-US"/>
                      <a:t>3,80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BFB-40C1-B942-028553318A5B}"/>
                </c:ext>
              </c:extLst>
            </c:dLbl>
            <c:dLbl>
              <c:idx val="3"/>
              <c:layout>
                <c:manualLayout>
                  <c:x val="-2.5049212598425886E-3"/>
                  <c:y val="1.5807108960008205E-2"/>
                </c:manualLayout>
              </c:layout>
              <c:tx>
                <c:rich>
                  <a:bodyPr/>
                  <a:lstStyle/>
                  <a:p>
                    <a:r>
                      <a:rPr lang="en-US"/>
                      <a:t>4,39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BFB-40C1-B942-028553318A5B}"/>
                </c:ext>
              </c:extLst>
            </c:dLbl>
            <c:numFmt formatCode="#,##0.00" sourceLinked="0"/>
            <c:spPr>
              <a:noFill/>
              <a:ln>
                <a:noFill/>
              </a:ln>
              <a:effectLst/>
            </c:spPr>
            <c:txPr>
              <a:bodyPr/>
              <a:lstStyle/>
              <a:p>
                <a:pPr>
                  <a:defRPr lang="en-US" sz="800">
                    <a:solidFill>
                      <a:schemeClr val="accent3">
                        <a:lumMod val="75000"/>
                      </a:schemeClr>
                    </a:solidFill>
                    <a:latin typeface="Times New Roman" panose="02020603050405020304" pitchFamily="18" charset="0"/>
                    <a:cs typeface="Times New Roman" panose="02020603050405020304" pitchFamily="18" charset="0"/>
                  </a:defRPr>
                </a:pPr>
                <a:endParaRPr lang="fr-F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Sheet1!$A$10:$A$13</c:f>
              <c:numCache>
                <c:formatCode>General</c:formatCode>
                <c:ptCount val="4"/>
                <c:pt idx="0">
                  <c:v>2012</c:v>
                </c:pt>
                <c:pt idx="1">
                  <c:v>2013</c:v>
                </c:pt>
                <c:pt idx="2">
                  <c:v>2014</c:v>
                </c:pt>
                <c:pt idx="3">
                  <c:v>2015</c:v>
                </c:pt>
              </c:numCache>
            </c:numRef>
          </c:cat>
          <c:val>
            <c:numRef>
              <c:f>Sheet1!$D$10:$D$13</c:f>
              <c:numCache>
                <c:formatCode>#,##0</c:formatCode>
                <c:ptCount val="4"/>
                <c:pt idx="0">
                  <c:v>3795882</c:v>
                </c:pt>
                <c:pt idx="1">
                  <c:v>4065599</c:v>
                </c:pt>
                <c:pt idx="2">
                  <c:v>3803859</c:v>
                </c:pt>
                <c:pt idx="3">
                  <c:v>4388170</c:v>
                </c:pt>
              </c:numCache>
            </c:numRef>
          </c:val>
          <c:smooth val="0"/>
          <c:extLst>
            <c:ext xmlns:c16="http://schemas.microsoft.com/office/drawing/2014/chart" uri="{C3380CC4-5D6E-409C-BE32-E72D297353CC}">
              <c16:uniqueId val="{0000000E-EBFB-40C1-B942-028553318A5B}"/>
            </c:ext>
          </c:extLst>
        </c:ser>
        <c:ser>
          <c:idx val="3"/>
          <c:order val="3"/>
          <c:tx>
            <c:strRef>
              <c:f>Sheet1!$E$9</c:f>
              <c:strCache>
                <c:ptCount val="1"/>
                <c:pt idx="0">
                  <c:v>UNRWA</c:v>
                </c:pt>
              </c:strCache>
            </c:strRef>
          </c:tx>
          <c:spPr>
            <a:ln>
              <a:prstDash val="sysDot"/>
            </a:ln>
          </c:spPr>
          <c:dLbls>
            <c:dLbl>
              <c:idx val="0"/>
              <c:layout>
                <c:manualLayout>
                  <c:x val="-0.11039351851851854"/>
                  <c:y val="3.9041222788327931E-2"/>
                </c:manualLayout>
              </c:layout>
              <c:tx>
                <c:rich>
                  <a:bodyPr/>
                  <a:lstStyle/>
                  <a:p>
                    <a:r>
                      <a:rPr lang="en-US"/>
                      <a:t>UNRWA 2,80</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EBFB-40C1-B942-028553318A5B}"/>
                </c:ext>
              </c:extLst>
            </c:dLbl>
            <c:dLbl>
              <c:idx val="1"/>
              <c:tx>
                <c:rich>
                  <a:bodyPr/>
                  <a:lstStyle/>
                  <a:p>
                    <a:r>
                      <a:rPr lang="en-US"/>
                      <a:t>2,53</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BFB-40C1-B942-028553318A5B}"/>
                </c:ext>
              </c:extLst>
            </c:dLbl>
            <c:dLbl>
              <c:idx val="2"/>
              <c:layout>
                <c:manualLayout>
                  <c:x val="-3.840861038203558E-2"/>
                  <c:y val="4.4717283642712082E-2"/>
                </c:manualLayout>
              </c:layout>
              <c:tx>
                <c:rich>
                  <a:bodyPr/>
                  <a:lstStyle/>
                  <a:p>
                    <a:r>
                      <a:rPr lang="en-US"/>
                      <a:t>2,58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BFB-40C1-B942-028553318A5B}"/>
                </c:ext>
              </c:extLst>
            </c:dLbl>
            <c:dLbl>
              <c:idx val="3"/>
              <c:layout>
                <c:manualLayout>
                  <c:x val="4.4581191780745334E-3"/>
                  <c:y val="-3.4055832404708011E-2"/>
                </c:manualLayout>
              </c:layout>
              <c:tx>
                <c:rich>
                  <a:bodyPr/>
                  <a:lstStyle/>
                  <a:p>
                    <a:r>
                      <a:rPr lang="en-US"/>
                      <a:t>3,02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BFB-40C1-B942-028553318A5B}"/>
                </c:ext>
              </c:extLst>
            </c:dLbl>
            <c:numFmt formatCode="#,##0.00" sourceLinked="0"/>
            <c:spPr>
              <a:noFill/>
              <a:ln>
                <a:noFill/>
              </a:ln>
              <a:effectLst/>
            </c:spPr>
            <c:txPr>
              <a:bodyPr/>
              <a:lstStyle/>
              <a:p>
                <a:pPr>
                  <a:defRPr lang="en-US" sz="800">
                    <a:solidFill>
                      <a:schemeClr val="accent4">
                        <a:lumMod val="75000"/>
                      </a:schemeClr>
                    </a:solidFill>
                    <a:latin typeface="Times New Roman" panose="02020603050405020304" pitchFamily="18" charset="0"/>
                    <a:cs typeface="Times New Roman" panose="02020603050405020304" pitchFamily="18" charset="0"/>
                  </a:defRPr>
                </a:pPr>
                <a:endParaRPr lang="fr-F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Sheet1!$A$10:$A$13</c:f>
              <c:numCache>
                <c:formatCode>General</c:formatCode>
                <c:ptCount val="4"/>
                <c:pt idx="0">
                  <c:v>2012</c:v>
                </c:pt>
                <c:pt idx="1">
                  <c:v>2013</c:v>
                </c:pt>
                <c:pt idx="2">
                  <c:v>2014</c:v>
                </c:pt>
                <c:pt idx="3">
                  <c:v>2015</c:v>
                </c:pt>
              </c:numCache>
            </c:numRef>
          </c:cat>
          <c:val>
            <c:numRef>
              <c:f>Sheet1!$E$10:$E$13</c:f>
              <c:numCache>
                <c:formatCode>#,##0</c:formatCode>
                <c:ptCount val="4"/>
                <c:pt idx="0">
                  <c:v>2801785</c:v>
                </c:pt>
                <c:pt idx="1">
                  <c:v>2530593</c:v>
                </c:pt>
                <c:pt idx="2">
                  <c:v>2581243</c:v>
                </c:pt>
                <c:pt idx="3">
                  <c:v>3020743</c:v>
                </c:pt>
              </c:numCache>
            </c:numRef>
          </c:val>
          <c:smooth val="0"/>
          <c:extLst>
            <c:ext xmlns:c16="http://schemas.microsoft.com/office/drawing/2014/chart" uri="{C3380CC4-5D6E-409C-BE32-E72D297353CC}">
              <c16:uniqueId val="{00000013-EBFB-40C1-B942-028553318A5B}"/>
            </c:ext>
          </c:extLst>
        </c:ser>
        <c:ser>
          <c:idx val="4"/>
          <c:order val="4"/>
          <c:tx>
            <c:strRef>
              <c:f>Sheet1!$F$9</c:f>
              <c:strCache>
                <c:ptCount val="1"/>
                <c:pt idx="0">
                  <c:v>UNWTO</c:v>
                </c:pt>
              </c:strCache>
            </c:strRef>
          </c:tx>
          <c:dLbls>
            <c:dLbl>
              <c:idx val="0"/>
              <c:layout>
                <c:manualLayout>
                  <c:x val="-0.11958696139916025"/>
                  <c:y val="-4.0349639943322614E-2"/>
                </c:manualLayout>
              </c:layout>
              <c:tx>
                <c:rich>
                  <a:bodyPr/>
                  <a:lstStyle/>
                  <a:p>
                    <a:r>
                      <a:rPr lang="en-US"/>
                      <a:t>OMT 1,34</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4-EBFB-40C1-B942-028553318A5B}"/>
                </c:ext>
              </c:extLst>
            </c:dLbl>
            <c:dLbl>
              <c:idx val="1"/>
              <c:layout>
                <c:manualLayout>
                  <c:x val="-4.3038280323507781E-2"/>
                  <c:y val="-4.8802075582787159E-2"/>
                </c:manualLayout>
              </c:layout>
              <c:tx>
                <c:rich>
                  <a:bodyPr/>
                  <a:lstStyle/>
                  <a:p>
                    <a:r>
                      <a:rPr lang="en-US"/>
                      <a:t>1,21</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BFB-40C1-B942-028553318A5B}"/>
                </c:ext>
              </c:extLst>
            </c:dLbl>
            <c:dLbl>
              <c:idx val="2"/>
              <c:layout>
                <c:manualLayout>
                  <c:x val="-3.840861038203558E-2"/>
                  <c:y val="-4.0192396764884113E-2"/>
                </c:manualLayout>
              </c:layout>
              <c:tx>
                <c:rich>
                  <a:bodyPr/>
                  <a:lstStyle/>
                  <a:p>
                    <a:r>
                      <a:rPr lang="en-US"/>
                      <a:t>1,84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BFB-40C1-B942-028553318A5B}"/>
                </c:ext>
              </c:extLst>
            </c:dLbl>
            <c:dLbl>
              <c:idx val="3"/>
              <c:layout>
                <c:manualLayout>
                  <c:x val="-3.3322761738116068E-2"/>
                  <c:y val="-3.975273452809349E-2"/>
                </c:manualLayout>
              </c:layout>
              <c:tx>
                <c:rich>
                  <a:bodyPr/>
                  <a:lstStyle/>
                  <a:p>
                    <a:r>
                      <a:rPr lang="en-US"/>
                      <a:t>1,49</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BFB-40C1-B942-028553318A5B}"/>
                </c:ext>
              </c:extLst>
            </c:dLbl>
            <c:numFmt formatCode="#,##0.00" sourceLinked="0"/>
            <c:spPr>
              <a:noFill/>
              <a:ln>
                <a:noFill/>
              </a:ln>
              <a:effectLst/>
            </c:spPr>
            <c:txPr>
              <a:bodyPr/>
              <a:lstStyle/>
              <a:p>
                <a:pPr>
                  <a:defRPr lang="en-US" sz="800">
                    <a:solidFill>
                      <a:schemeClr val="accent5">
                        <a:lumMod val="75000"/>
                      </a:schemeClr>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Sheet1!$A$10:$A$13</c:f>
              <c:numCache>
                <c:formatCode>General</c:formatCode>
                <c:ptCount val="4"/>
                <c:pt idx="0">
                  <c:v>2012</c:v>
                </c:pt>
                <c:pt idx="1">
                  <c:v>2013</c:v>
                </c:pt>
                <c:pt idx="2">
                  <c:v>2014</c:v>
                </c:pt>
                <c:pt idx="3">
                  <c:v>2015</c:v>
                </c:pt>
              </c:numCache>
            </c:numRef>
          </c:cat>
          <c:val>
            <c:numRef>
              <c:f>Sheet1!$F$10:$F$13</c:f>
              <c:numCache>
                <c:formatCode>#,##0</c:formatCode>
                <c:ptCount val="4"/>
                <c:pt idx="0">
                  <c:v>1344437</c:v>
                </c:pt>
                <c:pt idx="1">
                  <c:v>1213254</c:v>
                </c:pt>
                <c:pt idx="2">
                  <c:v>1836624</c:v>
                </c:pt>
                <c:pt idx="3">
                  <c:v>1489532</c:v>
                </c:pt>
              </c:numCache>
            </c:numRef>
          </c:val>
          <c:smooth val="0"/>
          <c:extLst>
            <c:ext xmlns:c16="http://schemas.microsoft.com/office/drawing/2014/chart" uri="{C3380CC4-5D6E-409C-BE32-E72D297353CC}">
              <c16:uniqueId val="{00000018-EBFB-40C1-B942-028553318A5B}"/>
            </c:ext>
          </c:extLst>
        </c:ser>
        <c:ser>
          <c:idx val="6"/>
          <c:order val="5"/>
          <c:tx>
            <c:strRef>
              <c:f>Sheet1!$H$9</c:f>
              <c:strCache>
                <c:ptCount val="1"/>
                <c:pt idx="0">
                  <c:v>UPU</c:v>
                </c:pt>
              </c:strCache>
            </c:strRef>
          </c:tx>
          <c:spPr>
            <a:ln>
              <a:prstDash val="sysDash"/>
            </a:ln>
          </c:spPr>
          <c:dLbls>
            <c:dLbl>
              <c:idx val="0"/>
              <c:layout>
                <c:manualLayout>
                  <c:x val="-0.11767326574001859"/>
                  <c:y val="2.211798299247095E-2"/>
                </c:manualLayout>
              </c:layout>
              <c:tx>
                <c:rich>
                  <a:bodyPr/>
                  <a:lstStyle/>
                  <a:p>
                    <a:r>
                      <a:rPr lang="en-US"/>
                      <a:t>UPU 0,88</a:t>
                    </a:r>
                  </a:p>
                </c:rich>
              </c:tx>
              <c:dLblPos val="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9-EBFB-40C1-B942-028553318A5B}"/>
                </c:ext>
              </c:extLst>
            </c:dLbl>
            <c:dLbl>
              <c:idx val="1"/>
              <c:layout>
                <c:manualLayout>
                  <c:x val="-4.4776119402985128E-2"/>
                  <c:y val="5.8066283210079429E-2"/>
                </c:manualLayout>
              </c:layout>
              <c:tx>
                <c:rich>
                  <a:bodyPr/>
                  <a:lstStyle/>
                  <a:p>
                    <a:r>
                      <a:rPr lang="en-US"/>
                      <a:t>0,98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BFB-40C1-B942-028553318A5B}"/>
                </c:ext>
              </c:extLst>
            </c:dLbl>
            <c:dLbl>
              <c:idx val="2"/>
              <c:layout>
                <c:manualLayout>
                  <c:x val="-3.6987824438611844E-2"/>
                  <c:y val="3.7209963532685492E-2"/>
                </c:manualLayout>
              </c:layout>
              <c:tx>
                <c:rich>
                  <a:bodyPr/>
                  <a:lstStyle/>
                  <a:p>
                    <a:r>
                      <a:rPr lang="en-US"/>
                      <a:t>1,24</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BFB-40C1-B942-028553318A5B}"/>
                </c:ext>
              </c:extLst>
            </c:dLbl>
            <c:dLbl>
              <c:idx val="3"/>
              <c:layout>
                <c:manualLayout>
                  <c:x val="-2.2351086322543016E-2"/>
                  <c:y val="2.4730136953256678E-2"/>
                </c:manualLayout>
              </c:layout>
              <c:tx>
                <c:rich>
                  <a:bodyPr/>
                  <a:lstStyle/>
                  <a:p>
                    <a:r>
                      <a:rPr lang="en-US"/>
                      <a:t>1,42</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BFB-40C1-B942-028553318A5B}"/>
                </c:ext>
              </c:extLst>
            </c:dLbl>
            <c:numFmt formatCode="#,##0.00" sourceLinked="0"/>
            <c:spPr>
              <a:noFill/>
              <a:ln>
                <a:noFill/>
              </a:ln>
              <a:effectLst/>
            </c:spPr>
            <c:txPr>
              <a:bodyPr/>
              <a:lstStyle/>
              <a:p>
                <a:pPr>
                  <a:defRPr lang="en-US" sz="800">
                    <a:solidFill>
                      <a:schemeClr val="accent4">
                        <a:lumMod val="75000"/>
                      </a:schemeClr>
                    </a:solidFill>
                    <a:latin typeface="Times New Roman" panose="02020603050405020304" pitchFamily="18" charset="0"/>
                    <a:cs typeface="Times New Roman" panose="02020603050405020304" pitchFamily="18" charset="0"/>
                  </a:defRPr>
                </a:pPr>
                <a:endParaRPr lang="fr-F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Sheet1!$A$10:$A$13</c:f>
              <c:numCache>
                <c:formatCode>General</c:formatCode>
                <c:ptCount val="4"/>
                <c:pt idx="0">
                  <c:v>2012</c:v>
                </c:pt>
                <c:pt idx="1">
                  <c:v>2013</c:v>
                </c:pt>
                <c:pt idx="2">
                  <c:v>2014</c:v>
                </c:pt>
                <c:pt idx="3">
                  <c:v>2015</c:v>
                </c:pt>
              </c:numCache>
            </c:numRef>
          </c:cat>
          <c:val>
            <c:numRef>
              <c:f>Sheet1!$H$10:$H$13</c:f>
              <c:numCache>
                <c:formatCode>#,##0</c:formatCode>
                <c:ptCount val="4"/>
                <c:pt idx="0">
                  <c:v>875614</c:v>
                </c:pt>
                <c:pt idx="1">
                  <c:v>984610</c:v>
                </c:pt>
                <c:pt idx="2">
                  <c:v>1236479</c:v>
                </c:pt>
                <c:pt idx="3">
                  <c:v>1418221</c:v>
                </c:pt>
              </c:numCache>
            </c:numRef>
          </c:val>
          <c:smooth val="0"/>
          <c:extLst>
            <c:ext xmlns:c16="http://schemas.microsoft.com/office/drawing/2014/chart" uri="{C3380CC4-5D6E-409C-BE32-E72D297353CC}">
              <c16:uniqueId val="{0000001D-EBFB-40C1-B942-028553318A5B}"/>
            </c:ext>
          </c:extLst>
        </c:ser>
        <c:dLbls>
          <c:showLegendKey val="0"/>
          <c:showVal val="0"/>
          <c:showCatName val="0"/>
          <c:showSerName val="0"/>
          <c:showPercent val="0"/>
          <c:showBubbleSize val="0"/>
        </c:dLbls>
        <c:marker val="1"/>
        <c:smooth val="0"/>
        <c:axId val="185919744"/>
        <c:axId val="186490880"/>
      </c:lineChart>
      <c:catAx>
        <c:axId val="185919744"/>
        <c:scaling>
          <c:orientation val="minMax"/>
        </c:scaling>
        <c:delete val="0"/>
        <c:axPos val="b"/>
        <c:numFmt formatCode="General" sourceLinked="1"/>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86490880"/>
        <c:crosses val="autoZero"/>
        <c:auto val="1"/>
        <c:lblAlgn val="ctr"/>
        <c:lblOffset val="100"/>
        <c:noMultiLvlLbl val="0"/>
      </c:catAx>
      <c:valAx>
        <c:axId val="186490880"/>
        <c:scaling>
          <c:orientation val="minMax"/>
          <c:max val="5000000"/>
          <c:min val="500000"/>
        </c:scaling>
        <c:delete val="0"/>
        <c:axPos val="l"/>
        <c:majorGridlines>
          <c:spPr>
            <a:ln>
              <a:noFill/>
            </a:ln>
          </c:spPr>
        </c:majorGridlines>
        <c:numFmt formatCode="#,##0.0" sourceLinked="0"/>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85919744"/>
        <c:crosses val="autoZero"/>
        <c:crossBetween val="between"/>
        <c:dispUnits>
          <c:builtInUnit val="millions"/>
          <c:dispUnitsLbl>
            <c:layout>
              <c:manualLayout>
                <c:xMode val="edge"/>
                <c:yMode val="edge"/>
                <c:x val="1.6203805596213636E-2"/>
                <c:y val="9.7557135678500342E-2"/>
              </c:manualLayout>
            </c:layout>
            <c:tx>
              <c:rich>
                <a:bodyPr/>
                <a:lstStyle/>
                <a:p>
                  <a:pPr>
                    <a:defRPr lang="en-US" sz="800">
                      <a:latin typeface="Times New Roman" panose="02020603050405020304" pitchFamily="18" charset="0"/>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En</a:t>
                  </a:r>
                  <a:r>
                    <a:rPr lang="en-US" sz="800" baseline="0">
                      <a:latin typeface="Times New Roman" panose="02020603050405020304" pitchFamily="18" charset="0"/>
                      <a:cs typeface="Times New Roman" panose="02020603050405020304" pitchFamily="18" charset="0"/>
                    </a:rPr>
                    <a:t> millions de dollars des États-Unis</a:t>
                  </a:r>
                  <a:endParaRPr lang="en-US" sz="800">
                    <a:latin typeface="Times New Roman" panose="02020603050405020304" pitchFamily="18" charset="0"/>
                    <a:cs typeface="Times New Roman" panose="02020603050405020304" pitchFamily="18" charset="0"/>
                  </a:endParaRPr>
                </a:p>
              </c:rich>
            </c:tx>
          </c:dispUnitsLbl>
        </c:dispUnits>
      </c:valAx>
    </c:plotArea>
    <c:plotVisOnly val="1"/>
    <c:dispBlanksAs val="gap"/>
    <c:showDLblsOverMax val="0"/>
  </c:chart>
  <c:spPr>
    <a:ln w="6350">
      <a:solidFill>
        <a:sysClr val="windowText" lastClr="000000"/>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dLbl>
              <c:idx val="0"/>
              <c:tx>
                <c:rich>
                  <a:bodyPr/>
                  <a:lstStyle/>
                  <a:p>
                    <a:r>
                      <a:rPr lang="en-US"/>
                      <a:t>0,27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1B-48DD-BAE5-9F7DB1E5B326}"/>
                </c:ext>
              </c:extLst>
            </c:dLbl>
            <c:dLbl>
              <c:idx val="1"/>
              <c:tx>
                <c:rich>
                  <a:bodyPr/>
                  <a:lstStyle/>
                  <a:p>
                    <a:r>
                      <a:rPr lang="en-US"/>
                      <a:t>0,45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1B-48DD-BAE5-9F7DB1E5B326}"/>
                </c:ext>
              </c:extLst>
            </c:dLbl>
            <c:dLbl>
              <c:idx val="2"/>
              <c:tx>
                <c:rich>
                  <a:bodyPr/>
                  <a:lstStyle/>
                  <a:p>
                    <a:r>
                      <a:rPr lang="en-US"/>
                      <a:t>1,42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1B-48DD-BAE5-9F7DB1E5B326}"/>
                </c:ext>
              </c:extLst>
            </c:dLbl>
            <c:dLbl>
              <c:idx val="3"/>
              <c:tx>
                <c:rich>
                  <a:bodyPr/>
                  <a:lstStyle/>
                  <a:p>
                    <a:r>
                      <a:rPr lang="en-US"/>
                      <a:t>1,54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1B-48DD-BAE5-9F7DB1E5B326}"/>
                </c:ext>
              </c:extLst>
            </c:dLbl>
            <c:dLbl>
              <c:idx val="4"/>
              <c:tx>
                <c:rich>
                  <a:bodyPr/>
                  <a:lstStyle/>
                  <a:p>
                    <a:r>
                      <a:rPr lang="en-US"/>
                      <a:t>1,61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1B-48DD-BAE5-9F7DB1E5B326}"/>
                </c:ext>
              </c:extLst>
            </c:dLbl>
            <c:dLbl>
              <c:idx val="5"/>
              <c:tx>
                <c:rich>
                  <a:bodyPr/>
                  <a:lstStyle/>
                  <a:p>
                    <a:r>
                      <a:rPr lang="en-US"/>
                      <a:t>1,92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1B-48DD-BAE5-9F7DB1E5B326}"/>
                </c:ext>
              </c:extLst>
            </c:dLbl>
            <c:dLbl>
              <c:idx val="6"/>
              <c:tx>
                <c:rich>
                  <a:bodyPr/>
                  <a:lstStyle/>
                  <a:p>
                    <a:r>
                      <a:rPr lang="en-US"/>
                      <a:t>2,06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1B-48DD-BAE5-9F7DB1E5B326}"/>
                </c:ext>
              </c:extLst>
            </c:dLbl>
            <c:dLbl>
              <c:idx val="7"/>
              <c:tx>
                <c:rich>
                  <a:bodyPr/>
                  <a:lstStyle/>
                  <a:p>
                    <a:r>
                      <a:rPr lang="en-US"/>
                      <a:t>2,08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1B-48DD-BAE5-9F7DB1E5B326}"/>
                </c:ext>
              </c:extLst>
            </c:dLbl>
            <c:dLbl>
              <c:idx val="8"/>
              <c:tx>
                <c:rich>
                  <a:bodyPr/>
                  <a:lstStyle/>
                  <a:p>
                    <a:r>
                      <a:rPr lang="en-US"/>
                      <a:t>2,18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1B-48DD-BAE5-9F7DB1E5B326}"/>
                </c:ext>
              </c:extLst>
            </c:dLbl>
            <c:dLbl>
              <c:idx val="9"/>
              <c:tx>
                <c:rich>
                  <a:bodyPr/>
                  <a:lstStyle/>
                  <a:p>
                    <a:r>
                      <a:rPr lang="en-US"/>
                      <a:t>2,73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1B-48DD-BAE5-9F7DB1E5B326}"/>
                </c:ext>
              </c:extLst>
            </c:dLbl>
            <c:dLbl>
              <c:idx val="10"/>
              <c:tx>
                <c:rich>
                  <a:bodyPr/>
                  <a:lstStyle/>
                  <a:p>
                    <a:r>
                      <a:rPr lang="en-US"/>
                      <a:t>3,21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1B-48DD-BAE5-9F7DB1E5B326}"/>
                </c:ext>
              </c:extLst>
            </c:dLbl>
            <c:dLbl>
              <c:idx val="11"/>
              <c:tx>
                <c:rich>
                  <a:bodyPr/>
                  <a:lstStyle/>
                  <a:p>
                    <a:r>
                      <a:rPr lang="en-US"/>
                      <a:t>3,51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1B-48DD-BAE5-9F7DB1E5B326}"/>
                </c:ext>
              </c:extLst>
            </c:dLbl>
            <c:dLbl>
              <c:idx val="12"/>
              <c:tx>
                <c:rich>
                  <a:bodyPr/>
                  <a:lstStyle/>
                  <a:p>
                    <a:r>
                      <a:rPr lang="en-US"/>
                      <a:t>4,06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61B-48DD-BAE5-9F7DB1E5B326}"/>
                </c:ext>
              </c:extLst>
            </c:dLbl>
            <c:dLbl>
              <c:idx val="13"/>
              <c:tx>
                <c:rich>
                  <a:bodyPr/>
                  <a:lstStyle/>
                  <a:p>
                    <a:r>
                      <a:rPr lang="en-US"/>
                      <a:t>4,29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61B-48DD-BAE5-9F7DB1E5B326}"/>
                </c:ext>
              </c:extLst>
            </c:dLbl>
            <c:dLbl>
              <c:idx val="14"/>
              <c:tx>
                <c:rich>
                  <a:bodyPr/>
                  <a:lstStyle/>
                  <a:p>
                    <a:r>
                      <a:rPr lang="en-US"/>
                      <a:t>4,50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61B-48DD-BAE5-9F7DB1E5B326}"/>
                </c:ext>
              </c:extLst>
            </c:dLbl>
            <c:dLbl>
              <c:idx val="15"/>
              <c:tx>
                <c:rich>
                  <a:bodyPr/>
                  <a:lstStyle/>
                  <a:p>
                    <a:r>
                      <a:rPr lang="en-US"/>
                      <a:t>4,73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61B-48DD-BAE5-9F7DB1E5B326}"/>
                </c:ext>
              </c:extLst>
            </c:dLbl>
            <c:dLbl>
              <c:idx val="16"/>
              <c:tx>
                <c:rich>
                  <a:bodyPr/>
                  <a:lstStyle/>
                  <a:p>
                    <a:r>
                      <a:rPr lang="en-US"/>
                      <a:t>5,01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61B-48DD-BAE5-9F7DB1E5B326}"/>
                </c:ext>
              </c:extLst>
            </c:dLbl>
            <c:dLbl>
              <c:idx val="17"/>
              <c:tx>
                <c:rich>
                  <a:bodyPr/>
                  <a:lstStyle/>
                  <a:p>
                    <a:r>
                      <a:rPr lang="en-US"/>
                      <a:t>5,58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61B-48DD-BAE5-9F7DB1E5B326}"/>
                </c:ext>
              </c:extLst>
            </c:dLbl>
            <c:dLbl>
              <c:idx val="18"/>
              <c:tx>
                <c:rich>
                  <a:bodyPr/>
                  <a:lstStyle/>
                  <a:p>
                    <a:r>
                      <a:rPr lang="en-US"/>
                      <a:t>5,87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61B-48DD-BAE5-9F7DB1E5B326}"/>
                </c:ext>
              </c:extLst>
            </c:dLbl>
            <c:dLbl>
              <c:idx val="19"/>
              <c:tx>
                <c:rich>
                  <a:bodyPr/>
                  <a:lstStyle/>
                  <a:p>
                    <a:r>
                      <a:rPr lang="en-US"/>
                      <a:t>5,89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61B-48DD-BAE5-9F7DB1E5B326}"/>
                </c:ext>
              </c:extLst>
            </c:dLbl>
            <c:dLbl>
              <c:idx val="20"/>
              <c:tx>
                <c:rich>
                  <a:bodyPr/>
                  <a:lstStyle/>
                  <a:p>
                    <a:r>
                      <a:rPr lang="en-US"/>
                      <a:t>6,74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61B-48DD-BAE5-9F7DB1E5B326}"/>
                </c:ext>
              </c:extLst>
            </c:dLbl>
            <c:dLbl>
              <c:idx val="21"/>
              <c:tx>
                <c:rich>
                  <a:bodyPr/>
                  <a:lstStyle/>
                  <a:p>
                    <a:r>
                      <a:rPr lang="en-US"/>
                      <a:t>8,55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61B-48DD-BAE5-9F7DB1E5B326}"/>
                </c:ext>
              </c:extLst>
            </c:dLbl>
            <c:dLbl>
              <c:idx val="22"/>
              <c:tx>
                <c:rich>
                  <a:bodyPr/>
                  <a:lstStyle/>
                  <a:p>
                    <a:r>
                      <a:rPr lang="en-US"/>
                      <a:t>8,87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861B-48DD-BAE5-9F7DB1E5B326}"/>
                </c:ext>
              </c:extLst>
            </c:dLbl>
            <c:dLbl>
              <c:idx val="23"/>
              <c:tx>
                <c:rich>
                  <a:bodyPr/>
                  <a:lstStyle/>
                  <a:p>
                    <a:r>
                      <a:rPr lang="en-US"/>
                      <a:t>12,04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61B-48DD-BAE5-9F7DB1E5B326}"/>
                </c:ext>
              </c:extLst>
            </c:dLbl>
            <c:spPr>
              <a:noFill/>
              <a:ln>
                <a:noFill/>
              </a:ln>
              <a:effectLst/>
            </c:spPr>
            <c:txPr>
              <a:bodyPr/>
              <a:lstStyle/>
              <a:p>
                <a:pPr>
                  <a:defRPr lang="en-US" sz="800">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Sheet3!$A$1:$A$24</c:f>
              <c:strCache>
                <c:ptCount val="24"/>
                <c:pt idx="0">
                  <c:v>UNRWA</c:v>
                </c:pt>
                <c:pt idx="1">
                  <c:v>PNUD</c:v>
                </c:pt>
                <c:pt idx="2">
                  <c:v>ONUDC</c:v>
                </c:pt>
                <c:pt idx="3">
                  <c:v>UPU</c:v>
                </c:pt>
                <c:pt idx="4">
                  <c:v>ONU (S&amp;HS)</c:v>
                </c:pt>
                <c:pt idx="5">
                  <c:v>HCR</c:v>
                </c:pt>
                <c:pt idx="6">
                  <c:v>PAM</c:v>
                </c:pt>
                <c:pt idx="7">
                  <c:v>UNOPS</c:v>
                </c:pt>
                <c:pt idx="8">
                  <c:v>UNESCO</c:v>
                </c:pt>
                <c:pt idx="9">
                  <c:v>ONU-Femmes</c:v>
                </c:pt>
                <c:pt idx="10">
                  <c:v>UNICEF</c:v>
                </c:pt>
                <c:pt idx="11">
                  <c:v>ONUSIDA</c:v>
                </c:pt>
                <c:pt idx="12">
                  <c:v>UIT</c:v>
                </c:pt>
                <c:pt idx="13">
                  <c:v>OMI</c:v>
                </c:pt>
                <c:pt idx="14">
                  <c:v>OIT</c:v>
                </c:pt>
                <c:pt idx="15">
                  <c:v>CCI*</c:v>
                </c:pt>
                <c:pt idx="16">
                  <c:v>OMS</c:v>
                </c:pt>
                <c:pt idx="17">
                  <c:v>OMPI</c:v>
                </c:pt>
                <c:pt idx="18">
                  <c:v>OACI</c:v>
                </c:pt>
                <c:pt idx="19">
                  <c:v>OMT</c:v>
                </c:pt>
                <c:pt idx="20">
                  <c:v>ONUDI</c:v>
                </c:pt>
                <c:pt idx="21">
                  <c:v>FNUAP</c:v>
                </c:pt>
                <c:pt idx="22">
                  <c:v>FAO</c:v>
                </c:pt>
                <c:pt idx="23">
                  <c:v>AIEA</c:v>
                </c:pt>
              </c:strCache>
            </c:strRef>
          </c:cat>
          <c:val>
            <c:numRef>
              <c:f>Sheet3!$B$1:$B$24</c:f>
              <c:numCache>
                <c:formatCode>0.00%</c:formatCode>
                <c:ptCount val="24"/>
                <c:pt idx="0">
                  <c:v>2.7000000000000001E-3</c:v>
                </c:pt>
                <c:pt idx="1">
                  <c:v>4.4999999999999997E-3</c:v>
                </c:pt>
                <c:pt idx="2">
                  <c:v>1.4200000000000001E-2</c:v>
                </c:pt>
                <c:pt idx="3">
                  <c:v>1.54E-2</c:v>
                </c:pt>
                <c:pt idx="4">
                  <c:v>1.5100000000000001E-2</c:v>
                </c:pt>
                <c:pt idx="5">
                  <c:v>1.9199999999999998E-2</c:v>
                </c:pt>
                <c:pt idx="6">
                  <c:v>2.06E-2</c:v>
                </c:pt>
                <c:pt idx="7">
                  <c:v>2.0799999999999999E-2</c:v>
                </c:pt>
                <c:pt idx="8">
                  <c:v>2.18E-2</c:v>
                </c:pt>
                <c:pt idx="9">
                  <c:v>2.7300000000000001E-2</c:v>
                </c:pt>
                <c:pt idx="10">
                  <c:v>3.2099999999999997E-2</c:v>
                </c:pt>
                <c:pt idx="11">
                  <c:v>3.5099999999999999E-2</c:v>
                </c:pt>
                <c:pt idx="12">
                  <c:v>4.0599999999999997E-2</c:v>
                </c:pt>
                <c:pt idx="13">
                  <c:v>4.2900000000000001E-2</c:v>
                </c:pt>
                <c:pt idx="14">
                  <c:v>4.4999999999999998E-2</c:v>
                </c:pt>
                <c:pt idx="15">
                  <c:v>4.7300000000000002E-2</c:v>
                </c:pt>
                <c:pt idx="16">
                  <c:v>5.0099999999999999E-2</c:v>
                </c:pt>
                <c:pt idx="17">
                  <c:v>5.5800000000000002E-2</c:v>
                </c:pt>
                <c:pt idx="18">
                  <c:v>5.8700000000000002E-2</c:v>
                </c:pt>
                <c:pt idx="19">
                  <c:v>5.8900000000000001E-2</c:v>
                </c:pt>
                <c:pt idx="20">
                  <c:v>6.7400000000000002E-2</c:v>
                </c:pt>
                <c:pt idx="21">
                  <c:v>8.5500000000000007E-2</c:v>
                </c:pt>
                <c:pt idx="22">
                  <c:v>8.8700000000000001E-2</c:v>
                </c:pt>
                <c:pt idx="23">
                  <c:v>0.12039999999999999</c:v>
                </c:pt>
              </c:numCache>
            </c:numRef>
          </c:val>
          <c:extLst>
            <c:ext xmlns:c16="http://schemas.microsoft.com/office/drawing/2014/chart" uri="{C3380CC4-5D6E-409C-BE32-E72D297353CC}">
              <c16:uniqueId val="{00000018-861B-48DD-BAE5-9F7DB1E5B326}"/>
            </c:ext>
          </c:extLst>
        </c:ser>
        <c:dLbls>
          <c:showLegendKey val="0"/>
          <c:showVal val="0"/>
          <c:showCatName val="0"/>
          <c:showSerName val="0"/>
          <c:showPercent val="0"/>
          <c:showBubbleSize val="0"/>
        </c:dLbls>
        <c:gapWidth val="150"/>
        <c:axId val="186650624"/>
        <c:axId val="186652160"/>
      </c:barChart>
      <c:catAx>
        <c:axId val="186650624"/>
        <c:scaling>
          <c:orientation val="minMax"/>
        </c:scaling>
        <c:delete val="0"/>
        <c:axPos val="l"/>
        <c:numFmt formatCode="General" sourceLinked="0"/>
        <c:majorTickMark val="out"/>
        <c:minorTickMark val="none"/>
        <c:tickLblPos val="nextTo"/>
        <c:txPr>
          <a:bodyPr/>
          <a:lstStyle/>
          <a:p>
            <a:pPr>
              <a:defRPr lang="en-US" sz="800">
                <a:latin typeface="Times New Roman" panose="02020603050405020304" pitchFamily="18" charset="0"/>
                <a:cs typeface="Times New Roman" panose="02020603050405020304" pitchFamily="18" charset="0"/>
              </a:defRPr>
            </a:pPr>
            <a:endParaRPr lang="fr-FR"/>
          </a:p>
        </c:txPr>
        <c:crossAx val="186652160"/>
        <c:crossesAt val="0"/>
        <c:auto val="1"/>
        <c:lblAlgn val="ctr"/>
        <c:lblOffset val="100"/>
        <c:noMultiLvlLbl val="0"/>
      </c:catAx>
      <c:valAx>
        <c:axId val="186652160"/>
        <c:scaling>
          <c:orientation val="minMax"/>
          <c:max val="0.13"/>
          <c:min val="0"/>
        </c:scaling>
        <c:delete val="0"/>
        <c:axPos val="b"/>
        <c:numFmt formatCode="0%" sourceLinked="0"/>
        <c:majorTickMark val="out"/>
        <c:minorTickMark val="none"/>
        <c:tickLblPos val="nextTo"/>
        <c:txPr>
          <a:bodyPr/>
          <a:lstStyle/>
          <a:p>
            <a:pPr>
              <a:defRPr lang="en-US" sz="900">
                <a:latin typeface="Times New Roman" panose="02020603050405020304" pitchFamily="18" charset="0"/>
                <a:cs typeface="Times New Roman" panose="02020603050405020304" pitchFamily="18" charset="0"/>
              </a:defRPr>
            </a:pPr>
            <a:endParaRPr lang="fr-FR"/>
          </a:p>
        </c:txPr>
        <c:crossAx val="186650624"/>
        <c:crosses val="autoZero"/>
        <c:crossBetween val="between"/>
      </c:valAx>
    </c:plotArea>
    <c:plotVisOnly val="1"/>
    <c:dispBlanksAs val="gap"/>
    <c:showDLblsOverMax val="0"/>
  </c:chart>
  <c:spPr>
    <a:ln w="6350">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2664224263634013E-2"/>
          <c:y val="1.9840334918765367E-2"/>
          <c:w val="0.86351293311923238"/>
          <c:h val="0.85937584439125114"/>
        </c:manualLayout>
      </c:layout>
      <c:barChart>
        <c:barDir val="col"/>
        <c:grouping val="clustered"/>
        <c:varyColors val="0"/>
        <c:ser>
          <c:idx val="0"/>
          <c:order val="0"/>
          <c:tx>
            <c:strRef>
              <c:f>'Non Staff - Graphs'!$A$4</c:f>
              <c:strCache>
                <c:ptCount val="1"/>
                <c:pt idx="0">
                  <c:v>Total des voyages en avion des non-fonctionnaires en pourcentage du total des voyages en avion des fonctionnaires et non-fonctionnaires </c:v>
                </c:pt>
              </c:strCache>
            </c:strRef>
          </c:tx>
          <c:spPr>
            <a:solidFill>
              <a:srgbClr val="4F81BD">
                <a:lumMod val="20000"/>
                <a:lumOff val="80000"/>
                <a:alpha val="51000"/>
              </a:srgbClr>
            </a:solidFill>
          </c:spPr>
          <c:invertIfNegative val="0"/>
          <c:dLbls>
            <c:dLbl>
              <c:idx val="0"/>
              <c:tx>
                <c:rich>
                  <a:bodyPr/>
                  <a:lstStyle/>
                  <a:p>
                    <a:r>
                      <a:rPr lang="en-US"/>
                      <a:t>69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9D-4DB3-84FA-B9E62C6B70BE}"/>
                </c:ext>
              </c:extLst>
            </c:dLbl>
            <c:dLbl>
              <c:idx val="1"/>
              <c:tx>
                <c:rich>
                  <a:bodyPr/>
                  <a:lstStyle/>
                  <a:p>
                    <a:r>
                      <a:rPr lang="en-US"/>
                      <a:t>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9D-4DB3-84FA-B9E62C6B70BE}"/>
                </c:ext>
              </c:extLst>
            </c:dLbl>
            <c:dLbl>
              <c:idx val="2"/>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9D-4DB3-84FA-B9E62C6B70BE}"/>
                </c:ext>
              </c:extLst>
            </c:dLbl>
            <c:dLbl>
              <c:idx val="3"/>
              <c:tx>
                <c:rich>
                  <a:bodyPr/>
                  <a:lstStyle/>
                  <a:p>
                    <a:r>
                      <a:rPr lang="en-US"/>
                      <a:t>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9D-4DB3-84FA-B9E62C6B70BE}"/>
                </c:ext>
              </c:extLst>
            </c:dLbl>
            <c:dLbl>
              <c:idx val="4"/>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9D-4DB3-84FA-B9E62C6B70BE}"/>
                </c:ext>
              </c:extLst>
            </c:dLbl>
            <c:dLbl>
              <c:idx val="5"/>
              <c:tx>
                <c:rich>
                  <a:bodyPr/>
                  <a:lstStyle/>
                  <a:p>
                    <a:r>
                      <a:rPr lang="en-US"/>
                      <a:t>47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9D-4DB3-84FA-B9E62C6B70BE}"/>
                </c:ext>
              </c:extLst>
            </c:dLbl>
            <c:dLbl>
              <c:idx val="6"/>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9D-4DB3-84FA-B9E62C6B70BE}"/>
                </c:ext>
              </c:extLst>
            </c:dLbl>
            <c:dLbl>
              <c:idx val="7"/>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9D-4DB3-84FA-B9E62C6B70BE}"/>
                </c:ext>
              </c:extLst>
            </c:dLbl>
            <c:dLbl>
              <c:idx val="8"/>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9D-4DB3-84FA-B9E62C6B70BE}"/>
                </c:ext>
              </c:extLst>
            </c:dLbl>
            <c:dLbl>
              <c:idx val="9"/>
              <c:layout>
                <c:manualLayout>
                  <c:x val="0"/>
                  <c:y val="-4.8741518208248798E-2"/>
                </c:manualLayout>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9D-4DB3-84FA-B9E62C6B70BE}"/>
                </c:ext>
              </c:extLst>
            </c:dLbl>
            <c:dLbl>
              <c:idx val="10"/>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9D-4DB3-84FA-B9E62C6B70BE}"/>
                </c:ext>
              </c:extLst>
            </c:dLbl>
            <c:dLbl>
              <c:idx val="11"/>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9D-4DB3-84FA-B9E62C6B70BE}"/>
                </c:ext>
              </c:extLst>
            </c:dLbl>
            <c:dLbl>
              <c:idx val="12"/>
              <c:tx>
                <c:rich>
                  <a:bodyPr/>
                  <a:lstStyle/>
                  <a:p>
                    <a:r>
                      <a:rPr lang="en-US"/>
                      <a:t>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9D-4DB3-84FA-B9E62C6B70BE}"/>
                </c:ext>
              </c:extLst>
            </c:dLbl>
            <c:dLbl>
              <c:idx val="13"/>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9D-4DB3-84FA-B9E62C6B70BE}"/>
                </c:ext>
              </c:extLst>
            </c:dLbl>
            <c:dLbl>
              <c:idx val="14"/>
              <c:layout>
                <c:manualLayout>
                  <c:x val="-2.2751970911874448E-3"/>
                  <c:y val="2.6652853974145272E-2"/>
                </c:manualLayout>
              </c:layout>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9D-4DB3-84FA-B9E62C6B70BE}"/>
                </c:ext>
              </c:extLst>
            </c:dLbl>
            <c:dLbl>
              <c:idx val="15"/>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49D-4DB3-84FA-B9E62C6B70BE}"/>
                </c:ext>
              </c:extLst>
            </c:dLbl>
            <c:spPr>
              <a:noFill/>
              <a:ln>
                <a:noFill/>
              </a:ln>
              <a:effectLst/>
            </c:spPr>
            <c:txPr>
              <a:bodyPr/>
              <a:lstStyle/>
              <a:p>
                <a:pPr>
                  <a:defRPr lang="en-US" sz="800">
                    <a:solidFill>
                      <a:schemeClr val="tx2"/>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'Non Staff - Graphs'!$B$1:$Q$1</c:f>
              <c:strCache>
                <c:ptCount val="16"/>
                <c:pt idx="0">
                  <c:v>FAO</c:v>
                </c:pt>
                <c:pt idx="1">
                  <c:v>AIEA</c:v>
                </c:pt>
                <c:pt idx="2">
                  <c:v>OIT</c:v>
                </c:pt>
                <c:pt idx="3">
                  <c:v>OMI</c:v>
                </c:pt>
                <c:pt idx="4">
                  <c:v>CCI*</c:v>
                </c:pt>
                <c:pt idx="5">
                  <c:v>UIT</c:v>
                </c:pt>
                <c:pt idx="6">
                  <c:v>ONU-Femmes</c:v>
                </c:pt>
                <c:pt idx="7">
                  <c:v>ONUSIDA</c:v>
                </c:pt>
                <c:pt idx="8">
                  <c:v>UNESCO</c:v>
                </c:pt>
                <c:pt idx="9">
                  <c:v>HCR</c:v>
                </c:pt>
                <c:pt idx="10">
                  <c:v>UNICEF</c:v>
                </c:pt>
                <c:pt idx="11">
                  <c:v>ONUDI</c:v>
                </c:pt>
                <c:pt idx="12">
                  <c:v>UPU</c:v>
                </c:pt>
                <c:pt idx="13">
                  <c:v>PAM</c:v>
                </c:pt>
                <c:pt idx="14">
                  <c:v>OMS</c:v>
                </c:pt>
                <c:pt idx="15">
                  <c:v>OMPI</c:v>
                </c:pt>
              </c:strCache>
            </c:strRef>
          </c:cat>
          <c:val>
            <c:numRef>
              <c:f>'Non Staff - Graphs'!$B$4:$Q$4</c:f>
              <c:numCache>
                <c:formatCode>0%</c:formatCode>
                <c:ptCount val="16"/>
                <c:pt idx="0">
                  <c:v>0.69027491035531896</c:v>
                </c:pt>
                <c:pt idx="1">
                  <c:v>0.61562481584874329</c:v>
                </c:pt>
                <c:pt idx="2">
                  <c:v>0.18386447103423764</c:v>
                </c:pt>
                <c:pt idx="3">
                  <c:v>0.41499847548406699</c:v>
                </c:pt>
                <c:pt idx="4">
                  <c:v>0.44308866060753183</c:v>
                </c:pt>
                <c:pt idx="5">
                  <c:v>0.4745638929156975</c:v>
                </c:pt>
                <c:pt idx="6">
                  <c:v>0.49299999999999999</c:v>
                </c:pt>
                <c:pt idx="7">
                  <c:v>0.33946768737115218</c:v>
                </c:pt>
                <c:pt idx="8">
                  <c:v>0.2704658303564495</c:v>
                </c:pt>
                <c:pt idx="9">
                  <c:v>4.0290310912292356E-2</c:v>
                </c:pt>
                <c:pt idx="10">
                  <c:v>0.18484521238300936</c:v>
                </c:pt>
                <c:pt idx="11">
                  <c:v>0.54247584272744687</c:v>
                </c:pt>
                <c:pt idx="12">
                  <c:v>0.21315901327909037</c:v>
                </c:pt>
                <c:pt idx="13">
                  <c:v>0.50993642161942065</c:v>
                </c:pt>
                <c:pt idx="14">
                  <c:v>0.53582814609168772</c:v>
                </c:pt>
                <c:pt idx="15">
                  <c:v>0.49339407650191264</c:v>
                </c:pt>
              </c:numCache>
            </c:numRef>
          </c:val>
          <c:extLst>
            <c:ext xmlns:c16="http://schemas.microsoft.com/office/drawing/2014/chart" uri="{C3380CC4-5D6E-409C-BE32-E72D297353CC}">
              <c16:uniqueId val="{00000010-E49D-4DB3-84FA-B9E62C6B70BE}"/>
            </c:ext>
          </c:extLst>
        </c:ser>
        <c:dLbls>
          <c:showLegendKey val="0"/>
          <c:showVal val="0"/>
          <c:showCatName val="0"/>
          <c:showSerName val="0"/>
          <c:showPercent val="0"/>
          <c:showBubbleSize val="0"/>
        </c:dLbls>
        <c:gapWidth val="43"/>
        <c:overlap val="-7"/>
        <c:axId val="188164736"/>
        <c:axId val="188215680"/>
      </c:barChart>
      <c:lineChart>
        <c:grouping val="standard"/>
        <c:varyColors val="0"/>
        <c:ser>
          <c:idx val="1"/>
          <c:order val="1"/>
          <c:tx>
            <c:strRef>
              <c:f>'Non Staff - Graphs'!$A$3</c:f>
              <c:strCache>
                <c:ptCount val="1"/>
                <c:pt idx="0">
                  <c:v>Total des voyages en avion des non-fonctionnaires (en dollars É.-U.)*</c:v>
                </c:pt>
              </c:strCache>
            </c:strRef>
          </c:tx>
          <c:spPr>
            <a:ln w="15875">
              <a:prstDash val="dash"/>
            </a:ln>
          </c:spPr>
          <c:marker>
            <c:symbol val="x"/>
            <c:size val="5"/>
          </c:marker>
          <c:dLbls>
            <c:dLbl>
              <c:idx val="0"/>
              <c:layout>
                <c:manualLayout>
                  <c:x val="-2.9820647419072966E-2"/>
                  <c:y val="-7.4013892070749904E-2"/>
                </c:manualLayout>
              </c:layout>
              <c:tx>
                <c:rich>
                  <a:bodyPr/>
                  <a:lstStyle/>
                  <a:p>
                    <a:r>
                      <a:rPr lang="en-US"/>
                      <a:t>317,63</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49D-4DB3-84FA-B9E62C6B70BE}"/>
                </c:ext>
              </c:extLst>
            </c:dLbl>
            <c:dLbl>
              <c:idx val="1"/>
              <c:tx>
                <c:rich>
                  <a:bodyPr/>
                  <a:lstStyle/>
                  <a:p>
                    <a:r>
                      <a:rPr lang="en-US"/>
                      <a:t>173,96</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49D-4DB3-84FA-B9E62C6B70BE}"/>
                </c:ext>
              </c:extLst>
            </c:dLbl>
            <c:dLbl>
              <c:idx val="2"/>
              <c:tx>
                <c:rich>
                  <a:bodyPr/>
                  <a:lstStyle/>
                  <a:p>
                    <a:r>
                      <a:rPr lang="en-US"/>
                      <a:t>21,73</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49D-4DB3-84FA-B9E62C6B70BE}"/>
                </c:ext>
              </c:extLst>
            </c:dLbl>
            <c:dLbl>
              <c:idx val="3"/>
              <c:tx>
                <c:rich>
                  <a:bodyPr/>
                  <a:lstStyle/>
                  <a:p>
                    <a:r>
                      <a:rPr lang="en-US"/>
                      <a:t>5,25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49D-4DB3-84FA-B9E62C6B70BE}"/>
                </c:ext>
              </c:extLst>
            </c:dLbl>
            <c:dLbl>
              <c:idx val="4"/>
              <c:tx>
                <c:rich>
                  <a:bodyPr/>
                  <a:lstStyle/>
                  <a:p>
                    <a:r>
                      <a:rPr lang="en-US"/>
                      <a:t>7,55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49D-4DB3-84FA-B9E62C6B70BE}"/>
                </c:ext>
              </c:extLst>
            </c:dLbl>
            <c:dLbl>
              <c:idx val="5"/>
              <c:tx>
                <c:rich>
                  <a:bodyPr/>
                  <a:lstStyle/>
                  <a:p>
                    <a:r>
                      <a:rPr lang="en-US"/>
                      <a:t>15,59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49D-4DB3-84FA-B9E62C6B70BE}"/>
                </c:ext>
              </c:extLst>
            </c:dLbl>
            <c:dLbl>
              <c:idx val="6"/>
              <c:tx>
                <c:rich>
                  <a:bodyPr/>
                  <a:lstStyle/>
                  <a:p>
                    <a:r>
                      <a:rPr lang="en-US"/>
                      <a:t>11,42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49D-4DB3-84FA-B9E62C6B70BE}"/>
                </c:ext>
              </c:extLst>
            </c:dLbl>
            <c:dLbl>
              <c:idx val="7"/>
              <c:tx>
                <c:rich>
                  <a:bodyPr/>
                  <a:lstStyle/>
                  <a:p>
                    <a:r>
                      <a:rPr lang="en-US"/>
                      <a:t>13,86</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49D-4DB3-84FA-B9E62C6B70BE}"/>
                </c:ext>
              </c:extLst>
            </c:dLbl>
            <c:dLbl>
              <c:idx val="8"/>
              <c:tx>
                <c:rich>
                  <a:bodyPr/>
                  <a:lstStyle/>
                  <a:p>
                    <a:r>
                      <a:rPr lang="en-US"/>
                      <a:t>18,77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49D-4DB3-84FA-B9E62C6B70BE}"/>
                </c:ext>
              </c:extLst>
            </c:dLbl>
            <c:dLbl>
              <c:idx val="9"/>
              <c:layout>
                <c:manualLayout>
                  <c:x val="-2.9781075878002296E-2"/>
                  <c:y val="-4.8647606467393557E-2"/>
                </c:manualLayout>
              </c:layout>
              <c:tx>
                <c:rich>
                  <a:bodyPr/>
                  <a:lstStyle/>
                  <a:p>
                    <a:r>
                      <a:rPr lang="en-US"/>
                      <a:t>9,00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49D-4DB3-84FA-B9E62C6B70BE}"/>
                </c:ext>
              </c:extLst>
            </c:dLbl>
            <c:dLbl>
              <c:idx val="10"/>
              <c:layout>
                <c:manualLayout>
                  <c:x val="-2.7505832604258026E-2"/>
                  <c:y val="7.9701681833320062E-2"/>
                </c:manualLayout>
              </c:layout>
              <c:tx>
                <c:rich>
                  <a:bodyPr/>
                  <a:lstStyle/>
                  <a:p>
                    <a:r>
                      <a:rPr lang="en-US"/>
                      <a:t>102,70</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49D-4DB3-84FA-B9E62C6B70BE}"/>
                </c:ext>
              </c:extLst>
            </c:dLbl>
            <c:dLbl>
              <c:idx val="11"/>
              <c:tx>
                <c:rich>
                  <a:bodyPr/>
                  <a:lstStyle/>
                  <a:p>
                    <a:r>
                      <a:rPr lang="en-US"/>
                      <a:t>30,07</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49D-4DB3-84FA-B9E62C6B70BE}"/>
                </c:ext>
              </c:extLst>
            </c:dLbl>
            <c:dLbl>
              <c:idx val="12"/>
              <c:layout>
                <c:manualLayout>
                  <c:x val="-3.4450277048702412E-2"/>
                  <c:y val="-5.846177554929418E-2"/>
                </c:manualLayout>
              </c:layout>
              <c:tx>
                <c:rich>
                  <a:bodyPr/>
                  <a:lstStyle/>
                  <a:p>
                    <a:r>
                      <a:rPr lang="en-US"/>
                      <a:t>0,96</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49D-4DB3-84FA-B9E62C6B70BE}"/>
                </c:ext>
              </c:extLst>
            </c:dLbl>
            <c:dLbl>
              <c:idx val="13"/>
              <c:tx>
                <c:rich>
                  <a:bodyPr/>
                  <a:lstStyle/>
                  <a:p>
                    <a:r>
                      <a:rPr lang="en-US"/>
                      <a:t>200,35</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49D-4DB3-84FA-B9E62C6B70BE}"/>
                </c:ext>
              </c:extLst>
            </c:dLbl>
            <c:dLbl>
              <c:idx val="14"/>
              <c:layout>
                <c:manualLayout>
                  <c:x val="-2.0561388159813402E-2"/>
                  <c:y val="-6.7782594524890633E-2"/>
                </c:manualLayout>
              </c:layout>
              <c:tx>
                <c:rich>
                  <a:bodyPr/>
                  <a:lstStyle/>
                  <a:p>
                    <a:r>
                      <a:rPr lang="en-US"/>
                      <a:t>386,36</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49D-4DB3-84FA-B9E62C6B70BE}"/>
                </c:ext>
              </c:extLst>
            </c:dLbl>
            <c:dLbl>
              <c:idx val="15"/>
              <c:layout>
                <c:manualLayout>
                  <c:x val="-2.7505832604258085E-2"/>
                  <c:y val="-0.15265453806857218"/>
                </c:manualLayout>
              </c:layout>
              <c:tx>
                <c:rich>
                  <a:bodyPr/>
                  <a:lstStyle/>
                  <a:p>
                    <a:r>
                      <a:rPr lang="en-US"/>
                      <a:t>38,88</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49D-4DB3-84FA-B9E62C6B70BE}"/>
                </c:ext>
              </c:extLst>
            </c:dLbl>
            <c:numFmt formatCode="#,##0.00" sourceLinked="0"/>
            <c:spPr>
              <a:noFill/>
              <a:ln>
                <a:noFill/>
              </a:ln>
              <a:effectLst/>
            </c:spPr>
            <c:txPr>
              <a:bodyPr rot="-5400000" vert="horz"/>
              <a:lstStyle/>
              <a:p>
                <a:pPr>
                  <a:defRPr lang="en-US" sz="800" b="0">
                    <a:solidFill>
                      <a:srgbClr val="FF0000"/>
                    </a:solidFill>
                    <a:latin typeface="Times New Roman" panose="02020603050405020304" pitchFamily="18" charset="0"/>
                    <a:cs typeface="Times New Roman" panose="02020603050405020304" pitchFamily="18" charset="0"/>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'Non Staff - Graphs'!$B$3:$Q$3</c:f>
              <c:numCache>
                <c:formatCode>#,##0</c:formatCode>
                <c:ptCount val="16"/>
                <c:pt idx="0">
                  <c:v>317630000</c:v>
                </c:pt>
                <c:pt idx="1">
                  <c:v>173963796.05612767</c:v>
                </c:pt>
                <c:pt idx="2">
                  <c:v>21728000</c:v>
                </c:pt>
                <c:pt idx="3">
                  <c:v>5245840.5191642595</c:v>
                </c:pt>
                <c:pt idx="4">
                  <c:v>7552082.001176361</c:v>
                </c:pt>
                <c:pt idx="5">
                  <c:v>15586690.868821362</c:v>
                </c:pt>
                <c:pt idx="6">
                  <c:v>11417659</c:v>
                </c:pt>
                <c:pt idx="7">
                  <c:v>13864136</c:v>
                </c:pt>
                <c:pt idx="8">
                  <c:v>18768217.100000001</c:v>
                </c:pt>
                <c:pt idx="9">
                  <c:v>8995285</c:v>
                </c:pt>
                <c:pt idx="10">
                  <c:v>102700000</c:v>
                </c:pt>
                <c:pt idx="11">
                  <c:v>30071573.859678566</c:v>
                </c:pt>
                <c:pt idx="12">
                  <c:v>962396.74487008376</c:v>
                </c:pt>
                <c:pt idx="13">
                  <c:v>200349803.38999999</c:v>
                </c:pt>
                <c:pt idx="14">
                  <c:v>386359943</c:v>
                </c:pt>
                <c:pt idx="15">
                  <c:v>38883872.065699868</c:v>
                </c:pt>
              </c:numCache>
            </c:numRef>
          </c:val>
          <c:smooth val="0"/>
          <c:extLst>
            <c:ext xmlns:c16="http://schemas.microsoft.com/office/drawing/2014/chart" uri="{C3380CC4-5D6E-409C-BE32-E72D297353CC}">
              <c16:uniqueId val="{00000021-E49D-4DB3-84FA-B9E62C6B70BE}"/>
            </c:ext>
          </c:extLst>
        </c:ser>
        <c:dLbls>
          <c:showLegendKey val="0"/>
          <c:showVal val="0"/>
          <c:showCatName val="0"/>
          <c:showSerName val="0"/>
          <c:showPercent val="0"/>
          <c:showBubbleSize val="0"/>
        </c:dLbls>
        <c:marker val="1"/>
        <c:smooth val="0"/>
        <c:axId val="188510208"/>
        <c:axId val="188217216"/>
      </c:lineChart>
      <c:catAx>
        <c:axId val="188164736"/>
        <c:scaling>
          <c:orientation val="minMax"/>
        </c:scaling>
        <c:delete val="0"/>
        <c:axPos val="b"/>
        <c:numFmt formatCode="General" sourceLinked="0"/>
        <c:majorTickMark val="out"/>
        <c:minorTickMark val="none"/>
        <c:tickLblPos val="nextTo"/>
        <c:txPr>
          <a:bodyPr/>
          <a:lstStyle/>
          <a:p>
            <a:pPr>
              <a:defRPr lang="en-US" sz="800">
                <a:latin typeface="Times New Roman" panose="02020603050405020304" pitchFamily="18" charset="0"/>
                <a:cs typeface="Times New Roman" panose="02020603050405020304" pitchFamily="18" charset="0"/>
              </a:defRPr>
            </a:pPr>
            <a:endParaRPr lang="fr-FR"/>
          </a:p>
        </c:txPr>
        <c:crossAx val="188215680"/>
        <c:crosses val="autoZero"/>
        <c:auto val="1"/>
        <c:lblAlgn val="ctr"/>
        <c:lblOffset val="100"/>
        <c:noMultiLvlLbl val="0"/>
      </c:catAx>
      <c:valAx>
        <c:axId val="188215680"/>
        <c:scaling>
          <c:orientation val="minMax"/>
        </c:scaling>
        <c:delete val="0"/>
        <c:axPos val="l"/>
        <c:majorGridlines>
          <c:spPr>
            <a:ln>
              <a:noFill/>
            </a:ln>
          </c:spPr>
        </c:majorGridlines>
        <c:numFmt formatCode="0%" sourceLinked="0"/>
        <c:majorTickMark val="out"/>
        <c:minorTickMark val="none"/>
        <c:tickLblPos val="nextTo"/>
        <c:txPr>
          <a:bodyPr/>
          <a:lstStyle/>
          <a:p>
            <a:pPr>
              <a:defRPr lang="en-US" sz="800">
                <a:solidFill>
                  <a:schemeClr val="tx2"/>
                </a:solidFill>
                <a:latin typeface="Times New Roman" panose="02020603050405020304" pitchFamily="18" charset="0"/>
                <a:cs typeface="Times New Roman" panose="02020603050405020304" pitchFamily="18" charset="0"/>
              </a:defRPr>
            </a:pPr>
            <a:endParaRPr lang="fr-FR"/>
          </a:p>
        </c:txPr>
        <c:crossAx val="188164736"/>
        <c:crosses val="autoZero"/>
        <c:crossBetween val="between"/>
      </c:valAx>
      <c:valAx>
        <c:axId val="188217216"/>
        <c:scaling>
          <c:orientation val="minMax"/>
          <c:max val="450000000"/>
        </c:scaling>
        <c:delete val="0"/>
        <c:axPos val="r"/>
        <c:numFmt formatCode="#,##0" sourceLinked="1"/>
        <c:majorTickMark val="out"/>
        <c:minorTickMark val="none"/>
        <c:tickLblPos val="nextTo"/>
        <c:spPr>
          <a:noFill/>
          <a:effectLst>
            <a:glow rad="127000">
              <a:schemeClr val="bg1"/>
            </a:glow>
          </a:effectLst>
        </c:spPr>
        <c:txPr>
          <a:bodyPr/>
          <a:lstStyle/>
          <a:p>
            <a:pPr>
              <a:defRPr lang="en-US" sz="800">
                <a:solidFill>
                  <a:srgbClr val="C00000"/>
                </a:solidFill>
                <a:latin typeface="Times New Roman" panose="02020603050405020304" pitchFamily="18" charset="0"/>
                <a:cs typeface="Times New Roman" panose="02020603050405020304" pitchFamily="18" charset="0"/>
              </a:defRPr>
            </a:pPr>
            <a:endParaRPr lang="fr-FR"/>
          </a:p>
        </c:txPr>
        <c:crossAx val="188510208"/>
        <c:crosses val="max"/>
        <c:crossBetween val="between"/>
        <c:dispUnits>
          <c:builtInUnit val="millions"/>
          <c:dispUnitsLbl>
            <c:layout>
              <c:manualLayout>
                <c:xMode val="edge"/>
                <c:yMode val="edge"/>
                <c:x val="0.96267347976304796"/>
                <c:y val="4.1342888032070105E-2"/>
              </c:manualLayout>
            </c:layout>
            <c:tx>
              <c:rich>
                <a:bodyPr/>
                <a:lstStyle/>
                <a:p>
                  <a:pPr>
                    <a:defRPr lang="en-US" sz="900">
                      <a:solidFill>
                        <a:sysClr val="windowText" lastClr="000000"/>
                      </a:solidFill>
                      <a:latin typeface="Times New Roman" panose="02020603050405020304" pitchFamily="18" charset="0"/>
                      <a:cs typeface="Times New Roman" panose="02020603050405020304" pitchFamily="18" charset="0"/>
                    </a:defRPr>
                  </a:pPr>
                  <a:r>
                    <a:rPr lang="en-US" sz="900">
                      <a:solidFill>
                        <a:sysClr val="windowText" lastClr="000000"/>
                      </a:solidFill>
                      <a:latin typeface="Times New Roman" panose="02020603050405020304" pitchFamily="18" charset="0"/>
                      <a:cs typeface="Times New Roman" panose="02020603050405020304" pitchFamily="18" charset="0"/>
                    </a:rPr>
                    <a:t>En millions de dollars des États-Unis</a:t>
                  </a:r>
                </a:p>
              </c:rich>
            </c:tx>
          </c:dispUnitsLbl>
        </c:dispUnits>
      </c:valAx>
      <c:catAx>
        <c:axId val="188510208"/>
        <c:scaling>
          <c:orientation val="minMax"/>
        </c:scaling>
        <c:delete val="1"/>
        <c:axPos val="b"/>
        <c:majorTickMark val="out"/>
        <c:minorTickMark val="none"/>
        <c:tickLblPos val="nextTo"/>
        <c:crossAx val="188217216"/>
        <c:crosses val="autoZero"/>
        <c:auto val="1"/>
        <c:lblAlgn val="ctr"/>
        <c:lblOffset val="100"/>
        <c:noMultiLvlLbl val="0"/>
      </c:catAx>
    </c:plotArea>
    <c:legend>
      <c:legendPos val="r"/>
      <c:layout>
        <c:manualLayout>
          <c:xMode val="edge"/>
          <c:yMode val="edge"/>
          <c:x val="0.14937469798770711"/>
          <c:y val="1.2218061279521918E-2"/>
          <c:w val="0.66053514641727806"/>
          <c:h val="0.17641258303396215"/>
        </c:manualLayout>
      </c:layout>
      <c:overlay val="0"/>
      <c:txPr>
        <a:bodyPr/>
        <a:lstStyle/>
        <a:p>
          <a:pPr>
            <a:defRPr lang="en-US" sz="750">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spPr>
    <a:ln w="6350">
      <a:solidFill>
        <a:sysClr val="windowText" lastClr="000000"/>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277298601843407E-2"/>
          <c:y val="5.4732658048012701E-2"/>
          <c:w val="0.90988239171570895"/>
          <c:h val="0.76643482687249997"/>
        </c:manualLayout>
      </c:layout>
      <c:barChart>
        <c:barDir val="bar"/>
        <c:grouping val="clustered"/>
        <c:varyColors val="0"/>
        <c:ser>
          <c:idx val="5"/>
          <c:order val="0"/>
          <c:tx>
            <c:strRef>
              <c:f>Total!$E$2</c:f>
              <c:strCache>
                <c:ptCount val="1"/>
                <c:pt idx="0">
                  <c:v>Classe affaires</c:v>
                </c:pt>
              </c:strCache>
            </c:strRef>
          </c:tx>
          <c:invertIfNegative val="0"/>
          <c:dLbls>
            <c:spPr>
              <a:noFill/>
              <a:ln>
                <a:noFill/>
              </a:ln>
              <a:effectLst/>
            </c:spPr>
            <c:txPr>
              <a:bodyPr rot="0" vert="horz"/>
              <a:lstStyle/>
              <a:p>
                <a:pPr>
                  <a:defRPr sz="800">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Total!$A$4:$A$17</c:f>
              <c:strCache>
                <c:ptCount val="14"/>
                <c:pt idx="0">
                  <c:v>OIT</c:v>
                </c:pt>
                <c:pt idx="1">
                  <c:v>OACI</c:v>
                </c:pt>
                <c:pt idx="2">
                  <c:v>ONUSIDA</c:v>
                </c:pt>
                <c:pt idx="3">
                  <c:v>ONU (Siège)</c:v>
                </c:pt>
                <c:pt idx="4">
                  <c:v>OMS</c:v>
                </c:pt>
                <c:pt idx="5">
                  <c:v>ONU-Femmes</c:v>
                </c:pt>
                <c:pt idx="6">
                  <c:v>UNOPS</c:v>
                </c:pt>
                <c:pt idx="7">
                  <c:v>PAM</c:v>
                </c:pt>
                <c:pt idx="8">
                  <c:v>AIEA</c:v>
                </c:pt>
                <c:pt idx="9">
                  <c:v>ONUDC</c:v>
                </c:pt>
                <c:pt idx="10">
                  <c:v>UNESCO</c:v>
                </c:pt>
                <c:pt idx="11">
                  <c:v>UIT</c:v>
                </c:pt>
                <c:pt idx="12">
                  <c:v>CCI*</c:v>
                </c:pt>
                <c:pt idx="13">
                  <c:v>OMI</c:v>
                </c:pt>
              </c:strCache>
            </c:strRef>
          </c:cat>
          <c:val>
            <c:numRef>
              <c:f>Total!$G$4:$G$17</c:f>
              <c:numCache>
                <c:formatCode>#,##0</c:formatCode>
                <c:ptCount val="14"/>
                <c:pt idx="0">
                  <c:v>3395.154201680672</c:v>
                </c:pt>
                <c:pt idx="1">
                  <c:v>5215.0238928571434</c:v>
                </c:pt>
                <c:pt idx="2">
                  <c:v>5177.7744605780972</c:v>
                </c:pt>
                <c:pt idx="3">
                  <c:v>4644.4332236171404</c:v>
                </c:pt>
                <c:pt idx="4">
                  <c:v>4172.7856402388416</c:v>
                </c:pt>
                <c:pt idx="5">
                  <c:v>6102.9382504288169</c:v>
                </c:pt>
                <c:pt idx="6">
                  <c:v>3962.4160305343512</c:v>
                </c:pt>
                <c:pt idx="7">
                  <c:v>3084.709215336602</c:v>
                </c:pt>
                <c:pt idx="8">
                  <c:v>2493.8784359923711</c:v>
                </c:pt>
                <c:pt idx="9">
                  <c:v>2143.821603644647</c:v>
                </c:pt>
                <c:pt idx="10">
                  <c:v>1924.3244552058111</c:v>
                </c:pt>
                <c:pt idx="11">
                  <c:v>2386.4632043176562</c:v>
                </c:pt>
                <c:pt idx="12">
                  <c:v>3089.216891697788</c:v>
                </c:pt>
                <c:pt idx="13">
                  <c:v>2250.343415452538</c:v>
                </c:pt>
              </c:numCache>
            </c:numRef>
          </c:val>
          <c:extLst>
            <c:ext xmlns:c16="http://schemas.microsoft.com/office/drawing/2014/chart" uri="{C3380CC4-5D6E-409C-BE32-E72D297353CC}">
              <c16:uniqueId val="{00000000-7C6A-47DD-AEA6-28582BEC70C9}"/>
            </c:ext>
          </c:extLst>
        </c:ser>
        <c:ser>
          <c:idx val="8"/>
          <c:order val="1"/>
          <c:tx>
            <c:strRef>
              <c:f>Total!$H$2</c:f>
              <c:strCache>
                <c:ptCount val="1"/>
                <c:pt idx="0">
                  <c:v>Classe économique</c:v>
                </c:pt>
              </c:strCache>
            </c:strRef>
          </c:tx>
          <c:spPr>
            <a:ln>
              <a:solidFill>
                <a:schemeClr val="tx2">
                  <a:lumMod val="60000"/>
                  <a:lumOff val="40000"/>
                </a:schemeClr>
              </a:solidFill>
            </a:ln>
          </c:spPr>
          <c:invertIfNegative val="0"/>
          <c:dLbls>
            <c:dLbl>
              <c:idx val="0"/>
              <c:layout>
                <c:manualLayout>
                  <c:x val="2.3081248539247798E-3"/>
                  <c:y val="-4.7833529087006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C6A-47DD-AEA6-28582BEC70C9}"/>
                </c:ext>
              </c:extLst>
            </c:dLbl>
            <c:dLbl>
              <c:idx val="1"/>
              <c:layout>
                <c:manualLayout>
                  <c:x val="-3.2906227248159E-3"/>
                  <c:y val="-8.00754498367299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C6A-47DD-AEA6-28582BEC70C9}"/>
                </c:ext>
              </c:extLst>
            </c:dLbl>
            <c:dLbl>
              <c:idx val="2"/>
              <c:layout>
                <c:manualLayout>
                  <c:x val="0"/>
                  <c:y val="-9.0238535265148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C6A-47DD-AEA6-28582BEC70C9}"/>
                </c:ext>
              </c:extLst>
            </c:dLbl>
            <c:dLbl>
              <c:idx val="3"/>
              <c:layout>
                <c:manualLayout>
                  <c:x val="0"/>
                  <c:y val="-6.0159023510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C6A-47DD-AEA6-28582BEC70C9}"/>
                </c:ext>
              </c:extLst>
            </c:dLbl>
            <c:dLbl>
              <c:idx val="4"/>
              <c:layout>
                <c:manualLayout>
                  <c:x val="0"/>
                  <c:y val="-9.0238535265148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C6A-47DD-AEA6-28582BEC70C9}"/>
                </c:ext>
              </c:extLst>
            </c:dLbl>
            <c:dLbl>
              <c:idx val="5"/>
              <c:layout>
                <c:manualLayout>
                  <c:x val="-3.5221621786663102E-3"/>
                  <c:y val="-4.94393486909366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C6A-47DD-AEA6-28582BEC70C9}"/>
                </c:ext>
              </c:extLst>
            </c:dLbl>
            <c:dLbl>
              <c:idx val="6"/>
              <c:layout>
                <c:manualLayout>
                  <c:x val="-3.6348422896453199E-7"/>
                  <c:y val="-9.0238535265148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C6A-47DD-AEA6-28582BEC70C9}"/>
                </c:ext>
              </c:extLst>
            </c:dLbl>
            <c:dLbl>
              <c:idx val="7"/>
              <c:layout>
                <c:manualLayout>
                  <c:x val="-4.61624970784955E-3"/>
                  <c:y val="-6.01590235100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C6A-47DD-AEA6-28582BEC70C9}"/>
                </c:ext>
              </c:extLst>
            </c:dLbl>
            <c:dLbl>
              <c:idx val="8"/>
              <c:layout>
                <c:manualLayout>
                  <c:x val="0"/>
                  <c:y val="-9.0238535265148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C6A-47DD-AEA6-28582BEC70C9}"/>
                </c:ext>
              </c:extLst>
            </c:dLbl>
            <c:dLbl>
              <c:idx val="9"/>
              <c:layout>
                <c:manualLayout>
                  <c:x val="-5.59892932085516E-3"/>
                  <c:y val="-8.22788026775999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C6A-47DD-AEA6-28582BEC70C9}"/>
                </c:ext>
              </c:extLst>
            </c:dLbl>
            <c:dLbl>
              <c:idx val="10"/>
              <c:layout>
                <c:manualLayout>
                  <c:x val="-3.3882182402928799E-3"/>
                  <c:y val="-1.1781761756996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C6A-47DD-AEA6-28582BEC70C9}"/>
                </c:ext>
              </c:extLst>
            </c:dLbl>
            <c:dLbl>
              <c:idx val="11"/>
              <c:layout>
                <c:manualLayout>
                  <c:x val="-2.3361131395550402E-3"/>
                  <c:y val="-1.442829368608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C6A-47DD-AEA6-28582BEC70C9}"/>
                </c:ext>
              </c:extLst>
            </c:dLbl>
            <c:dLbl>
              <c:idx val="12"/>
              <c:layout>
                <c:manualLayout>
                  <c:x val="-5.5989293208551201E-3"/>
                  <c:y val="-1.4011946577784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C6A-47DD-AEA6-28582BEC70C9}"/>
                </c:ext>
              </c:extLst>
            </c:dLbl>
            <c:dLbl>
              <c:idx val="13"/>
              <c:layout>
                <c:manualLayout>
                  <c:x val="-4.5693602423131302E-3"/>
                  <c:y val="-1.331966183426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C6A-47DD-AEA6-28582BEC70C9}"/>
                </c:ext>
              </c:extLst>
            </c:dLbl>
            <c:spPr>
              <a:noFill/>
              <a:ln>
                <a:noFill/>
              </a:ln>
              <a:effectLst/>
            </c:spPr>
            <c:txPr>
              <a:bodyPr rot="0" vert="horz"/>
              <a:lstStyle/>
              <a:p>
                <a:pPr>
                  <a:defRPr sz="800">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Total!$A$4:$A$17</c:f>
              <c:strCache>
                <c:ptCount val="14"/>
                <c:pt idx="0">
                  <c:v>OIT</c:v>
                </c:pt>
                <c:pt idx="1">
                  <c:v>OACI</c:v>
                </c:pt>
                <c:pt idx="2">
                  <c:v>ONUSIDA</c:v>
                </c:pt>
                <c:pt idx="3">
                  <c:v>ONU (Siège)</c:v>
                </c:pt>
                <c:pt idx="4">
                  <c:v>OMS</c:v>
                </c:pt>
                <c:pt idx="5">
                  <c:v>ONU-Femmes</c:v>
                </c:pt>
                <c:pt idx="6">
                  <c:v>UNOPS</c:v>
                </c:pt>
                <c:pt idx="7">
                  <c:v>PAM</c:v>
                </c:pt>
                <c:pt idx="8">
                  <c:v>AIEA</c:v>
                </c:pt>
                <c:pt idx="9">
                  <c:v>ONUDC</c:v>
                </c:pt>
                <c:pt idx="10">
                  <c:v>UNESCO</c:v>
                </c:pt>
                <c:pt idx="11">
                  <c:v>UIT</c:v>
                </c:pt>
                <c:pt idx="12">
                  <c:v>CCI*</c:v>
                </c:pt>
                <c:pt idx="13">
                  <c:v>OMI</c:v>
                </c:pt>
              </c:strCache>
            </c:strRef>
          </c:cat>
          <c:val>
            <c:numRef>
              <c:f>Total!$J$4:$J$17</c:f>
              <c:numCache>
                <c:formatCode>#,##0</c:formatCode>
                <c:ptCount val="14"/>
                <c:pt idx="0">
                  <c:v>813.27329799107144</c:v>
                </c:pt>
                <c:pt idx="1">
                  <c:v>1371</c:v>
                </c:pt>
                <c:pt idx="2">
                  <c:v>1161.93702741479</c:v>
                </c:pt>
                <c:pt idx="3">
                  <c:v>1175.3798885388901</c:v>
                </c:pt>
                <c:pt idx="4">
                  <c:v>1756.6022571941351</c:v>
                </c:pt>
                <c:pt idx="5">
                  <c:v>5008.5148128746569</c:v>
                </c:pt>
                <c:pt idx="6">
                  <c:v>1789.988243640418</c:v>
                </c:pt>
                <c:pt idx="7">
                  <c:v>1389.172139826421</c:v>
                </c:pt>
                <c:pt idx="8">
                  <c:v>1007</c:v>
                </c:pt>
                <c:pt idx="9">
                  <c:v>1022</c:v>
                </c:pt>
                <c:pt idx="10">
                  <c:v>702</c:v>
                </c:pt>
                <c:pt idx="11">
                  <c:v>2076.106534</c:v>
                </c:pt>
                <c:pt idx="12">
                  <c:v>1540.6784562</c:v>
                </c:pt>
                <c:pt idx="13">
                  <c:v>1741.24409300864</c:v>
                </c:pt>
              </c:numCache>
            </c:numRef>
          </c:val>
          <c:extLst>
            <c:ext xmlns:c16="http://schemas.microsoft.com/office/drawing/2014/chart" uri="{C3380CC4-5D6E-409C-BE32-E72D297353CC}">
              <c16:uniqueId val="{0000000F-7C6A-47DD-AEA6-28582BEC70C9}"/>
            </c:ext>
          </c:extLst>
        </c:ser>
        <c:dLbls>
          <c:showLegendKey val="0"/>
          <c:showVal val="0"/>
          <c:showCatName val="0"/>
          <c:showSerName val="0"/>
          <c:showPercent val="0"/>
          <c:showBubbleSize val="0"/>
        </c:dLbls>
        <c:gapWidth val="150"/>
        <c:axId val="2134452056"/>
        <c:axId val="2134445752"/>
      </c:barChart>
      <c:catAx>
        <c:axId val="2134452056"/>
        <c:scaling>
          <c:orientation val="minMax"/>
        </c:scaling>
        <c:delete val="0"/>
        <c:axPos val="l"/>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fr-FR"/>
          </a:p>
        </c:txPr>
        <c:crossAx val="2134445752"/>
        <c:crosses val="autoZero"/>
        <c:auto val="1"/>
        <c:lblAlgn val="ctr"/>
        <c:lblOffset val="100"/>
        <c:noMultiLvlLbl val="0"/>
      </c:catAx>
      <c:valAx>
        <c:axId val="2134445752"/>
        <c:scaling>
          <c:orientation val="minMax"/>
        </c:scaling>
        <c:delete val="0"/>
        <c:axPos val="b"/>
        <c:majorGridlines>
          <c:spPr>
            <a:ln>
              <a:noFill/>
            </a:ln>
          </c:spPr>
        </c:majorGridlines>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fr-FR"/>
          </a:p>
        </c:txPr>
        <c:crossAx val="2134452056"/>
        <c:crosses val="autoZero"/>
        <c:crossBetween val="between"/>
      </c:valAx>
    </c:plotArea>
    <c:legend>
      <c:legendPos val="r"/>
      <c:layout>
        <c:manualLayout>
          <c:xMode val="edge"/>
          <c:yMode val="edge"/>
          <c:x val="0.7449969515142052"/>
          <c:y val="0.1000782721385078"/>
          <c:w val="0.20365037585599249"/>
          <c:h val="0.184424262918055"/>
        </c:manualLayout>
      </c:layout>
      <c:overlay val="0"/>
      <c:txPr>
        <a:bodyPr/>
        <a:lstStyle/>
        <a:p>
          <a:pPr>
            <a:defRPr sz="800">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888487897346101E-2"/>
          <c:y val="2.4947761879959601E-2"/>
          <c:w val="0.83068031919882901"/>
          <c:h val="0.89335052145030602"/>
        </c:manualLayout>
      </c:layout>
      <c:lineChart>
        <c:grouping val="standard"/>
        <c:varyColors val="0"/>
        <c:ser>
          <c:idx val="0"/>
          <c:order val="0"/>
          <c:tx>
            <c:strRef>
              <c:f>Sheet1!$B$1</c:f>
              <c:strCache>
                <c:ptCount val="1"/>
                <c:pt idx="0">
                  <c:v>Nombre total de voyages</c:v>
                </c:pt>
              </c:strCache>
            </c:strRef>
          </c:tx>
          <c:marker>
            <c:symbol val="diamond"/>
            <c:size val="5"/>
            <c:spPr>
              <a:solidFill>
                <a:schemeClr val="tx2">
                  <a:lumMod val="40000"/>
                  <a:lumOff val="60000"/>
                </a:schemeClr>
              </a:solidFill>
            </c:spPr>
          </c:marker>
          <c:dLbls>
            <c:dLbl>
              <c:idx val="0"/>
              <c:layout>
                <c:manualLayout>
                  <c:x val="-6.4205672207640702E-2"/>
                  <c:y val="-1.097456813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A2-46D6-8C54-EA3DDC353684}"/>
                </c:ext>
              </c:extLst>
            </c:dLbl>
            <c:dLbl>
              <c:idx val="1"/>
              <c:layout>
                <c:manualLayout>
                  <c:x val="-5.9502952755905503E-2"/>
                  <c:y val="-3.13862163814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A2-46D6-8C54-EA3DDC353684}"/>
                </c:ext>
              </c:extLst>
            </c:dLbl>
            <c:dLbl>
              <c:idx val="2"/>
              <c:layout>
                <c:manualLayout>
                  <c:x val="-5.2631586217928801E-2"/>
                  <c:y val="-2.06489675516224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A2-46D6-8C54-EA3DDC353684}"/>
                </c:ext>
              </c:extLst>
            </c:dLbl>
            <c:dLbl>
              <c:idx val="3"/>
              <c:layout>
                <c:manualLayout>
                  <c:x val="0"/>
                  <c:y val="1.7699115044247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A2-46D6-8C54-EA3DDC353684}"/>
                </c:ext>
              </c:extLst>
            </c:dLbl>
            <c:dLbl>
              <c:idx val="4"/>
              <c:layout>
                <c:manualLayout>
                  <c:x val="-7.3684220705100306E-2"/>
                  <c:y val="-5.89970501474925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A2-46D6-8C54-EA3DDC353684}"/>
                </c:ext>
              </c:extLst>
            </c:dLbl>
            <c:spPr>
              <a:noFill/>
              <a:ln>
                <a:noFill/>
              </a:ln>
              <a:effectLst/>
            </c:spPr>
            <c:txPr>
              <a:bodyPr/>
              <a:lstStyle/>
              <a:p>
                <a:pPr>
                  <a:defRPr sz="800">
                    <a:solidFill>
                      <a:schemeClr val="tx2">
                        <a:lumMod val="40000"/>
                        <a:lumOff val="60000"/>
                      </a:schemeClr>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2006-2008</c:v>
                </c:pt>
                <c:pt idx="1">
                  <c:v>2008-2010</c:v>
                </c:pt>
                <c:pt idx="2">
                  <c:v>2010-2012</c:v>
                </c:pt>
                <c:pt idx="3">
                  <c:v>2012-2014</c:v>
                </c:pt>
                <c:pt idx="4">
                  <c:v>2014-2016</c:v>
                </c:pt>
              </c:strCache>
            </c:strRef>
          </c:cat>
          <c:val>
            <c:numRef>
              <c:f>Sheet1!$B$2:$B$6</c:f>
              <c:numCache>
                <c:formatCode>General</c:formatCode>
                <c:ptCount val="5"/>
                <c:pt idx="0">
                  <c:v>243</c:v>
                </c:pt>
                <c:pt idx="1">
                  <c:v>334</c:v>
                </c:pt>
                <c:pt idx="2">
                  <c:v>529</c:v>
                </c:pt>
                <c:pt idx="3">
                  <c:v>747</c:v>
                </c:pt>
                <c:pt idx="4" formatCode="#,##0">
                  <c:v>1294</c:v>
                </c:pt>
              </c:numCache>
            </c:numRef>
          </c:val>
          <c:smooth val="0"/>
          <c:extLst>
            <c:ext xmlns:c16="http://schemas.microsoft.com/office/drawing/2014/chart" uri="{C3380CC4-5D6E-409C-BE32-E72D297353CC}">
              <c16:uniqueId val="{00000005-88A2-46D6-8C54-EA3DDC353684}"/>
            </c:ext>
          </c:extLst>
        </c:ser>
        <c:dLbls>
          <c:showLegendKey val="0"/>
          <c:showVal val="0"/>
          <c:showCatName val="0"/>
          <c:showSerName val="0"/>
          <c:showPercent val="0"/>
          <c:showBubbleSize val="0"/>
        </c:dLbls>
        <c:marker val="1"/>
        <c:smooth val="0"/>
        <c:axId val="2135593064"/>
        <c:axId val="2135596104"/>
      </c:lineChart>
      <c:lineChart>
        <c:grouping val="standard"/>
        <c:varyColors val="0"/>
        <c:ser>
          <c:idx val="1"/>
          <c:order val="1"/>
          <c:tx>
            <c:strRef>
              <c:f>Sheet1!$C$1</c:f>
              <c:strCache>
                <c:ptCount val="1"/>
                <c:pt idx="0">
                  <c:v>Total des coûts supplémentaires</c:v>
                </c:pt>
              </c:strCache>
            </c:strRef>
          </c:tx>
          <c:marker>
            <c:symbol val="x"/>
            <c:size val="5"/>
          </c:marker>
          <c:dLbls>
            <c:dLbl>
              <c:idx val="0"/>
              <c:layout>
                <c:manualLayout>
                  <c:x val="-2.31481481481479E-3"/>
                  <c:y val="2.17115384261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A2-46D6-8C54-EA3DDC353684}"/>
                </c:ext>
              </c:extLst>
            </c:dLbl>
            <c:dLbl>
              <c:idx val="2"/>
              <c:layout>
                <c:manualLayout>
                  <c:x val="-4.6296296296296302E-3"/>
                  <c:y val="1.5574155975785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A2-46D6-8C54-EA3DDC353684}"/>
                </c:ext>
              </c:extLst>
            </c:dLbl>
            <c:dLbl>
              <c:idx val="3"/>
              <c:layout>
                <c:manualLayout>
                  <c:x val="-0.110453302712161"/>
                  <c:y val="-1.9586340606791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A2-46D6-8C54-EA3DDC353684}"/>
                </c:ext>
              </c:extLst>
            </c:dLbl>
            <c:dLbl>
              <c:idx val="4"/>
              <c:layout>
                <c:manualLayout>
                  <c:x val="-1.9785651793525798E-2"/>
                  <c:y val="2.65487241148637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A2-46D6-8C54-EA3DDC353684}"/>
                </c:ext>
              </c:extLst>
            </c:dLbl>
            <c:spPr>
              <a:noFill/>
              <a:ln>
                <a:noFill/>
              </a:ln>
              <a:effectLst/>
            </c:spPr>
            <c:txPr>
              <a:bodyPr/>
              <a:lstStyle/>
              <a:p>
                <a:pPr>
                  <a:defRPr sz="800">
                    <a:solidFill>
                      <a:schemeClr val="accent2"/>
                    </a:solidFill>
                    <a:latin typeface="Times New Roman" panose="02020603050405020304" pitchFamily="18" charset="0"/>
                    <a:cs typeface="Times New Roman" panose="02020603050405020304" pitchFamily="18" charset="0"/>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2006-2008</c:v>
                </c:pt>
                <c:pt idx="1">
                  <c:v>2008-2010</c:v>
                </c:pt>
                <c:pt idx="2">
                  <c:v>2010-2012</c:v>
                </c:pt>
                <c:pt idx="3">
                  <c:v>2012-2014</c:v>
                </c:pt>
                <c:pt idx="4">
                  <c:v>2014-2016</c:v>
                </c:pt>
              </c:strCache>
            </c:strRef>
          </c:cat>
          <c:val>
            <c:numRef>
              <c:f>Sheet1!$C$2:$C$6</c:f>
              <c:numCache>
                <c:formatCode>#,##0</c:formatCode>
                <c:ptCount val="5"/>
                <c:pt idx="0">
                  <c:v>537654</c:v>
                </c:pt>
                <c:pt idx="1">
                  <c:v>841920</c:v>
                </c:pt>
                <c:pt idx="2">
                  <c:v>1268934</c:v>
                </c:pt>
                <c:pt idx="3">
                  <c:v>2301488</c:v>
                </c:pt>
                <c:pt idx="4">
                  <c:v>3667784</c:v>
                </c:pt>
              </c:numCache>
            </c:numRef>
          </c:val>
          <c:smooth val="0"/>
          <c:extLst>
            <c:ext xmlns:c16="http://schemas.microsoft.com/office/drawing/2014/chart" uri="{C3380CC4-5D6E-409C-BE32-E72D297353CC}">
              <c16:uniqueId val="{0000000A-88A2-46D6-8C54-EA3DDC353684}"/>
            </c:ext>
          </c:extLst>
        </c:ser>
        <c:dLbls>
          <c:showLegendKey val="0"/>
          <c:showVal val="0"/>
          <c:showCatName val="0"/>
          <c:showSerName val="0"/>
          <c:showPercent val="0"/>
          <c:showBubbleSize val="0"/>
        </c:dLbls>
        <c:marker val="1"/>
        <c:smooth val="0"/>
        <c:axId val="2135602664"/>
        <c:axId val="2135599560"/>
      </c:lineChart>
      <c:catAx>
        <c:axId val="2135593064"/>
        <c:scaling>
          <c:orientation val="minMax"/>
        </c:scaling>
        <c:delete val="0"/>
        <c:axPos val="b"/>
        <c:numFmt formatCode="General" sourceLinked="0"/>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fr-FR"/>
          </a:p>
        </c:txPr>
        <c:crossAx val="2135596104"/>
        <c:crosses val="autoZero"/>
        <c:auto val="1"/>
        <c:lblAlgn val="ctr"/>
        <c:lblOffset val="100"/>
        <c:noMultiLvlLbl val="0"/>
      </c:catAx>
      <c:valAx>
        <c:axId val="2135596104"/>
        <c:scaling>
          <c:orientation val="minMax"/>
        </c:scaling>
        <c:delete val="0"/>
        <c:axPos val="l"/>
        <c:majorGridlines>
          <c:spPr>
            <a:ln>
              <a:noFill/>
            </a:ln>
          </c:spPr>
        </c:majorGridlines>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fr-FR"/>
          </a:p>
        </c:txPr>
        <c:crossAx val="2135593064"/>
        <c:crosses val="autoZero"/>
        <c:crossBetween val="between"/>
      </c:valAx>
      <c:valAx>
        <c:axId val="2135599560"/>
        <c:scaling>
          <c:orientation val="minMax"/>
        </c:scaling>
        <c:delete val="0"/>
        <c:axPos val="r"/>
        <c:numFmt formatCode="#,##0"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fr-FR"/>
          </a:p>
        </c:txPr>
        <c:crossAx val="2135602664"/>
        <c:crosses val="max"/>
        <c:crossBetween val="between"/>
      </c:valAx>
      <c:catAx>
        <c:axId val="2135602664"/>
        <c:scaling>
          <c:orientation val="minMax"/>
        </c:scaling>
        <c:delete val="1"/>
        <c:axPos val="b"/>
        <c:numFmt formatCode="General" sourceLinked="1"/>
        <c:majorTickMark val="out"/>
        <c:minorTickMark val="none"/>
        <c:tickLblPos val="nextTo"/>
        <c:crossAx val="2135599560"/>
        <c:crosses val="autoZero"/>
        <c:auto val="1"/>
        <c:lblAlgn val="ctr"/>
        <c:lblOffset val="100"/>
        <c:noMultiLvlLbl val="0"/>
      </c:catAx>
    </c:plotArea>
    <c:legend>
      <c:legendPos val="r"/>
      <c:layout>
        <c:manualLayout>
          <c:xMode val="edge"/>
          <c:yMode val="edge"/>
          <c:x val="0.101402555795352"/>
          <c:y val="0.11037488676747299"/>
          <c:w val="0.44439407853174673"/>
          <c:h val="0.22730629002114"/>
        </c:manualLayout>
      </c:layout>
      <c:overlay val="0"/>
      <c:txPr>
        <a:bodyPr/>
        <a:lstStyle/>
        <a:p>
          <a:pPr>
            <a:defRPr sz="800">
              <a:latin typeface="Times New Roman" panose="02020603050405020304" pitchFamily="18" charset="0"/>
              <a:cs typeface="Times New Roman" panose="02020603050405020304" pitchFamily="18" charset="0"/>
            </a:defRPr>
          </a:pPr>
          <a:endParaRPr lang="fr-FR"/>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cope xmlns="622d7395-ec01-4fcd-b4a2-0f0f02650728">Ensemble du système</Scope>
    <Ordre xmlns="622d7395-ec01-4fcd-b4a2-0f0f02650728">03</Ordre>
    <URL xmlns="http://schemas.microsoft.com/sharepoint/v3">
      <Url xsi:nil="true"/>
      <Description xsi:nil="true"/>
    </URL>
    <R_x00e9_f_x00e9_rence xmlns="622d7395-ec01-4fcd-b4a2-0f0f02650728" xsi:nil="true"/>
    <CEB_Comments xmlns="622d7395-ec01-4fcd-b4a2-0f0f02650728">
      <Url xsi:nil="true"/>
      <Description xsi:nil="true"/>
    </CEB_Comments>
    <Type_x0020_of_x0020_document xmlns="f20eed3e-66d9-412e-b83d-b851352f7b1e">Rapport</Type_x0020_of_x0020_document>
    <Year_x0020_of_x0020_publication xmlns="f20eed3e-66d9-412e-b83d-b851352f7b1e" xsi:nil="true"/>
    <PublishingExpirationDate xmlns="http://schemas.microsoft.com/sharepoint/v3" xsi:nil="true"/>
    <PublishingStartDate xmlns="http://schemas.microsoft.com/sharepoint/v3" xsi:nil="true"/>
    <Pr_x00e9_par_x00e9_ xmlns="622d7395-ec01-4fcd-b4a2-0f0f02650728"/>
    <Other_x0020_documents xmlns="622d7395-ec01-4fcd-b4a2-0f0f02650728">
      <Url xsi:nil="true"/>
      <Description xsi:nil="true"/>
    </Other_x0020_documents>
    <_dlc_DocId xmlns="f20eed3e-66d9-412e-b83d-b851352f7b1e">S2ZNNA6SMQJX-148-337</_dlc_DocId>
    <_dlc_DocIdUrl xmlns="f20eed3e-66d9-412e-b83d-b851352f7b1e">
      <Url>https://www.unjiu.org/fr/reports-notes/_layouts/DocIdRedir.aspx?ID=S2ZNNA6SMQJX-148-337</Url>
      <Description>S2ZNNA6SMQJX-148-337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838BE8131931D42B012EB6BEBC115A8" ma:contentTypeVersion="8" ma:contentTypeDescription="Create a new document." ma:contentTypeScope="" ma:versionID="fe5d58bb8acf4d4975e6a7e605417f77">
  <xsd:schema xmlns:xsd="http://www.w3.org/2001/XMLSchema" xmlns:xs="http://www.w3.org/2001/XMLSchema" xmlns:p="http://schemas.microsoft.com/office/2006/metadata/properties" xmlns:ns1="http://schemas.microsoft.com/sharepoint/v3" xmlns:ns2="f20eed3e-66d9-412e-b83d-b851352f7b1e" xmlns:ns3="622d7395-ec01-4fcd-b4a2-0f0f02650728" targetNamespace="http://schemas.microsoft.com/office/2006/metadata/properties" ma:root="true" ma:fieldsID="81c37cb46f1e3502acf3cfc6e18fbd06" ns1:_="" ns2:_="" ns3:_="">
    <xsd:import namespace="http://schemas.microsoft.com/sharepoint/v3"/>
    <xsd:import namespace="f20eed3e-66d9-412e-b83d-b851352f7b1e"/>
    <xsd:import namespace="622d7395-ec01-4fcd-b4a2-0f0f02650728"/>
    <xsd:element name="properties">
      <xsd:complexType>
        <xsd:sequence>
          <xsd:element name="documentManagement">
            <xsd:complexType>
              <xsd:all>
                <xsd:element ref="ns2:_dlc_DocId" minOccurs="0"/>
                <xsd:element ref="ns2:_dlc_DocIdUrl" minOccurs="0"/>
                <xsd:element ref="ns2:_dlc_DocIdPersistId" minOccurs="0"/>
                <xsd:element ref="ns2:Year_x0020_of_x0020_publication" minOccurs="0"/>
                <xsd:element ref="ns1:URL" minOccurs="0"/>
                <xsd:element ref="ns2:Type_x0020_of_x0020_document" minOccurs="0"/>
                <xsd:element ref="ns1:PublishingStartDate" minOccurs="0"/>
                <xsd:element ref="ns1:PublishingExpirationDate" minOccurs="0"/>
                <xsd:element ref="ns3:Scope" minOccurs="0"/>
                <xsd:element ref="ns3:Other_x0020_documents" minOccurs="0"/>
                <xsd:element ref="ns3:Ordre" minOccurs="0"/>
                <xsd:element ref="ns3:R_x00e9_f_x00e9_rence" minOccurs="0"/>
                <xsd:element ref="ns3:Pr_x00e9_par_x00e9_" minOccurs="0"/>
                <xsd:element ref="ns3:CEB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4" nillable="true" ma:displayName="Date de début de planification" ma:description="" ma:hidden="true" ma:internalName="PublishingStartDate">
      <xsd:simpleType>
        <xsd:restriction base="dms:Unknown"/>
      </xsd:simpleType>
    </xsd:element>
    <xsd:element name="PublishingExpirationDate" ma:index="15"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ed3e-66d9-412e-b83d-b851352f7b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Year_x0020_of_x0020_publication" ma:index="11" nillable="true" ma:displayName="Year of publication" ma:internalName="Year_x0020_of_x0020_publication">
      <xsd:simpleType>
        <xsd:restriction base="dms:Text">
          <xsd:maxLength value="255"/>
        </xsd:restriction>
      </xsd:simpleType>
    </xsd:element>
    <xsd:element name="Type_x0020_of_x0020_document" ma:index="13" nillable="true" ma:displayName="Type of document" ma:default="Rapport" ma:format="Dropdown" ma:internalName="Type_x0020_of_x0020_document">
      <xsd:simpleType>
        <xsd:restriction base="dms:Choice">
          <xsd:enumeration value="Rapport"/>
          <xsd:enumeration value="Note"/>
          <xsd:enumeration value="Lettre"/>
        </xsd:restriction>
      </xsd:simpleType>
    </xsd:element>
  </xsd:schema>
  <xsd:schema xmlns:xsd="http://www.w3.org/2001/XMLSchema" xmlns:xs="http://www.w3.org/2001/XMLSchema" xmlns:dms="http://schemas.microsoft.com/office/2006/documentManagement/types" xmlns:pc="http://schemas.microsoft.com/office/infopath/2007/PartnerControls" targetNamespace="622d7395-ec01-4fcd-b4a2-0f0f02650728" elementFormDefault="qualified">
    <xsd:import namespace="http://schemas.microsoft.com/office/2006/documentManagement/types"/>
    <xsd:import namespace="http://schemas.microsoft.com/office/infopath/2007/PartnerControls"/>
    <xsd:element name="Scope" ma:index="16" nillable="true" ma:displayName="Scope" ma:default="Ensemble du système" ma:format="Dropdown" ma:internalName="Scope">
      <xsd:simpleType>
        <xsd:restriction base="dms:Choice">
          <xsd:enumeration value="Ensemble du système"/>
          <xsd:enumeration value="Plusieurs organisations"/>
          <xsd:enumeration value="Une seule organisation"/>
        </xsd:restriction>
      </xsd:simpleType>
    </xsd:element>
    <xsd:element name="Other_x0020_documents" ma:index="17" nillable="true" ma:displayName="Other documents" ma:format="Hyperlink" ma:internalName="Other_x0020_documents">
      <xsd:complexType>
        <xsd:complexContent>
          <xsd:extension base="dms:URL">
            <xsd:sequence>
              <xsd:element name="Url" type="dms:ValidUrl" minOccurs="0" nillable="true"/>
              <xsd:element name="Description" type="xsd:string" nillable="true"/>
            </xsd:sequence>
          </xsd:extension>
        </xsd:complexContent>
      </xsd:complexType>
    </xsd:element>
    <xsd:element name="Ordre" ma:index="18" nillable="true" ma:displayName="Ordre" ma:internalName="Ordre">
      <xsd:simpleType>
        <xsd:restriction base="dms:Text">
          <xsd:maxLength value="255"/>
        </xsd:restriction>
      </xsd:simpleType>
    </xsd:element>
    <xsd:element name="R_x00e9_f_x00e9_rence" ma:index="19" nillable="true" ma:displayName="Référence" ma:internalName="R_x00e9_f_x00e9_rence">
      <xsd:simpleType>
        <xsd:restriction base="dms:Text">
          <xsd:maxLength value="255"/>
        </xsd:restriction>
      </xsd:simpleType>
    </xsd:element>
    <xsd:element name="Pr_x00e9_par_x00e9_" ma:index="20" nillable="true" ma:displayName="Préparé" ma:list="{22a80142-7f48-4f15-8eb1-d5ea328e652d}" ma:internalName="Pr_x00e9_par_x00e9_" ma:showField="Title">
      <xsd:complexType>
        <xsd:complexContent>
          <xsd:extension base="dms:MultiChoiceLookup">
            <xsd:sequence>
              <xsd:element name="Value" type="dms:Lookup" maxOccurs="unbounded" minOccurs="0" nillable="true"/>
            </xsd:sequence>
          </xsd:extension>
        </xsd:complexContent>
      </xsd:complexType>
    </xsd:element>
    <xsd:element name="CEB_Comments" ma:index="21" nillable="true" ma:displayName="Comments" ma:format="Hyperlink" ma:internalName="CEB_Com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5D80A-77D7-48C7-BF5E-D7258AEB2207}"/>
</file>

<file path=customXml/itemProps2.xml><?xml version="1.0" encoding="utf-8"?>
<ds:datastoreItem xmlns:ds="http://schemas.openxmlformats.org/officeDocument/2006/customXml" ds:itemID="{5612B7A0-EC5A-4A48-ACE8-39D851B7C46B}"/>
</file>

<file path=customXml/itemProps3.xml><?xml version="1.0" encoding="utf-8"?>
<ds:datastoreItem xmlns:ds="http://schemas.openxmlformats.org/officeDocument/2006/customXml" ds:itemID="{D177D243-E11C-4390-B024-5DB83CF982DB}"/>
</file>

<file path=customXml/itemProps4.xml><?xml version="1.0" encoding="utf-8"?>
<ds:datastoreItem xmlns:ds="http://schemas.openxmlformats.org/officeDocument/2006/customXml" ds:itemID="{3FAE10D9-5BA0-4670-A4DC-80DC96AAE84E}"/>
</file>

<file path=customXml/itemProps5.xml><?xml version="1.0" encoding="utf-8"?>
<ds:datastoreItem xmlns:ds="http://schemas.openxmlformats.org/officeDocument/2006/customXml" ds:itemID="{506FE957-3E6B-45EA-9C75-DE8A2CEF1A30}"/>
</file>

<file path=docProps/app.xml><?xml version="1.0" encoding="utf-8"?>
<Properties xmlns="http://schemas.openxmlformats.org/officeDocument/2006/extended-properties" xmlns:vt="http://schemas.openxmlformats.org/officeDocument/2006/docPropsVTypes">
  <Template>JIU_REP.dotm</Template>
  <TotalTime>0</TotalTime>
  <Pages>117</Pages>
  <Words>48689</Words>
  <Characters>267793</Characters>
  <Application>Microsoft Office Word</Application>
  <DocSecurity>0</DocSecurity>
  <Lines>2231</Lines>
  <Paragraphs>631</Paragraphs>
  <ScaleCrop>false</ScaleCrop>
  <HeadingPairs>
    <vt:vector size="2" baseType="variant">
      <vt:variant>
        <vt:lpstr>Titre</vt:lpstr>
      </vt:variant>
      <vt:variant>
        <vt:i4>1</vt:i4>
      </vt:variant>
    </vt:vector>
  </HeadingPairs>
  <TitlesOfParts>
    <vt:vector size="1" baseType="lpstr">
      <vt:lpstr>JIU/REP/2017/3</vt:lpstr>
    </vt:vector>
  </TitlesOfParts>
  <Company>DCM</Company>
  <LinksUpToDate>false</LinksUpToDate>
  <CharactersWithSpaces>315851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JIU/REP/2017/3</dc:title>
  <dc:subject/>
  <dc:creator>Corinne ROBERT</dc:creator>
  <cp:keywords/>
  <cp:lastModifiedBy>Edith BOURION</cp:lastModifiedBy>
  <cp:revision>2</cp:revision>
  <cp:lastPrinted>2017-11-07T06:48:00Z</cp:lastPrinted>
  <dcterms:created xsi:type="dcterms:W3CDTF">2017-11-15T07:07:00Z</dcterms:created>
  <dcterms:modified xsi:type="dcterms:W3CDTF">2017-11-15T07:07:00Z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0x0101004838BE8131931D42B012EB6BEBC115A8</vt:lpwstr>
  </property>
  <property fmtid="{D5CDD505-2E9C-101B-9397-08002B2CF9AE}" pid="3" name="_dlc_DocIdItemGuid">
    <vt:lpwstr>457d0e03-e511-40e9-bb19-99f6ab6511a2</vt:lpwstr>
  </property>
</Properties>
</file>